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E15" w:rsidRPr="00F0787F" w:rsidRDefault="00063E15" w:rsidP="008314D1">
      <w:pPr>
        <w:pStyle w:val="Title"/>
        <w:pBdr>
          <w:bottom w:val="double" w:sz="6" w:space="0" w:color="auto"/>
        </w:pBdr>
      </w:pPr>
      <w:r w:rsidRPr="00F0787F">
        <w:t>М И Н И С Т Е Р С Т В О   Н А   Ф И Н А Н С И Т Е</w:t>
      </w:r>
    </w:p>
    <w:p w:rsidR="005F7245" w:rsidRPr="00F0787F" w:rsidRDefault="005F7245" w:rsidP="00063E15">
      <w:pPr>
        <w:rPr>
          <w:sz w:val="16"/>
          <w:szCs w:val="16"/>
        </w:rPr>
      </w:pPr>
    </w:p>
    <w:p w:rsidR="0019151C" w:rsidRPr="00F0787F" w:rsidRDefault="0019151C" w:rsidP="0019151C"/>
    <w:p w:rsidR="0019151C" w:rsidRPr="00F0787F" w:rsidRDefault="0019151C" w:rsidP="0019151C"/>
    <w:p w:rsidR="00E9260C" w:rsidRPr="00F0787F" w:rsidRDefault="00E9260C" w:rsidP="009B536C">
      <w:pPr>
        <w:pStyle w:val="Heading1"/>
        <w:rPr>
          <w:sz w:val="24"/>
        </w:rPr>
      </w:pPr>
      <w:r w:rsidRPr="00F0787F">
        <w:rPr>
          <w:sz w:val="24"/>
        </w:rPr>
        <w:t>ИНФОРМАЦИЯ</w:t>
      </w:r>
    </w:p>
    <w:p w:rsidR="00E9260C" w:rsidRPr="00F0787F" w:rsidRDefault="00E9260C" w:rsidP="009B536C">
      <w:pPr>
        <w:jc w:val="center"/>
        <w:rPr>
          <w:b/>
          <w:bCs/>
        </w:rPr>
      </w:pPr>
      <w:r w:rsidRPr="00F0787F">
        <w:rPr>
          <w:b/>
          <w:bCs/>
        </w:rPr>
        <w:t xml:space="preserve">ЗА </w:t>
      </w:r>
      <w:r w:rsidR="004E7BF8" w:rsidRPr="00F0787F">
        <w:rPr>
          <w:b/>
          <w:bCs/>
        </w:rPr>
        <w:t xml:space="preserve">КАСОВОТО </w:t>
      </w:r>
      <w:r w:rsidRPr="00F0787F">
        <w:rPr>
          <w:b/>
          <w:bCs/>
        </w:rPr>
        <w:t xml:space="preserve">ИЗПЪЛНЕНИЕ НА </w:t>
      </w:r>
      <w:r w:rsidR="004E7BF8" w:rsidRPr="00F0787F">
        <w:rPr>
          <w:b/>
          <w:bCs/>
        </w:rPr>
        <w:t>ДЪРЖАВНИЯ</w:t>
      </w:r>
      <w:r w:rsidRPr="00F0787F">
        <w:rPr>
          <w:b/>
          <w:bCs/>
        </w:rPr>
        <w:t xml:space="preserve"> БЮДЖЕТ</w:t>
      </w:r>
      <w:r w:rsidR="004E7BF8" w:rsidRPr="00F0787F">
        <w:rPr>
          <w:b/>
          <w:bCs/>
        </w:rPr>
        <w:t xml:space="preserve"> И НА ОСНОВНИТЕ ПОКАЗАТЕЛИ НА КОНСОЛИДИРАНАТА ФИСКАЛНА ПРОГРАМА </w:t>
      </w:r>
    </w:p>
    <w:p w:rsidR="003F47AB" w:rsidRPr="00F0787F" w:rsidRDefault="003F47AB" w:rsidP="003F47AB">
      <w:pPr>
        <w:jc w:val="center"/>
        <w:rPr>
          <w:b/>
          <w:bCs/>
        </w:rPr>
      </w:pPr>
      <w:r w:rsidRPr="00F0787F">
        <w:rPr>
          <w:b/>
          <w:bCs/>
        </w:rPr>
        <w:t>ЗА 201</w:t>
      </w:r>
      <w:r w:rsidR="00B067C3" w:rsidRPr="00F0787F">
        <w:rPr>
          <w:b/>
          <w:bCs/>
          <w:lang w:val="en-US"/>
        </w:rPr>
        <w:t>9</w:t>
      </w:r>
      <w:r w:rsidRPr="00F0787F">
        <w:rPr>
          <w:b/>
          <w:bCs/>
        </w:rPr>
        <w:t xml:space="preserve"> ГОДИНА</w:t>
      </w:r>
    </w:p>
    <w:p w:rsidR="0019151C" w:rsidRPr="00C85532" w:rsidRDefault="0019151C" w:rsidP="003A06C5">
      <w:pPr>
        <w:rPr>
          <w:b/>
          <w:bCs/>
          <w:color w:val="0070C0"/>
        </w:rPr>
      </w:pPr>
    </w:p>
    <w:p w:rsidR="0019151C" w:rsidRPr="00C85532" w:rsidRDefault="0019151C" w:rsidP="003A06C5">
      <w:pPr>
        <w:rPr>
          <w:b/>
          <w:bCs/>
          <w:color w:val="0070C0"/>
        </w:rPr>
      </w:pPr>
    </w:p>
    <w:p w:rsidR="005750C2" w:rsidRPr="00645069" w:rsidRDefault="00645069" w:rsidP="00EA7D8E">
      <w:pPr>
        <w:spacing w:after="120"/>
        <w:jc w:val="both"/>
        <w:rPr>
          <w:b/>
          <w:bCs/>
          <w:u w:val="single"/>
          <w:lang w:eastAsia="bg-BG"/>
        </w:rPr>
      </w:pPr>
      <w:r w:rsidRPr="002E72AD">
        <w:rPr>
          <w:b/>
          <w:bCs/>
          <w:u w:val="single"/>
          <w:lang w:eastAsia="bg-BG"/>
        </w:rPr>
        <w:t xml:space="preserve">Преглед </w:t>
      </w:r>
      <w:r w:rsidR="005750C2" w:rsidRPr="002E72AD">
        <w:rPr>
          <w:b/>
          <w:bCs/>
          <w:u w:val="single"/>
          <w:lang w:eastAsia="bg-BG"/>
        </w:rPr>
        <w:t>на икономическата среда</w:t>
      </w:r>
    </w:p>
    <w:p w:rsidR="002E72AD" w:rsidRPr="002E72AD" w:rsidRDefault="002E72AD" w:rsidP="002E72AD">
      <w:pPr>
        <w:spacing w:after="120"/>
        <w:jc w:val="both"/>
        <w:rPr>
          <w:rFonts w:eastAsia="Batang"/>
          <w:bCs/>
        </w:rPr>
      </w:pPr>
      <w:r w:rsidRPr="002E72AD">
        <w:rPr>
          <w:rFonts w:eastAsia="Batang"/>
          <w:bCs/>
        </w:rPr>
        <w:t>За периода януари-септември 2019 г. реалният растеж на БВП достигна 3,7</w:t>
      </w:r>
      <w:r w:rsidR="00ED057A">
        <w:rPr>
          <w:rFonts w:eastAsia="Batang"/>
          <w:bCs/>
        </w:rPr>
        <w:t xml:space="preserve"> </w:t>
      </w:r>
      <w:r w:rsidRPr="002E72AD">
        <w:rPr>
          <w:rFonts w:eastAsia="Batang"/>
          <w:bCs/>
        </w:rPr>
        <w:t>% с положителен принос както от вътрешното търсене, така и от нетния износ. Потреблението на домакинствата се повиши с 6</w:t>
      </w:r>
      <w:r w:rsidR="00ED057A">
        <w:rPr>
          <w:rFonts w:eastAsia="Batang"/>
          <w:bCs/>
        </w:rPr>
        <w:t xml:space="preserve"> </w:t>
      </w:r>
      <w:r w:rsidRPr="002E72AD">
        <w:rPr>
          <w:rFonts w:eastAsia="Batang"/>
          <w:bCs/>
        </w:rPr>
        <w:t>%, а подобрението на доверието на потребителите през четвъртото тримесечие сочи към запазване на стабилния растеж и през последните месеци на годината. Инвестициите в основен капитал нараснаха с 0,8</w:t>
      </w:r>
      <w:r w:rsidR="00ED057A">
        <w:rPr>
          <w:rFonts w:eastAsia="Batang"/>
          <w:bCs/>
        </w:rPr>
        <w:t xml:space="preserve"> </w:t>
      </w:r>
      <w:r w:rsidRPr="002E72AD">
        <w:rPr>
          <w:rFonts w:eastAsia="Batang"/>
          <w:bCs/>
        </w:rPr>
        <w:t>% за деветмесечието, но повишението на индикатора за бизнес климата през ноември и декември, най-вече в строителството, говори за подобрение на инвестиционната активност в края на годината. Въпреки повишеното вътрешно търсене, вносът на стоки и услуги спадна средно с 0,6</w:t>
      </w:r>
      <w:r w:rsidR="00ED057A">
        <w:rPr>
          <w:rFonts w:eastAsia="Batang"/>
          <w:bCs/>
        </w:rPr>
        <w:t xml:space="preserve"> </w:t>
      </w:r>
      <w:r w:rsidRPr="002E72AD">
        <w:rPr>
          <w:rFonts w:eastAsia="Batang"/>
          <w:bCs/>
        </w:rPr>
        <w:t>% до септември. В същото време при износа бе отчетен  растеж от 0,5</w:t>
      </w:r>
      <w:r w:rsidR="00B1082C">
        <w:rPr>
          <w:rFonts w:eastAsia="Batang"/>
          <w:bCs/>
        </w:rPr>
        <w:t xml:space="preserve"> </w:t>
      </w:r>
      <w:r w:rsidRPr="002E72AD">
        <w:rPr>
          <w:rFonts w:eastAsia="Batang"/>
          <w:bCs/>
        </w:rPr>
        <w:t xml:space="preserve">%, а оборотът в промишлеността за износ нарасна средно с </w:t>
      </w:r>
      <w:r w:rsidRPr="002E72AD">
        <w:rPr>
          <w:rFonts w:eastAsia="Batang"/>
          <w:bCs/>
          <w:lang w:val="en-US"/>
        </w:rPr>
        <w:t>4</w:t>
      </w:r>
      <w:r w:rsidRPr="002E72AD">
        <w:rPr>
          <w:rFonts w:eastAsia="Batang"/>
          <w:bCs/>
        </w:rPr>
        <w:t>,3</w:t>
      </w:r>
      <w:r w:rsidR="00ED057A">
        <w:rPr>
          <w:rFonts w:eastAsia="Batang"/>
          <w:bCs/>
        </w:rPr>
        <w:t xml:space="preserve"> </w:t>
      </w:r>
      <w:r w:rsidRPr="002E72AD">
        <w:rPr>
          <w:rFonts w:eastAsia="Batang"/>
          <w:bCs/>
        </w:rPr>
        <w:t>% за периода януари-ноември, което представлява ускорение спрямо същия период на 2018 г.</w:t>
      </w:r>
    </w:p>
    <w:p w:rsidR="002E72AD" w:rsidRPr="002E72AD" w:rsidRDefault="002E72AD" w:rsidP="002E72AD">
      <w:pPr>
        <w:spacing w:after="120"/>
        <w:jc w:val="both"/>
        <w:rPr>
          <w:rFonts w:eastAsia="Batang"/>
          <w:bCs/>
        </w:rPr>
      </w:pPr>
      <w:r w:rsidRPr="002E72AD">
        <w:rPr>
          <w:rFonts w:eastAsia="Batang"/>
          <w:bCs/>
        </w:rPr>
        <w:t>За единадесетте месеца на 2019 г. салдото по текущата сметка бе положително в размер на 5,9 млрд. евро или 9,7 % от прогнозния БВП, при 5,3 % от БВП година по-рано. През същия период износът нарасна с 4,6</w:t>
      </w:r>
      <w:r w:rsidR="00ED057A">
        <w:rPr>
          <w:rFonts w:eastAsia="Batang"/>
          <w:bCs/>
        </w:rPr>
        <w:t xml:space="preserve"> </w:t>
      </w:r>
      <w:r w:rsidRPr="002E72AD">
        <w:rPr>
          <w:rFonts w:eastAsia="Batang"/>
          <w:bCs/>
        </w:rPr>
        <w:t>% в номинално изражение, докато вносът се сви с 2,3</w:t>
      </w:r>
      <w:r w:rsidR="00ED057A">
        <w:rPr>
          <w:rFonts w:eastAsia="Batang"/>
          <w:bCs/>
        </w:rPr>
        <w:t xml:space="preserve"> </w:t>
      </w:r>
      <w:r w:rsidRPr="002E72AD">
        <w:rPr>
          <w:rFonts w:eastAsia="Batang"/>
          <w:bCs/>
        </w:rPr>
        <w:t>%, което доведе до подобряване на търговския баланс с 3,2 пр.</w:t>
      </w:r>
      <w:r w:rsidR="00520740">
        <w:rPr>
          <w:rFonts w:eastAsia="Batang"/>
          <w:bCs/>
        </w:rPr>
        <w:t xml:space="preserve"> </w:t>
      </w:r>
      <w:r w:rsidRPr="002E72AD">
        <w:rPr>
          <w:rFonts w:eastAsia="Batang"/>
          <w:bCs/>
        </w:rPr>
        <w:t>п. до излишък от 0,3</w:t>
      </w:r>
      <w:r w:rsidR="00ED057A">
        <w:rPr>
          <w:rFonts w:eastAsia="Batang"/>
          <w:bCs/>
        </w:rPr>
        <w:t xml:space="preserve"> </w:t>
      </w:r>
      <w:r w:rsidRPr="002E72AD">
        <w:rPr>
          <w:rFonts w:eastAsia="Batang"/>
          <w:bCs/>
        </w:rPr>
        <w:t>% от прогнозния БВП. Излишъкът при услугите също се повиши въз основа на по-ниския внос (спад от 7,</w:t>
      </w:r>
      <w:proofErr w:type="spellStart"/>
      <w:r w:rsidRPr="002E72AD">
        <w:rPr>
          <w:rFonts w:eastAsia="Batang"/>
          <w:bCs/>
        </w:rPr>
        <w:t>7</w:t>
      </w:r>
      <w:proofErr w:type="spellEnd"/>
      <w:r w:rsidR="00ED057A">
        <w:rPr>
          <w:rFonts w:eastAsia="Batang"/>
          <w:bCs/>
        </w:rPr>
        <w:t xml:space="preserve"> </w:t>
      </w:r>
      <w:r w:rsidRPr="002E72AD">
        <w:rPr>
          <w:rFonts w:eastAsia="Batang"/>
          <w:bCs/>
        </w:rPr>
        <w:t>%) и стабилния износа (растеж от 0,8</w:t>
      </w:r>
      <w:r w:rsidR="00ED057A">
        <w:rPr>
          <w:rFonts w:eastAsia="Batang"/>
          <w:bCs/>
        </w:rPr>
        <w:t xml:space="preserve"> </w:t>
      </w:r>
      <w:r w:rsidRPr="002E72AD">
        <w:rPr>
          <w:rFonts w:eastAsia="Batang"/>
          <w:bCs/>
        </w:rPr>
        <w:t>%). Салдото по доходните статии се запази положително в размер на 3</w:t>
      </w:r>
      <w:r w:rsidR="00ED057A">
        <w:rPr>
          <w:rFonts w:eastAsia="Batang"/>
          <w:bCs/>
        </w:rPr>
        <w:t xml:space="preserve"> </w:t>
      </w:r>
      <w:r w:rsidRPr="002E72AD">
        <w:rPr>
          <w:rFonts w:eastAsia="Batang"/>
          <w:bCs/>
        </w:rPr>
        <w:t>% от прогнозния БВП.</w:t>
      </w:r>
    </w:p>
    <w:p w:rsidR="002E72AD" w:rsidRPr="002E72AD" w:rsidRDefault="002E72AD" w:rsidP="002E72AD">
      <w:pPr>
        <w:spacing w:after="120"/>
        <w:jc w:val="both"/>
        <w:rPr>
          <w:rFonts w:eastAsia="Batang"/>
          <w:bCs/>
        </w:rPr>
      </w:pPr>
      <w:r w:rsidRPr="002E72AD">
        <w:rPr>
          <w:rFonts w:eastAsia="Batang"/>
          <w:bCs/>
        </w:rPr>
        <w:t>За януари-ноември привлечените преки чуждестранни инвестиции бяха в размер на 1 млрд. евро или 1,7 % от прогнозния БВП. Средствата са основно в секторите търговия, ремонт на автомобили и мотоциклети, операции с недвижими имоти, преработваща промишленост.</w:t>
      </w:r>
    </w:p>
    <w:p w:rsidR="002E72AD" w:rsidRPr="002E72AD" w:rsidRDefault="002E72AD" w:rsidP="002E72AD">
      <w:pPr>
        <w:spacing w:after="120"/>
        <w:jc w:val="both"/>
        <w:rPr>
          <w:rFonts w:eastAsia="Batang"/>
          <w:bCs/>
          <w:lang w:val="en-US"/>
        </w:rPr>
      </w:pPr>
      <w:r w:rsidRPr="002E72AD">
        <w:rPr>
          <w:rFonts w:eastAsia="Batang"/>
          <w:bCs/>
        </w:rPr>
        <w:t>През деветте месеца на 2019 г. пазарът на труда следваше благоприятно развитие, като коефициентите на заетост и икономическа активност за възрастовата група 15-64 г. достигнаха исторически най-високите си стойности до този момент от 70,1 % и 73,3 %. Тяхното повишение бе подпомогнато от увеличението на работата сила, което отразяваше активиране и включване на пазара на труда, в условията на намаление на населението в трудоспособна възраст. Нарасналите възможности за заетост допринесоха за намаление на коефициента на безработица до исторически най-ниско ниво от 3,7 % за третото тримесечие (по данни от НРС). Регистрираната безработица също се характеризираше с низходяща динамика, като към края на декември възлезе на 5,9 % и остана с 0,2 пр.</w:t>
      </w:r>
      <w:r w:rsidR="00520740">
        <w:rPr>
          <w:rFonts w:eastAsia="Batang"/>
          <w:bCs/>
        </w:rPr>
        <w:t xml:space="preserve"> </w:t>
      </w:r>
      <w:r w:rsidRPr="002E72AD">
        <w:rPr>
          <w:rFonts w:eastAsia="Batang"/>
          <w:bCs/>
        </w:rPr>
        <w:t>п. по-ниска спрямо края на 2018 г.</w:t>
      </w:r>
    </w:p>
    <w:p w:rsidR="002E72AD" w:rsidRPr="002E72AD" w:rsidRDefault="002E72AD" w:rsidP="002E72AD">
      <w:pPr>
        <w:spacing w:after="120"/>
        <w:jc w:val="both"/>
        <w:rPr>
          <w:rFonts w:eastAsia="Batang"/>
          <w:bCs/>
        </w:rPr>
      </w:pPr>
      <w:r w:rsidRPr="002E72AD">
        <w:rPr>
          <w:rFonts w:eastAsia="Batang"/>
          <w:bCs/>
        </w:rPr>
        <w:t>Активирането на работната сила бе съпроводено с продължаващо нарастване на реалната покупателна способност на доходите от труд. През първите девет месеца на 2019 г. растежът на средната работна заплата се ускори до 12 % в номинално изражение и 9</w:t>
      </w:r>
      <w:r w:rsidR="005F05DF">
        <w:rPr>
          <w:rFonts w:eastAsia="Batang"/>
          <w:bCs/>
        </w:rPr>
        <w:t>,</w:t>
      </w:r>
      <w:r w:rsidRPr="002E72AD">
        <w:rPr>
          <w:rFonts w:eastAsia="Batang"/>
          <w:bCs/>
        </w:rPr>
        <w:t>3 % в реално изражение.  Водещ принос към възходящата динамика на показателя имаше частния сектор на икономиката (12,4 %), но  отчетената стойност в обществения сектор също беше висока (10,7 %). През разглеждания период реалната производителност на труда се повиши с ускорен темп от 3,6 % на годишна база и подкрепи забавянето в растежа на номиналните разходи за труд на единица продукция до 2,7 %.</w:t>
      </w:r>
    </w:p>
    <w:p w:rsidR="002E72AD" w:rsidRPr="002E72AD" w:rsidRDefault="002E72AD" w:rsidP="002E72AD">
      <w:pPr>
        <w:spacing w:after="120"/>
        <w:jc w:val="both"/>
        <w:rPr>
          <w:rFonts w:eastAsia="Batang"/>
          <w:bCs/>
        </w:rPr>
      </w:pPr>
    </w:p>
    <w:p w:rsidR="002E72AD" w:rsidRPr="002E72AD" w:rsidRDefault="002E72AD" w:rsidP="002E72AD">
      <w:pPr>
        <w:spacing w:after="120"/>
        <w:jc w:val="both"/>
        <w:rPr>
          <w:rFonts w:eastAsia="Batang"/>
          <w:bCs/>
        </w:rPr>
      </w:pPr>
      <w:r w:rsidRPr="002E72AD">
        <w:rPr>
          <w:rFonts w:eastAsia="Batang"/>
          <w:bCs/>
        </w:rPr>
        <w:lastRenderedPageBreak/>
        <w:t>За 2019 г. инфлацията в края на годината бе 3</w:t>
      </w:r>
      <w:r w:rsidR="00007D3C">
        <w:rPr>
          <w:rFonts w:eastAsia="Batang"/>
          <w:bCs/>
        </w:rPr>
        <w:t>,</w:t>
      </w:r>
      <w:r w:rsidRPr="002E72AD">
        <w:rPr>
          <w:rFonts w:eastAsia="Batang"/>
          <w:bCs/>
        </w:rPr>
        <w:t>1</w:t>
      </w:r>
      <w:r w:rsidR="00007D3C">
        <w:rPr>
          <w:rFonts w:eastAsia="Batang"/>
          <w:bCs/>
        </w:rPr>
        <w:t xml:space="preserve"> </w:t>
      </w:r>
      <w:r w:rsidRPr="002E72AD">
        <w:rPr>
          <w:rFonts w:eastAsia="Batang"/>
          <w:bCs/>
        </w:rPr>
        <w:t>%, а средногодишната 2</w:t>
      </w:r>
      <w:r w:rsidR="00007D3C">
        <w:rPr>
          <w:rFonts w:eastAsia="Batang"/>
          <w:bCs/>
        </w:rPr>
        <w:t>,</w:t>
      </w:r>
      <w:r w:rsidRPr="002E72AD">
        <w:rPr>
          <w:rFonts w:eastAsia="Batang"/>
          <w:bCs/>
        </w:rPr>
        <w:t>5</w:t>
      </w:r>
      <w:r w:rsidR="00007D3C">
        <w:rPr>
          <w:rFonts w:eastAsia="Batang"/>
          <w:bCs/>
        </w:rPr>
        <w:t xml:space="preserve"> </w:t>
      </w:r>
      <w:r w:rsidRPr="002E72AD">
        <w:rPr>
          <w:rFonts w:eastAsia="Batang"/>
          <w:bCs/>
        </w:rPr>
        <w:t>%. С най-голям принос във формирането на общата инфлация в края на годината бяха хранителните стоки и услугите, съответно 1</w:t>
      </w:r>
      <w:r w:rsidR="00007D3C">
        <w:rPr>
          <w:rFonts w:eastAsia="Batang"/>
          <w:bCs/>
        </w:rPr>
        <w:t>,</w:t>
      </w:r>
      <w:r w:rsidRPr="002E72AD">
        <w:rPr>
          <w:rFonts w:eastAsia="Batang"/>
          <w:bCs/>
        </w:rPr>
        <w:t>4 и 0</w:t>
      </w:r>
      <w:r w:rsidR="00007D3C">
        <w:rPr>
          <w:rFonts w:eastAsia="Batang"/>
          <w:bCs/>
        </w:rPr>
        <w:t>,</w:t>
      </w:r>
      <w:r w:rsidRPr="002E72AD">
        <w:rPr>
          <w:rFonts w:eastAsia="Batang"/>
          <w:bCs/>
        </w:rPr>
        <w:t>9 пр.</w:t>
      </w:r>
      <w:r w:rsidR="00007D3C">
        <w:rPr>
          <w:rFonts w:eastAsia="Batang"/>
          <w:bCs/>
        </w:rPr>
        <w:t xml:space="preserve"> </w:t>
      </w:r>
      <w:r w:rsidRPr="002E72AD">
        <w:rPr>
          <w:rFonts w:eastAsia="Batang"/>
          <w:bCs/>
        </w:rPr>
        <w:t>п. Цените на енергийните стоки се върнаха на положителна територия в края на годината и допринесоха с 0</w:t>
      </w:r>
      <w:r w:rsidR="0028653E">
        <w:rPr>
          <w:rFonts w:eastAsia="Batang"/>
          <w:bCs/>
        </w:rPr>
        <w:t>,</w:t>
      </w:r>
      <w:r w:rsidRPr="002E72AD">
        <w:rPr>
          <w:rFonts w:eastAsia="Batang"/>
          <w:bCs/>
        </w:rPr>
        <w:t>5 пр.</w:t>
      </w:r>
      <w:r w:rsidR="0028653E">
        <w:rPr>
          <w:rFonts w:eastAsia="Batang"/>
          <w:bCs/>
        </w:rPr>
        <w:t xml:space="preserve"> </w:t>
      </w:r>
      <w:r w:rsidRPr="002E72AD">
        <w:rPr>
          <w:rFonts w:eastAsia="Batang"/>
          <w:bCs/>
        </w:rPr>
        <w:t>п. за повишението на общия ХИПЦ. Базисната инфлация беше 2</w:t>
      </w:r>
      <w:r w:rsidR="0028653E">
        <w:rPr>
          <w:rFonts w:eastAsia="Batang"/>
          <w:bCs/>
        </w:rPr>
        <w:t>,</w:t>
      </w:r>
      <w:r w:rsidRPr="002E72AD">
        <w:rPr>
          <w:rFonts w:eastAsia="Batang"/>
          <w:bCs/>
        </w:rPr>
        <w:t>5</w:t>
      </w:r>
      <w:r w:rsidR="00007D3C">
        <w:rPr>
          <w:rFonts w:eastAsia="Batang"/>
          <w:bCs/>
        </w:rPr>
        <w:t xml:space="preserve"> </w:t>
      </w:r>
      <w:r w:rsidRPr="002E72AD">
        <w:rPr>
          <w:rFonts w:eastAsia="Batang"/>
          <w:bCs/>
        </w:rPr>
        <w:t>% в края на годината.</w:t>
      </w:r>
    </w:p>
    <w:p w:rsidR="002E72AD" w:rsidRPr="002E72AD" w:rsidRDefault="002E72AD" w:rsidP="002E72AD">
      <w:pPr>
        <w:spacing w:after="120"/>
        <w:jc w:val="both"/>
        <w:rPr>
          <w:rFonts w:eastAsia="Batang"/>
          <w:bCs/>
        </w:rPr>
      </w:pPr>
      <w:r w:rsidRPr="002E72AD">
        <w:rPr>
          <w:rFonts w:eastAsia="Batang"/>
          <w:bCs/>
        </w:rPr>
        <w:t>Брутните международни валутни резерви на страната продължиха да осигуряват стабилното функциониране на Паричния съвет, като пазарната им стойност към края на 2019 г. възлезе на 24,8 млрд. евро.</w:t>
      </w:r>
    </w:p>
    <w:p w:rsidR="002E72AD" w:rsidRPr="002E72AD" w:rsidRDefault="002E72AD" w:rsidP="002E72AD">
      <w:pPr>
        <w:spacing w:after="120"/>
        <w:jc w:val="both"/>
        <w:rPr>
          <w:rFonts w:eastAsia="Batang"/>
          <w:bCs/>
        </w:rPr>
      </w:pPr>
      <w:r w:rsidRPr="002E72AD">
        <w:rPr>
          <w:rFonts w:eastAsia="Batang"/>
          <w:bCs/>
        </w:rPr>
        <w:t>През 2019 г. банковата система в България продължи да се развива в условия на благоприятна макроикономическа среда в страната и да поддържа високи равнища на капиталова адекватност и ликвидност, както и добри показатели за доходност. Коефициентът на обща капиталова адекватност беше 21,02 % в края на третото тримесечие на 2019 г., а отношението на ликвидно покритие към края на ноември -    271,8 %</w:t>
      </w:r>
      <w:r w:rsidR="0045670C">
        <w:rPr>
          <w:rStyle w:val="FootnoteReference"/>
          <w:rFonts w:eastAsia="Batang"/>
          <w:bCs/>
        </w:rPr>
        <w:footnoteReference w:id="2"/>
      </w:r>
      <w:r w:rsidRPr="002E72AD">
        <w:rPr>
          <w:rFonts w:eastAsia="Batang"/>
          <w:bCs/>
        </w:rPr>
        <w:t xml:space="preserve">. </w:t>
      </w:r>
    </w:p>
    <w:p w:rsidR="002E72AD" w:rsidRPr="002E72AD" w:rsidRDefault="002E72AD" w:rsidP="002E72AD">
      <w:pPr>
        <w:spacing w:after="120"/>
        <w:jc w:val="both"/>
        <w:rPr>
          <w:rFonts w:eastAsia="Batang"/>
          <w:bCs/>
        </w:rPr>
      </w:pPr>
      <w:r w:rsidRPr="002E72AD">
        <w:rPr>
          <w:rFonts w:eastAsia="Batang"/>
          <w:bCs/>
        </w:rPr>
        <w:t xml:space="preserve">Търсенето на заемни средства от частния сектор остана високо, като в някои сегменти от кредитния пазар бе по-силно, въпреки нарасналите външни рискове и очаквания за забавяне на глобалния икономически растеж. </w:t>
      </w:r>
    </w:p>
    <w:p w:rsidR="002E72AD" w:rsidRPr="002E72AD" w:rsidRDefault="002E72AD" w:rsidP="002E72AD">
      <w:pPr>
        <w:spacing w:after="120"/>
        <w:jc w:val="both"/>
        <w:rPr>
          <w:rFonts w:eastAsia="Batang"/>
          <w:bCs/>
        </w:rPr>
      </w:pPr>
      <w:r w:rsidRPr="002E72AD">
        <w:rPr>
          <w:rFonts w:eastAsia="Batang"/>
          <w:bCs/>
        </w:rPr>
        <w:t>Кредитът за частния сектор се развиваше положително през цялата година, като в края на декември растежът му на годишна база се ускори до 9,3 %</w:t>
      </w:r>
      <w:r w:rsidRPr="002E72AD">
        <w:rPr>
          <w:rFonts w:eastAsia="Batang"/>
          <w:bCs/>
          <w:vertAlign w:val="superscript"/>
        </w:rPr>
        <w:footnoteReference w:id="3"/>
      </w:r>
      <w:r w:rsidRPr="002E72AD">
        <w:rPr>
          <w:rFonts w:eastAsia="Batang"/>
          <w:bCs/>
        </w:rPr>
        <w:t xml:space="preserve">. Принос за това, от една страна имаше продължаващата възходяща динамика при кредитите на нефинансовите предприятия и домакинствата, движена от фундаменталните икономически фактори, а от друга страна и на по-високия положителен принос на кредитите, предоставени на финансови предприятия в края на годината. Кредитите на нефинансовите предприятия също ускориха растежа си в края на годината - до 5,9 %, при трайно подобряване на качеството на портфейлите на банките в този сегмент видно от значителното намаление на лошите и преструктурирани кредити, и в същото време нарастване на редовните кредити. </w:t>
      </w:r>
    </w:p>
    <w:p w:rsidR="002E72AD" w:rsidRPr="002E72AD" w:rsidRDefault="002E72AD" w:rsidP="002E72AD">
      <w:pPr>
        <w:spacing w:after="120"/>
        <w:jc w:val="both"/>
        <w:rPr>
          <w:rFonts w:eastAsia="Batang"/>
          <w:bCs/>
        </w:rPr>
      </w:pPr>
      <w:r w:rsidRPr="002E72AD">
        <w:rPr>
          <w:rFonts w:eastAsia="Batang"/>
          <w:bCs/>
        </w:rPr>
        <w:t xml:space="preserve">Средата на ниски лихвени равнища и безработица, както и динамиката при доходите продължиха да мотивират търсенето на кредити от домакинствата. Тяхното годишно увеличение в края на декември беше 9,5 %. Кредитите за потребление </w:t>
      </w:r>
      <w:r w:rsidR="00EC705B">
        <w:rPr>
          <w:rFonts w:eastAsia="Batang"/>
          <w:bCs/>
        </w:rPr>
        <w:t xml:space="preserve">нараснаха с </w:t>
      </w:r>
      <w:r w:rsidRPr="002E72AD">
        <w:rPr>
          <w:rFonts w:eastAsia="Batang"/>
          <w:bCs/>
        </w:rPr>
        <w:t xml:space="preserve">10,8 % на годишна база, а тези за покупка на жилища с 14,5 %, като намалението на лошите и преструктурирани кредити в тези сегменти беше характерно през цялата година. Другите кредити, част от кредитите на домакинствата продължиха да се свиват през годината и да имат отрицателен принос. </w:t>
      </w:r>
    </w:p>
    <w:p w:rsidR="00D8152D" w:rsidRPr="00CF0C92" w:rsidRDefault="00D8152D" w:rsidP="00717202">
      <w:pPr>
        <w:spacing w:before="360"/>
        <w:jc w:val="both"/>
        <w:rPr>
          <w:b/>
          <w:i/>
          <w:u w:val="single"/>
        </w:rPr>
      </w:pPr>
      <w:r w:rsidRPr="00CF0C92">
        <w:rPr>
          <w:b/>
          <w:i/>
          <w:u w:val="single"/>
        </w:rPr>
        <w:t>Бюджетна позиция</w:t>
      </w:r>
    </w:p>
    <w:p w:rsidR="00CF0C92" w:rsidRPr="00CF0C92" w:rsidRDefault="00CF0C92" w:rsidP="00344DB4">
      <w:pPr>
        <w:spacing w:before="120"/>
        <w:jc w:val="both"/>
      </w:pPr>
      <w:r w:rsidRPr="00CF0C92">
        <w:t>На база на данните от месечните отчети за касовото изпълнение на бюджетите на първостепенните разпоредители с бюджет салдото по консолидираната фискална програма (КФП) за 2019 г. е отрицателно в размер на 1 148,</w:t>
      </w:r>
      <w:r w:rsidR="000D1E34">
        <w:rPr>
          <w:lang w:val="en-US"/>
        </w:rPr>
        <w:t>3</w:t>
      </w:r>
      <w:r w:rsidRPr="00CF0C92">
        <w:t xml:space="preserve"> млн. лв. (0,97 % от прогнозния БВП). Спрямо заложената цел с разчетите към ЗДБРБ за 2019 г. бюджетното салдо по КФП отчита номинално подобрение с близо 1,3 млрд. лева. Доброто фискално представяне и подобряването на външните баланси на страната са сред силните страни на водената политика, които бяха оценени положително от S&amp;P </w:t>
      </w:r>
      <w:proofErr w:type="spellStart"/>
      <w:r w:rsidRPr="00CF0C92">
        <w:t>Global</w:t>
      </w:r>
      <w:proofErr w:type="spellEnd"/>
      <w:r w:rsidRPr="00CF0C92">
        <w:t xml:space="preserve"> </w:t>
      </w:r>
      <w:proofErr w:type="spellStart"/>
      <w:r w:rsidRPr="00CF0C92">
        <w:t>Ratings</w:t>
      </w:r>
      <w:proofErr w:type="spellEnd"/>
      <w:r w:rsidRPr="00CF0C92">
        <w:t xml:space="preserve"> и доведоха до повишаване на кредитния рейтинг на България през ноември 2019 година. Очакванията са, че прогресивното укрепване на фискалната и външната позиция на България ще продължи и в средносрочен план, като страната ще се развива устойчиво, дори и в условията на очакваната по-слаба външна икономическа среда. Това от своя страна се отразява положително в намаление на разходите по обслужването държавния дълг, като на проведения през януари 2020 г. </w:t>
      </w:r>
      <w:proofErr w:type="spellStart"/>
      <w:r w:rsidRPr="00CF0C92">
        <w:t>аукцион</w:t>
      </w:r>
      <w:proofErr w:type="spellEnd"/>
      <w:r w:rsidRPr="00CF0C92">
        <w:t xml:space="preserve"> за пет годишни ДЦК за първи път при този </w:t>
      </w:r>
      <w:proofErr w:type="spellStart"/>
      <w:r w:rsidRPr="00CF0C92">
        <w:t>матуритет</w:t>
      </w:r>
      <w:proofErr w:type="spellEnd"/>
      <w:r w:rsidRPr="00CF0C92">
        <w:t xml:space="preserve"> беше пости</w:t>
      </w:r>
      <w:r w:rsidR="00355740">
        <w:t xml:space="preserve">гната </w:t>
      </w:r>
      <w:r w:rsidR="00355740">
        <w:lastRenderedPageBreak/>
        <w:t xml:space="preserve">отрицателна доходност, </w:t>
      </w:r>
      <w:r w:rsidR="00AA4649">
        <w:t>а</w:t>
      </w:r>
      <w:r w:rsidR="00355740">
        <w:t xml:space="preserve"> също така бе отчетено</w:t>
      </w:r>
      <w:r w:rsidRPr="00CF0C92">
        <w:t xml:space="preserve"> и значително свиване на </w:t>
      </w:r>
      <w:proofErr w:type="spellStart"/>
      <w:r w:rsidRPr="00CF0C92">
        <w:t>спреда</w:t>
      </w:r>
      <w:proofErr w:type="spellEnd"/>
      <w:r w:rsidRPr="00CF0C92">
        <w:t xml:space="preserve"> спрямо германските федерални облигации със сходен </w:t>
      </w:r>
      <w:proofErr w:type="spellStart"/>
      <w:r w:rsidRPr="00CF0C92">
        <w:t>матуритет</w:t>
      </w:r>
      <w:proofErr w:type="spellEnd"/>
      <w:r w:rsidRPr="00CF0C92">
        <w:t xml:space="preserve">. </w:t>
      </w:r>
    </w:p>
    <w:p w:rsidR="00EE7273" w:rsidRPr="00C2330F" w:rsidRDefault="00EE7273" w:rsidP="006A677D">
      <w:pPr>
        <w:spacing w:before="360"/>
        <w:jc w:val="both"/>
        <w:rPr>
          <w:b/>
          <w:u w:val="single"/>
          <w:lang w:val="en-US"/>
        </w:rPr>
      </w:pPr>
      <w:r w:rsidRPr="00C2330F">
        <w:rPr>
          <w:b/>
          <w:u w:val="single"/>
        </w:rPr>
        <w:t>Основни акценти във връзка с текущото наблюдение на изпълнението на консолидираната фискална програма за 201</w:t>
      </w:r>
      <w:r w:rsidR="00475A00" w:rsidRPr="00C2330F">
        <w:rPr>
          <w:b/>
          <w:u w:val="single"/>
          <w:lang w:val="en-US"/>
        </w:rPr>
        <w:t>9</w:t>
      </w:r>
      <w:r w:rsidRPr="00C2330F">
        <w:rPr>
          <w:b/>
          <w:u w:val="single"/>
        </w:rPr>
        <w:t xml:space="preserve"> г.</w:t>
      </w:r>
    </w:p>
    <w:p w:rsidR="006E2597" w:rsidRPr="00F97F94" w:rsidRDefault="006E2597" w:rsidP="006E2597">
      <w:pPr>
        <w:spacing w:before="120" w:after="120"/>
        <w:jc w:val="both"/>
        <w:rPr>
          <w:bCs/>
          <w:color w:val="000000" w:themeColor="text1"/>
          <w:lang w:eastAsia="bg-BG"/>
        </w:rPr>
      </w:pPr>
      <w:r w:rsidRPr="00F97F94">
        <w:t>Изпъл</w:t>
      </w:r>
      <w:r>
        <w:t>нението на основните параметри по</w:t>
      </w:r>
      <w:r w:rsidRPr="00F97F94">
        <w:t xml:space="preserve"> консолидираната фискална програма през 2019 година се разви в съответствие със заложената актуализирана рамка за годината, като приходите бяха изпълнени в пълен размер (изпълнение 1</w:t>
      </w:r>
      <w:r>
        <w:t>00,</w:t>
      </w:r>
      <w:r>
        <w:rPr>
          <w:lang w:val="en-US"/>
        </w:rPr>
        <w:t>4</w:t>
      </w:r>
      <w:r w:rsidRPr="00F97F94">
        <w:t xml:space="preserve"> % спрямо годишния разчет).</w:t>
      </w:r>
      <w:r w:rsidRPr="00F97F94">
        <w:rPr>
          <w:rFonts w:eastAsia="Batang"/>
          <w:color w:val="548DD4" w:themeColor="text2" w:themeTint="99"/>
        </w:rPr>
        <w:t xml:space="preserve"> </w:t>
      </w:r>
      <w:r w:rsidR="0060780D" w:rsidRPr="0060780D">
        <w:rPr>
          <w:rFonts w:eastAsia="Calibri"/>
          <w:color w:val="000000" w:themeColor="text1"/>
        </w:rPr>
        <w:t>Съпоставено с предходната година, данъчните, вкл. осигурителните приходи нарастват номинално с 3,0 млрд. лв. (9,4 %), като приходите от данъци по държавния бюджет нарастват с 1,9 млрд. лв. (8,7 %), а приходите от социални и здравноосигурителни вноски отчитат ръст от почти 1,</w:t>
      </w:r>
      <w:proofErr w:type="spellStart"/>
      <w:r w:rsidR="0060780D" w:rsidRPr="0060780D">
        <w:rPr>
          <w:rFonts w:eastAsia="Calibri"/>
          <w:color w:val="000000" w:themeColor="text1"/>
        </w:rPr>
        <w:t>1</w:t>
      </w:r>
      <w:proofErr w:type="spellEnd"/>
      <w:r w:rsidR="0060780D" w:rsidRPr="0060780D">
        <w:rPr>
          <w:rFonts w:eastAsia="Calibri"/>
          <w:color w:val="000000" w:themeColor="text1"/>
        </w:rPr>
        <w:t xml:space="preserve"> млрд. лв. (11,5 %)</w:t>
      </w:r>
      <w:r w:rsidR="0060780D">
        <w:rPr>
          <w:rFonts w:eastAsia="Calibri"/>
          <w:color w:val="000000" w:themeColor="text1"/>
        </w:rPr>
        <w:t>.</w:t>
      </w:r>
      <w:r w:rsidRPr="00F97F94">
        <w:rPr>
          <w:rFonts w:eastAsia="Calibri"/>
          <w:color w:val="000000" w:themeColor="text1"/>
        </w:rPr>
        <w:t xml:space="preserve"> </w:t>
      </w:r>
      <w:r w:rsidRPr="00F97F94">
        <w:rPr>
          <w:bCs/>
          <w:color w:val="000000" w:themeColor="text1"/>
          <w:lang w:eastAsia="bg-BG"/>
        </w:rPr>
        <w:t xml:space="preserve">Основните фактори за ръста на приходите са, от една страна, продължаващото възходящо развитие при някои от важните макроикономически индикатори като потребление, инвестиции и др., както и намаление на нивото на безработица, и от друга, на изпълнението на мерките за повишаване на събираемостта на приходите, справяне със сенчестата икономика, както и други стъпки в тази насока. </w:t>
      </w:r>
      <w:r w:rsidR="00EF2CBB" w:rsidRPr="00EF2CBB">
        <w:rPr>
          <w:bCs/>
          <w:color w:val="000000" w:themeColor="text1"/>
          <w:lang w:eastAsia="bg-BG"/>
        </w:rPr>
        <w:t xml:space="preserve">Повечето от мерките в областта на данъчната политика са с постоянен характер и са включени в стратегическите и оперативните документи на отговорните институции. Основните </w:t>
      </w:r>
      <w:r w:rsidR="00EF2CBB" w:rsidRPr="00EF2CBB">
        <w:rPr>
          <w:b/>
          <w:bCs/>
          <w:color w:val="000000" w:themeColor="text1"/>
          <w:lang w:eastAsia="bg-BG"/>
        </w:rPr>
        <w:t>постоянни мерки</w:t>
      </w:r>
      <w:r w:rsidR="00EF2CBB" w:rsidRPr="00EF2CBB">
        <w:rPr>
          <w:bCs/>
          <w:color w:val="000000" w:themeColor="text1"/>
          <w:lang w:eastAsia="bg-BG"/>
        </w:rPr>
        <w:t xml:space="preserve"> с доказана ефективност за повишаване на бюджетните проходи са следните: прилагане на </w:t>
      </w:r>
      <w:r w:rsidR="00EF2CBB" w:rsidRPr="00EF2CBB">
        <w:rPr>
          <w:b/>
          <w:bCs/>
          <w:i/>
          <w:color w:val="000000" w:themeColor="text1"/>
          <w:lang w:eastAsia="bg-BG"/>
        </w:rPr>
        <w:t>механизъм за обратно начисляване на ДДС при доставки на зърнени и технически култури</w:t>
      </w:r>
      <w:r w:rsidR="00EF2CBB" w:rsidRPr="00EF2CBB">
        <w:rPr>
          <w:bCs/>
          <w:color w:val="000000" w:themeColor="text1"/>
          <w:lang w:eastAsia="bg-BG"/>
        </w:rPr>
        <w:t xml:space="preserve"> (със срок за прилагане на механизма до 30 юни 2022 г.); засилване и усъвършенстване на </w:t>
      </w:r>
      <w:r w:rsidR="00EF2CBB" w:rsidRPr="00EF2CBB">
        <w:rPr>
          <w:b/>
          <w:bCs/>
          <w:i/>
          <w:color w:val="000000" w:themeColor="text1"/>
          <w:lang w:eastAsia="bg-BG"/>
        </w:rPr>
        <w:t>фискалния контрол върху движението на стоки с висок фискален риск</w:t>
      </w:r>
      <w:r w:rsidR="00EF2CBB" w:rsidRPr="00EF2CBB">
        <w:rPr>
          <w:bCs/>
          <w:color w:val="000000" w:themeColor="text1"/>
          <w:lang w:eastAsia="bg-BG"/>
        </w:rPr>
        <w:t xml:space="preserve"> </w:t>
      </w:r>
      <w:r w:rsidR="00EF2CBB" w:rsidRPr="00EF2CBB">
        <w:rPr>
          <w:bCs/>
          <w:color w:val="000000" w:themeColor="text1"/>
          <w:lang w:val="en-US" w:eastAsia="bg-BG"/>
        </w:rPr>
        <w:t>(</w:t>
      </w:r>
      <w:r w:rsidR="00EF2CBB" w:rsidRPr="00EF2CBB">
        <w:rPr>
          <w:bCs/>
          <w:color w:val="000000" w:themeColor="text1"/>
          <w:lang w:eastAsia="bg-BG"/>
        </w:rPr>
        <w:t>СВФР</w:t>
      </w:r>
      <w:r w:rsidR="00EF2CBB" w:rsidRPr="00EF2CBB">
        <w:rPr>
          <w:bCs/>
          <w:color w:val="000000" w:themeColor="text1"/>
          <w:lang w:val="en-US" w:eastAsia="bg-BG"/>
        </w:rPr>
        <w:t>)</w:t>
      </w:r>
      <w:r w:rsidR="00EF2CBB" w:rsidRPr="00EF2CBB">
        <w:rPr>
          <w:bCs/>
          <w:color w:val="000000" w:themeColor="text1"/>
          <w:lang w:eastAsia="bg-BG"/>
        </w:rPr>
        <w:t>,</w:t>
      </w:r>
      <w:r w:rsidR="00EF2CBB" w:rsidRPr="00EF2CBB" w:rsidDel="004B46E3">
        <w:rPr>
          <w:bCs/>
          <w:color w:val="000000" w:themeColor="text1"/>
          <w:lang w:eastAsia="bg-BG"/>
        </w:rPr>
        <w:t xml:space="preserve"> </w:t>
      </w:r>
      <w:r w:rsidR="00EF2CBB" w:rsidRPr="00EF2CBB">
        <w:rPr>
          <w:bCs/>
          <w:color w:val="000000" w:themeColor="text1"/>
          <w:lang w:eastAsia="bg-BG"/>
        </w:rPr>
        <w:t xml:space="preserve">чрез разширяване на обхвата на СВФР, откриване на нови фискални пунктове, задължително обезпечение за доставки на стоки от рискови лица и др.; усъвършенстване на </w:t>
      </w:r>
      <w:r w:rsidR="00EF2CBB" w:rsidRPr="00EF2CBB">
        <w:rPr>
          <w:b/>
          <w:bCs/>
          <w:i/>
          <w:color w:val="000000" w:themeColor="text1"/>
          <w:lang w:eastAsia="bg-BG"/>
        </w:rPr>
        <w:t>механизма за погасяване на публични задължения на лица с вземания от общини, други ведомства или държавни предприятия</w:t>
      </w:r>
      <w:r w:rsidR="00EF2CBB" w:rsidRPr="00EF2CBB">
        <w:rPr>
          <w:bCs/>
          <w:color w:val="000000" w:themeColor="text1"/>
          <w:lang w:eastAsia="bg-BG"/>
        </w:rPr>
        <w:t xml:space="preserve"> по договори за обществени поръчки и такива, възложени в изпълнение на оперативни програми на ЕС; засилване на </w:t>
      </w:r>
      <w:r w:rsidR="00EF2CBB" w:rsidRPr="00EF2CBB">
        <w:rPr>
          <w:b/>
          <w:bCs/>
          <w:i/>
          <w:color w:val="000000" w:themeColor="text1"/>
          <w:lang w:eastAsia="bg-BG"/>
        </w:rPr>
        <w:t>контрола върху доставките и движението на течни горива</w:t>
      </w:r>
      <w:r w:rsidR="00EF2CBB" w:rsidRPr="00EF2CBB">
        <w:rPr>
          <w:bCs/>
          <w:color w:val="000000" w:themeColor="text1"/>
          <w:lang w:eastAsia="bg-BG"/>
        </w:rPr>
        <w:t xml:space="preserve">, като се прилага механизъм за предоставяне на обезпечения, насочен към предотвратяване на възможностите за злоупотреби и данъчни измами с ДДС при търговията с течни горива, създава се система за 24-часово </w:t>
      </w:r>
      <w:proofErr w:type="spellStart"/>
      <w:r w:rsidR="00EF2CBB" w:rsidRPr="00EF2CBB">
        <w:rPr>
          <w:bCs/>
          <w:color w:val="000000" w:themeColor="text1"/>
          <w:lang w:eastAsia="bg-BG"/>
        </w:rPr>
        <w:t>видеонаблюдение</w:t>
      </w:r>
      <w:proofErr w:type="spellEnd"/>
      <w:r w:rsidR="00EF2CBB" w:rsidRPr="00EF2CBB">
        <w:rPr>
          <w:bCs/>
          <w:color w:val="000000" w:themeColor="text1"/>
          <w:lang w:eastAsia="bg-BG"/>
        </w:rPr>
        <w:t xml:space="preserve"> на движението на горивата от танкерите до бензиностанциите към контрабандния център на ГДБОП и др.; развиване на работата на </w:t>
      </w:r>
      <w:r w:rsidR="00EF2CBB" w:rsidRPr="00EF2CBB">
        <w:rPr>
          <w:b/>
          <w:bCs/>
          <w:i/>
          <w:color w:val="000000" w:themeColor="text1"/>
          <w:lang w:eastAsia="bg-BG"/>
        </w:rPr>
        <w:t>Междуведомствения координационен център към ГДБОБ</w:t>
      </w:r>
      <w:r w:rsidR="00EF2CBB" w:rsidRPr="00EF2CBB">
        <w:rPr>
          <w:bCs/>
          <w:color w:val="000000" w:themeColor="text1"/>
          <w:lang w:eastAsia="bg-BG"/>
        </w:rPr>
        <w:t xml:space="preserve">, с цел намаляване на броя на данъчните злоупотреби и отклонение от данъчно облагане; осъществяване на </w:t>
      </w:r>
      <w:r w:rsidR="00EF2CBB" w:rsidRPr="00EF2CBB">
        <w:rPr>
          <w:b/>
          <w:bCs/>
          <w:i/>
          <w:color w:val="000000" w:themeColor="text1"/>
          <w:lang w:eastAsia="bg-BG"/>
        </w:rPr>
        <w:t xml:space="preserve">постоянен мониторинг спрямо </w:t>
      </w:r>
      <w:proofErr w:type="spellStart"/>
      <w:r w:rsidR="00EF2CBB" w:rsidRPr="00EF2CBB">
        <w:rPr>
          <w:b/>
          <w:bCs/>
          <w:i/>
          <w:color w:val="000000" w:themeColor="text1"/>
          <w:lang w:eastAsia="bg-BG"/>
        </w:rPr>
        <w:t>длъжници</w:t>
      </w:r>
      <w:proofErr w:type="spellEnd"/>
      <w:r w:rsidR="00EF2CBB" w:rsidRPr="00EF2CBB">
        <w:rPr>
          <w:b/>
          <w:bCs/>
          <w:i/>
          <w:color w:val="000000" w:themeColor="text1"/>
          <w:lang w:eastAsia="bg-BG"/>
        </w:rPr>
        <w:t xml:space="preserve"> с просрочени задължения в размер над 100 хил. лв.</w:t>
      </w:r>
      <w:r w:rsidR="00EF2CBB" w:rsidRPr="00EF2CBB">
        <w:rPr>
          <w:bCs/>
          <w:color w:val="000000" w:themeColor="text1"/>
          <w:lang w:eastAsia="bg-BG"/>
        </w:rPr>
        <w:t xml:space="preserve"> (200 хил. лв. за Териториална дирекция на НАП София-град) и утвърден план за провеждане на телефонни кампании по график. През 2019 г. бяха приети </w:t>
      </w:r>
      <w:r w:rsidR="00EF2CBB" w:rsidRPr="00EF2CBB">
        <w:rPr>
          <w:b/>
          <w:bCs/>
          <w:color w:val="000000" w:themeColor="text1"/>
          <w:lang w:eastAsia="bg-BG"/>
        </w:rPr>
        <w:t>нови законодателни мерки</w:t>
      </w:r>
      <w:r w:rsidR="00EF2CBB" w:rsidRPr="00EF2CBB">
        <w:rPr>
          <w:bCs/>
          <w:color w:val="000000" w:themeColor="text1"/>
          <w:lang w:eastAsia="bg-BG"/>
        </w:rPr>
        <w:t xml:space="preserve">, с цел подобряване на събираемостта и оптимизиране на контролната дейност на приходните администрации, както следва: </w:t>
      </w:r>
      <w:r w:rsidR="00EF2CBB" w:rsidRPr="00EF2CBB">
        <w:rPr>
          <w:b/>
          <w:bCs/>
          <w:i/>
          <w:color w:val="000000" w:themeColor="text1"/>
          <w:lang w:eastAsia="bg-BG"/>
        </w:rPr>
        <w:t>отложеното начисляване на ДДС при внос</w:t>
      </w:r>
      <w:r w:rsidR="00EF2CBB" w:rsidRPr="00EF2CBB">
        <w:rPr>
          <w:bCs/>
          <w:color w:val="000000" w:themeColor="text1"/>
          <w:lang w:eastAsia="bg-BG"/>
        </w:rPr>
        <w:t xml:space="preserve">, с цел освобождаване на ресурси за вносителите на стоки в страната, което ще окаже значително влияние върху разходите и ще увеличи конкурентоспособността на стопанските субекти; въвеждане на </w:t>
      </w:r>
      <w:r w:rsidR="00EF2CBB" w:rsidRPr="00EF2CBB">
        <w:rPr>
          <w:b/>
          <w:bCs/>
          <w:i/>
          <w:color w:val="000000" w:themeColor="text1"/>
          <w:lang w:eastAsia="bg-BG"/>
        </w:rPr>
        <w:t xml:space="preserve">система за </w:t>
      </w:r>
      <w:proofErr w:type="spellStart"/>
      <w:r w:rsidR="00EF2CBB" w:rsidRPr="00EF2CBB">
        <w:rPr>
          <w:b/>
          <w:bCs/>
          <w:i/>
          <w:color w:val="000000" w:themeColor="text1"/>
          <w:lang w:eastAsia="bg-BG"/>
        </w:rPr>
        <w:t>видеонаблюдение</w:t>
      </w:r>
      <w:proofErr w:type="spellEnd"/>
      <w:r w:rsidR="00EF2CBB" w:rsidRPr="00EF2CBB">
        <w:rPr>
          <w:b/>
          <w:bCs/>
          <w:i/>
          <w:color w:val="000000" w:themeColor="text1"/>
          <w:lang w:eastAsia="bg-BG"/>
        </w:rPr>
        <w:t xml:space="preserve"> и контрол в данъчните складове</w:t>
      </w:r>
      <w:r w:rsidR="00EF2CBB" w:rsidRPr="00EF2CBB">
        <w:rPr>
          <w:bCs/>
          <w:color w:val="000000" w:themeColor="text1"/>
          <w:lang w:eastAsia="bg-BG"/>
        </w:rPr>
        <w:t xml:space="preserve">, с цел увеличаване на възможностите за ефективен контрол от страна на държавата върху акцизните стоки, подобряване на събираемостта на приходите от акцизи, намаляване на сивия сектор и осигуряване на условия на </w:t>
      </w:r>
      <w:proofErr w:type="spellStart"/>
      <w:r w:rsidR="00EF2CBB" w:rsidRPr="00EF2CBB">
        <w:rPr>
          <w:bCs/>
          <w:color w:val="000000" w:themeColor="text1"/>
          <w:lang w:eastAsia="bg-BG"/>
        </w:rPr>
        <w:t>равнопоставеност</w:t>
      </w:r>
      <w:proofErr w:type="spellEnd"/>
      <w:r w:rsidR="00EF2CBB" w:rsidRPr="00EF2CBB">
        <w:rPr>
          <w:bCs/>
          <w:color w:val="000000" w:themeColor="text1"/>
          <w:lang w:eastAsia="bg-BG"/>
        </w:rPr>
        <w:t xml:space="preserve"> на всички лицензирани </w:t>
      </w:r>
      <w:proofErr w:type="spellStart"/>
      <w:r w:rsidR="00EF2CBB" w:rsidRPr="00EF2CBB">
        <w:rPr>
          <w:bCs/>
          <w:color w:val="000000" w:themeColor="text1"/>
          <w:lang w:eastAsia="bg-BG"/>
        </w:rPr>
        <w:t>складодържатели</w:t>
      </w:r>
      <w:proofErr w:type="spellEnd"/>
      <w:r w:rsidR="00EF2CBB" w:rsidRPr="00EF2CBB">
        <w:rPr>
          <w:bCs/>
          <w:color w:val="000000" w:themeColor="text1"/>
          <w:lang w:eastAsia="bg-BG"/>
        </w:rPr>
        <w:t xml:space="preserve">; </w:t>
      </w:r>
      <w:r w:rsidR="00EF2CBB" w:rsidRPr="00EF2CBB">
        <w:rPr>
          <w:b/>
          <w:bCs/>
          <w:i/>
          <w:color w:val="000000" w:themeColor="text1"/>
          <w:lang w:eastAsia="bg-BG"/>
        </w:rPr>
        <w:t>предотвратяване на избягване на регистрация по Закона за ДДС чрез формална смяна на субекта</w:t>
      </w:r>
      <w:r w:rsidR="00EF2CBB" w:rsidRPr="00EF2CBB">
        <w:rPr>
          <w:bCs/>
          <w:color w:val="000000" w:themeColor="text1"/>
          <w:lang w:eastAsia="bg-BG"/>
        </w:rPr>
        <w:t xml:space="preserve">. </w:t>
      </w:r>
      <w:r w:rsidRPr="00F97F94">
        <w:rPr>
          <w:bCs/>
          <w:color w:val="000000" w:themeColor="text1"/>
          <w:lang w:eastAsia="bg-BG"/>
        </w:rPr>
        <w:t>Системното прилагане на тези мерки вече оказва дисциплиниращ ефект и натиск върху сивата икономика, което се потвърждава от отчетените за поредна година добри параметри по изпълнението на данъчните и осигурителни приходи.</w:t>
      </w:r>
    </w:p>
    <w:p w:rsidR="006E2597" w:rsidRPr="00E74C5D" w:rsidRDefault="006E2597" w:rsidP="006E2597">
      <w:pPr>
        <w:spacing w:after="120"/>
        <w:jc w:val="both"/>
        <w:rPr>
          <w:color w:val="000000" w:themeColor="text1"/>
        </w:rPr>
      </w:pPr>
      <w:r w:rsidRPr="00EE50AB">
        <w:rPr>
          <w:rFonts w:eastAsia="Batang"/>
          <w:bCs/>
          <w:color w:val="000000" w:themeColor="text1"/>
        </w:rPr>
        <w:t>Параметрите по разходите са близки до планираните с разчетите към ЗДБРБ за 2019 г., като разходите и вноската на Република България за общия бюджет на ЕС представляват 97,</w:t>
      </w:r>
      <w:r w:rsidR="000274C9">
        <w:rPr>
          <w:rFonts w:eastAsia="Batang"/>
          <w:bCs/>
          <w:color w:val="000000" w:themeColor="text1"/>
        </w:rPr>
        <w:t>6</w:t>
      </w:r>
      <w:r w:rsidRPr="00EE50AB">
        <w:rPr>
          <w:rFonts w:eastAsia="Batang"/>
          <w:bCs/>
          <w:color w:val="000000" w:themeColor="text1"/>
        </w:rPr>
        <w:t xml:space="preserve"> % спрямо актуализираните годишни разчет</w:t>
      </w:r>
      <w:r w:rsidR="00251591">
        <w:rPr>
          <w:rFonts w:eastAsia="Batang"/>
          <w:bCs/>
          <w:color w:val="000000" w:themeColor="text1"/>
        </w:rPr>
        <w:t>и</w:t>
      </w:r>
      <w:r w:rsidRPr="00EE50AB">
        <w:rPr>
          <w:rFonts w:eastAsia="Batang"/>
          <w:bCs/>
          <w:color w:val="000000" w:themeColor="text1"/>
        </w:rPr>
        <w:t xml:space="preserve"> към ЗДБРБ за 2019 година. </w:t>
      </w:r>
      <w:r w:rsidRPr="00EE50AB">
        <w:rPr>
          <w:color w:val="000000" w:themeColor="text1"/>
        </w:rPr>
        <w:t xml:space="preserve">Приоритетите </w:t>
      </w:r>
      <w:r>
        <w:rPr>
          <w:color w:val="000000" w:themeColor="text1"/>
        </w:rPr>
        <w:t xml:space="preserve">в частта на разходите бяха насочени основно към мерки в частта на политиката по доходите в бюджетния сектор, социалната и пенсионната система, здравеопазването, образованието, </w:t>
      </w:r>
      <w:r>
        <w:rPr>
          <w:color w:val="000000" w:themeColor="text1"/>
        </w:rPr>
        <w:lastRenderedPageBreak/>
        <w:t>отбраната и други.</w:t>
      </w:r>
      <w:r w:rsidRPr="00D009DF">
        <w:rPr>
          <w:color w:val="000000" w:themeColor="text1"/>
        </w:rPr>
        <w:t xml:space="preserve"> С най-голяма социална значимост и с непосредствен ефект върху благосъстоянието на хората бяха планираните мерки за 2019 г., отнасящи се до политиката по доходите, като през 2019 г. се увеличиха разходите за персонал в бюджетната сфера с 10 %, възнагражденията на педагогическия персонал - средно с 20</w:t>
      </w:r>
      <w:r w:rsidR="009247A9">
        <w:rPr>
          <w:color w:val="000000" w:themeColor="text1"/>
        </w:rPr>
        <w:t xml:space="preserve"> </w:t>
      </w:r>
      <w:r w:rsidRPr="00D009DF">
        <w:rPr>
          <w:color w:val="000000" w:themeColor="text1"/>
        </w:rPr>
        <w:t>%, също така и  мерките в пенсионната политика -</w:t>
      </w:r>
      <w:r w:rsidR="009247A9">
        <w:rPr>
          <w:color w:val="000000" w:themeColor="text1"/>
        </w:rPr>
        <w:t xml:space="preserve"> </w:t>
      </w:r>
      <w:r w:rsidRPr="00D009DF">
        <w:rPr>
          <w:color w:val="000000" w:themeColor="text1"/>
        </w:rPr>
        <w:t>от 1 юли 2019 г. бяха увеличени всички пенсии отпуснати до 31 декември 2018 г. с 5,7 % и беше увеличен максималния размер на получаваните една</w:t>
      </w:r>
      <w:r>
        <w:rPr>
          <w:color w:val="000000" w:themeColor="text1"/>
        </w:rPr>
        <w:t xml:space="preserve"> или повече пенсии на 1 200 лв. </w:t>
      </w:r>
      <w:r w:rsidRPr="00E74C5D">
        <w:t>През 2019 г. за Великден и Коледа бяха изплатени добавки към пенсиите на пенсионерите с най-ниски пенсии, по-високи са разходите по програмите, дейностите и службите по социалното осигуряване, подпомагане и заетостта, вкл. и с европейски средства.</w:t>
      </w:r>
    </w:p>
    <w:p w:rsidR="006E2597" w:rsidRDefault="006E2597" w:rsidP="006E2597">
      <w:pPr>
        <w:spacing w:after="120"/>
        <w:jc w:val="both"/>
        <w:rPr>
          <w:color w:val="000000" w:themeColor="text1"/>
        </w:rPr>
      </w:pPr>
      <w:r>
        <w:rPr>
          <w:color w:val="000000" w:themeColor="text1"/>
        </w:rPr>
        <w:t>Секторите на образованието и здравеопазването за поредна година са във фокуса на водената политика. Разходите за функция „Здравеопазване“ за годината са в размер на 4,5</w:t>
      </w:r>
      <w:r w:rsidR="00BC65EF">
        <w:rPr>
          <w:color w:val="000000" w:themeColor="text1"/>
        </w:rPr>
        <w:t xml:space="preserve"> </w:t>
      </w:r>
      <w:r>
        <w:rPr>
          <w:color w:val="000000" w:themeColor="text1"/>
        </w:rPr>
        <w:t xml:space="preserve">% от прогнозния БВП. </w:t>
      </w:r>
      <w:r w:rsidRPr="00B179EB">
        <w:rPr>
          <w:color w:val="000000" w:themeColor="text1"/>
        </w:rPr>
        <w:t xml:space="preserve">Съпоставено с годишния разчет, извършените разходи представляват 102,4 %, като </w:t>
      </w:r>
      <w:proofErr w:type="spellStart"/>
      <w:r w:rsidRPr="00B179EB">
        <w:rPr>
          <w:color w:val="000000" w:themeColor="text1"/>
        </w:rPr>
        <w:t>превишение</w:t>
      </w:r>
      <w:proofErr w:type="spellEnd"/>
      <w:r w:rsidRPr="00B179EB">
        <w:rPr>
          <w:color w:val="000000" w:themeColor="text1"/>
        </w:rPr>
        <w:t xml:space="preserve"> на разчета е свързано основно с извършените в края на годината разходи по бюджета на НЗОК за разплащане на задължения към чужбина за сметка на по- доброто изпълнение на приходите по бюджета на НЗОК.</w:t>
      </w:r>
      <w:r>
        <w:rPr>
          <w:color w:val="000000" w:themeColor="text1"/>
        </w:rPr>
        <w:t xml:space="preserve"> Разходите за функция „Образование“ са в размер на 3,8</w:t>
      </w:r>
      <w:r w:rsidR="000E0022">
        <w:rPr>
          <w:color w:val="000000" w:themeColor="text1"/>
        </w:rPr>
        <w:t xml:space="preserve"> </w:t>
      </w:r>
      <w:r>
        <w:rPr>
          <w:color w:val="000000" w:themeColor="text1"/>
        </w:rPr>
        <w:t xml:space="preserve">% от прогнозния БВП, като за поредна година публичните разходи в сектора нарастват значително. </w:t>
      </w:r>
    </w:p>
    <w:p w:rsidR="006E2597" w:rsidRDefault="006E2597" w:rsidP="006E2597">
      <w:pPr>
        <w:spacing w:after="120"/>
        <w:jc w:val="both"/>
        <w:rPr>
          <w:color w:val="000000" w:themeColor="text1"/>
        </w:rPr>
      </w:pPr>
      <w:r>
        <w:rPr>
          <w:color w:val="000000" w:themeColor="text1"/>
        </w:rPr>
        <w:t>Р</w:t>
      </w:r>
      <w:r w:rsidRPr="00B179EB">
        <w:rPr>
          <w:color w:val="000000" w:themeColor="text1"/>
        </w:rPr>
        <w:t>азвитието на инфраструктурата</w:t>
      </w:r>
      <w:r>
        <w:rPr>
          <w:color w:val="000000" w:themeColor="text1"/>
        </w:rPr>
        <w:t xml:space="preserve"> също е сред приоритетните разходни политики за годината.</w:t>
      </w:r>
      <w:r w:rsidRPr="00B179EB">
        <w:rPr>
          <w:color w:val="000000" w:themeColor="text1"/>
        </w:rPr>
        <w:t xml:space="preserve"> За поредна година бяха осигурени средства за реализиране на</w:t>
      </w:r>
      <w:r w:rsidRPr="00D009DF">
        <w:t xml:space="preserve"> големи инфраструктурни проекти, в т.ч. за изграждането на нови участъци от АМ “Хемус” и АМ „Европа“, както и за ремонти на съоръжения на АМ „Тракия“, АМ „Хемус“, участъци от първокласна, второкласна и третокласна пътна мрежа и др. Политики за развитие на транспортната инфраструктура ще допринесат за стимулирането на икономиката в тези региони на страната, които трябва да постигнат изпреварващо развитие и да привлекат нови инвестиции.</w:t>
      </w:r>
    </w:p>
    <w:p w:rsidR="006E2597" w:rsidRDefault="006E2597" w:rsidP="006E2597">
      <w:pPr>
        <w:spacing w:after="120"/>
        <w:jc w:val="both"/>
        <w:rPr>
          <w:color w:val="000000" w:themeColor="text1"/>
        </w:rPr>
      </w:pPr>
      <w:r w:rsidRPr="00D009DF">
        <w:rPr>
          <w:color w:val="000000" w:themeColor="text1"/>
        </w:rPr>
        <w:t xml:space="preserve">Друг акцент в разходните политики за годината бе развитието на националните отбранителни способности. </w:t>
      </w:r>
      <w:r>
        <w:rPr>
          <w:color w:val="000000" w:themeColor="text1"/>
        </w:rPr>
        <w:t>Разходите за функция „Отбрана и сигурност“ за годината са в размер на 5,</w:t>
      </w:r>
      <w:proofErr w:type="spellStart"/>
      <w:r w:rsidR="00AD334E">
        <w:rPr>
          <w:color w:val="000000" w:themeColor="text1"/>
        </w:rPr>
        <w:t>5</w:t>
      </w:r>
      <w:proofErr w:type="spellEnd"/>
      <w:r w:rsidR="004C7AF0">
        <w:rPr>
          <w:color w:val="000000" w:themeColor="text1"/>
        </w:rPr>
        <w:t xml:space="preserve"> </w:t>
      </w:r>
      <w:r>
        <w:rPr>
          <w:color w:val="000000" w:themeColor="text1"/>
        </w:rPr>
        <w:t xml:space="preserve">% от прогнозния БВП. </w:t>
      </w:r>
      <w:r w:rsidRPr="00D009DF">
        <w:rPr>
          <w:color w:val="000000" w:themeColor="text1"/>
        </w:rPr>
        <w:t xml:space="preserve">В изпълнение на Решение на Народното </w:t>
      </w:r>
      <w:r>
        <w:rPr>
          <w:color w:val="000000" w:themeColor="text1"/>
        </w:rPr>
        <w:t xml:space="preserve">събрание от 16-и януари 2019 г. </w:t>
      </w:r>
      <w:r w:rsidRPr="00B179EB">
        <w:rPr>
          <w:color w:val="000000" w:themeColor="text1"/>
        </w:rPr>
        <w:t>бяха проведени преговори с правителството на САЩ за придобиване на нов тип боен самолет, като в резултат бе предложено на Народното събрание да ратифицира четири отделни договора между Република България и правителството на САЩ</w:t>
      </w:r>
      <w:r w:rsidRPr="00E74C5D">
        <w:rPr>
          <w:color w:val="000000" w:themeColor="text1"/>
        </w:rPr>
        <w:t xml:space="preserve"> </w:t>
      </w:r>
      <w:r>
        <w:rPr>
          <w:color w:val="000000" w:themeColor="text1"/>
        </w:rPr>
        <w:t xml:space="preserve">за реализиране на проекта. </w:t>
      </w:r>
      <w:r w:rsidRPr="00B179EB">
        <w:rPr>
          <w:color w:val="000000" w:themeColor="text1"/>
        </w:rPr>
        <w:t>Съществен момент във финансовия модел на договорите, бе начинът на плащане, който предвиждаше определената цена, да се депозира изцяло в кратък срок след тяхното подписване по сметка на федералното правителство. Депозираните средства ще се използват от Агенцията на САЩ за сътрудничество в областта на отбраната и сигурността за извършване на плащания през целия ход на изпълнението на договорите. Този финансов модел и значителната стойност на договорите наложиха осигуряването на допълнителни разходи по бюджета на Министерството на отбраната за 2019 г., което от своя страна наложи изготвянето и приемането на ЗИД на ЗДБРБ за 2019 г. С разчетите към актуализирания ЗДБРБ за 2019 г. бе пред</w:t>
      </w:r>
      <w:r w:rsidR="00516B43">
        <w:rPr>
          <w:color w:val="000000" w:themeColor="text1"/>
        </w:rPr>
        <w:t>в</w:t>
      </w:r>
      <w:r w:rsidRPr="00B179EB">
        <w:rPr>
          <w:color w:val="000000" w:themeColor="text1"/>
        </w:rPr>
        <w:t>идено дефицитът по консолидираната фискална програма за 2019 г. да не надвиши 2,1 % от прогнозния БВП.</w:t>
      </w:r>
      <w:r>
        <w:rPr>
          <w:color w:val="000000" w:themeColor="text1"/>
        </w:rPr>
        <w:t xml:space="preserve"> </w:t>
      </w:r>
    </w:p>
    <w:p w:rsidR="006E2597" w:rsidRPr="009A1637" w:rsidRDefault="006E2597" w:rsidP="006E2597">
      <w:pPr>
        <w:spacing w:after="120"/>
        <w:jc w:val="both"/>
        <w:rPr>
          <w:color w:val="000000" w:themeColor="text1"/>
        </w:rPr>
      </w:pPr>
      <w:r>
        <w:rPr>
          <w:color w:val="000000" w:themeColor="text1"/>
        </w:rPr>
        <w:t xml:space="preserve">На база на данните от месечните отчети за </w:t>
      </w:r>
      <w:r w:rsidRPr="00D009DF">
        <w:rPr>
          <w:color w:val="000000" w:themeColor="text1"/>
        </w:rPr>
        <w:t>касовото изпълнение на бюджетите на първостепенните разпоредители с бюджет салдото</w:t>
      </w:r>
      <w:r>
        <w:rPr>
          <w:color w:val="000000" w:themeColor="text1"/>
        </w:rPr>
        <w:t xml:space="preserve"> </w:t>
      </w:r>
      <w:r w:rsidRPr="009A1637">
        <w:rPr>
          <w:color w:val="000000" w:themeColor="text1"/>
        </w:rPr>
        <w:t>по консолидираната фискална програма за 2019 г. е отрицателно в размер на 0,97 % от прогнозния БВП, като влошаване</w:t>
      </w:r>
      <w:r>
        <w:rPr>
          <w:color w:val="000000" w:themeColor="text1"/>
        </w:rPr>
        <w:t>то</w:t>
      </w:r>
      <w:r w:rsidRPr="009A1637">
        <w:rPr>
          <w:color w:val="000000" w:themeColor="text1"/>
        </w:rPr>
        <w:t xml:space="preserve"> на бюджетния баланс на касова основа за годината се дължи на </w:t>
      </w:r>
      <w:r w:rsidR="004A18B0">
        <w:rPr>
          <w:color w:val="000000" w:themeColor="text1"/>
        </w:rPr>
        <w:t xml:space="preserve">извършените </w:t>
      </w:r>
      <w:r w:rsidRPr="009A1637">
        <w:rPr>
          <w:color w:val="000000" w:themeColor="text1"/>
        </w:rPr>
        <w:t xml:space="preserve">разходи, свързани с реализирането на инвестиционния проект за придобиване на нов тип боен самолет за българските ВВС. </w:t>
      </w:r>
      <w:r>
        <w:rPr>
          <w:color w:val="000000" w:themeColor="text1"/>
        </w:rPr>
        <w:t xml:space="preserve">Важно е да се отбележи, че </w:t>
      </w:r>
      <w:r w:rsidRPr="003D20A8">
        <w:rPr>
          <w:color w:val="000000"/>
        </w:rPr>
        <w:t xml:space="preserve">влошаването на бюджетното салдо за 2019 г. представлява еднократно събитие за текущата година и не води до промяна на фискалните цели за постигане на балансирано бюджетно салдо по консолидираната фискална програма за 2020 г. и за периода 2021 г. и 2022 г., съгласно </w:t>
      </w:r>
      <w:r>
        <w:rPr>
          <w:color w:val="000000"/>
        </w:rPr>
        <w:t>Актуализираната с</w:t>
      </w:r>
      <w:r w:rsidRPr="003D20A8">
        <w:rPr>
          <w:color w:val="000000"/>
        </w:rPr>
        <w:t>редносрочната бюджетн</w:t>
      </w:r>
      <w:r>
        <w:rPr>
          <w:color w:val="000000"/>
        </w:rPr>
        <w:t>а прогноза за периода 2020-2022 </w:t>
      </w:r>
      <w:r w:rsidRPr="003D20A8">
        <w:rPr>
          <w:color w:val="000000"/>
        </w:rPr>
        <w:t>г.</w:t>
      </w:r>
    </w:p>
    <w:p w:rsidR="006E2597" w:rsidRPr="00D56E22" w:rsidRDefault="006E2597" w:rsidP="006E2597">
      <w:pPr>
        <w:spacing w:after="240"/>
        <w:jc w:val="both"/>
        <w:rPr>
          <w:color w:val="000000" w:themeColor="text1"/>
        </w:rPr>
      </w:pPr>
      <w:r>
        <w:rPr>
          <w:color w:val="000000" w:themeColor="text1"/>
        </w:rPr>
        <w:lastRenderedPageBreak/>
        <w:t>З</w:t>
      </w:r>
      <w:r w:rsidRPr="00580BDC">
        <w:rPr>
          <w:color w:val="000000" w:themeColor="text1"/>
        </w:rPr>
        <w:t>аложените в ЗДБРБ за 2019 г. ограничители</w:t>
      </w:r>
      <w:r>
        <w:rPr>
          <w:color w:val="000000" w:themeColor="text1"/>
        </w:rPr>
        <w:t xml:space="preserve"> по отношение на държавния дълг</w:t>
      </w:r>
      <w:r w:rsidRPr="00580BDC">
        <w:rPr>
          <w:color w:val="000000" w:themeColor="text1"/>
        </w:rPr>
        <w:t xml:space="preserve"> са спазени. В номинално изражение държавният дълг за годината възлиза на 22,0 млрд. лв., като индикатора държавен дълг отнесен към БВП отчита </w:t>
      </w:r>
      <w:r>
        <w:rPr>
          <w:color w:val="000000" w:themeColor="text1"/>
        </w:rPr>
        <w:t xml:space="preserve">значително </w:t>
      </w:r>
      <w:r w:rsidRPr="00580BDC">
        <w:rPr>
          <w:color w:val="000000" w:themeColor="text1"/>
        </w:rPr>
        <w:t xml:space="preserve">подобрение </w:t>
      </w:r>
      <w:r>
        <w:rPr>
          <w:color w:val="000000" w:themeColor="text1"/>
        </w:rPr>
        <w:t xml:space="preserve">(1,5 пр. п.) </w:t>
      </w:r>
      <w:r w:rsidRPr="00580BDC">
        <w:rPr>
          <w:color w:val="000000" w:themeColor="text1"/>
        </w:rPr>
        <w:t xml:space="preserve">спрямо предходната година </w:t>
      </w:r>
      <w:r>
        <w:rPr>
          <w:color w:val="000000" w:themeColor="text1"/>
        </w:rPr>
        <w:t>–</w:t>
      </w:r>
      <w:r w:rsidRPr="00580BDC">
        <w:rPr>
          <w:color w:val="000000" w:themeColor="text1"/>
        </w:rPr>
        <w:t xml:space="preserve"> </w:t>
      </w:r>
      <w:r>
        <w:rPr>
          <w:color w:val="000000" w:themeColor="text1"/>
        </w:rPr>
        <w:t xml:space="preserve">относителният дял в БВП на държавния дълг се свива </w:t>
      </w:r>
      <w:r w:rsidRPr="00580BDC">
        <w:rPr>
          <w:color w:val="000000" w:themeColor="text1"/>
        </w:rPr>
        <w:t>от 20,1 % от БВП за 2018 г. до 18,6 % от прогнозния БВП за 2019 г.</w:t>
      </w:r>
    </w:p>
    <w:p w:rsidR="003A420E" w:rsidRPr="00C85532" w:rsidRDefault="003A420E" w:rsidP="003A420E">
      <w:pPr>
        <w:spacing w:after="120"/>
        <w:jc w:val="both"/>
        <w:rPr>
          <w:color w:val="0070C0"/>
          <w:sz w:val="12"/>
          <w:szCs w:val="12"/>
          <w:lang w:val="en-US"/>
        </w:rPr>
      </w:pPr>
    </w:p>
    <w:p w:rsidR="00007F94" w:rsidRPr="00C85532" w:rsidRDefault="00007F94" w:rsidP="00216C9A">
      <w:pPr>
        <w:ind w:firstLine="709"/>
        <w:jc w:val="both"/>
        <w:rPr>
          <w:b/>
          <w:color w:val="0070C0"/>
          <w:u w:val="single"/>
          <w:lang w:val="en-US"/>
        </w:rPr>
      </w:pPr>
    </w:p>
    <w:p w:rsidR="00774DE7" w:rsidRPr="00C85532" w:rsidRDefault="00774DE7">
      <w:pPr>
        <w:rPr>
          <w:color w:val="0070C0"/>
          <w:highlight w:val="yellow"/>
        </w:rPr>
      </w:pPr>
      <w:r w:rsidRPr="00C85532">
        <w:rPr>
          <w:color w:val="0070C0"/>
          <w:highlight w:val="yellow"/>
        </w:rPr>
        <w:br w:type="page"/>
      </w:r>
    </w:p>
    <w:p w:rsidR="00E74802" w:rsidRDefault="00E74802" w:rsidP="00C55A10">
      <w:pPr>
        <w:pStyle w:val="Heading1"/>
        <w:numPr>
          <w:ilvl w:val="0"/>
          <w:numId w:val="10"/>
        </w:numPr>
        <w:ind w:right="-108"/>
        <w:jc w:val="both"/>
        <w:rPr>
          <w:sz w:val="24"/>
        </w:rPr>
      </w:pPr>
      <w:r w:rsidRPr="004F2BF1">
        <w:rPr>
          <w:sz w:val="24"/>
        </w:rPr>
        <w:lastRenderedPageBreak/>
        <w:t>Основни показатели по консолидираната фискална програма</w:t>
      </w:r>
      <w:r w:rsidRPr="004F2BF1">
        <w:rPr>
          <w:rStyle w:val="FootnoteReference"/>
          <w:sz w:val="24"/>
        </w:rPr>
        <w:footnoteReference w:id="4"/>
      </w:r>
      <w:r w:rsidRPr="004F2BF1">
        <w:rPr>
          <w:sz w:val="24"/>
        </w:rPr>
        <w:t xml:space="preserve"> за 201</w:t>
      </w:r>
      <w:r w:rsidR="009F532D" w:rsidRPr="004F2BF1">
        <w:rPr>
          <w:sz w:val="24"/>
          <w:lang w:val="en-US"/>
        </w:rPr>
        <w:t>9</w:t>
      </w:r>
      <w:r w:rsidRPr="004F2BF1">
        <w:rPr>
          <w:sz w:val="24"/>
        </w:rPr>
        <w:t> г.</w:t>
      </w:r>
    </w:p>
    <w:p w:rsidR="006C34D7" w:rsidRPr="006C34D7" w:rsidRDefault="006C34D7" w:rsidP="006C34D7"/>
    <w:p w:rsidR="006C34D7" w:rsidRPr="00F8471F" w:rsidRDefault="006C34D7" w:rsidP="006C34D7">
      <w:pPr>
        <w:pStyle w:val="BodyText"/>
        <w:rPr>
          <w:bCs/>
        </w:rPr>
      </w:pPr>
      <w:r w:rsidRPr="00346828">
        <w:rPr>
          <w:b/>
        </w:rPr>
        <w:t>Постъпилите приходи, помощи и дарения по</w:t>
      </w:r>
      <w:r w:rsidRPr="00346828">
        <w:t xml:space="preserve"> </w:t>
      </w:r>
      <w:r w:rsidRPr="00346828">
        <w:rPr>
          <w:b/>
        </w:rPr>
        <w:t>КФП за 201</w:t>
      </w:r>
      <w:r w:rsidR="00346828" w:rsidRPr="00346828">
        <w:rPr>
          <w:b/>
          <w:lang w:val="en-US"/>
        </w:rPr>
        <w:t>9</w:t>
      </w:r>
      <w:r w:rsidRPr="00346828">
        <w:rPr>
          <w:b/>
        </w:rPr>
        <w:t xml:space="preserve"> г. </w:t>
      </w:r>
      <w:r w:rsidRPr="00346828">
        <w:t xml:space="preserve">представляват </w:t>
      </w:r>
      <w:r w:rsidR="00346828" w:rsidRPr="00346828">
        <w:rPr>
          <w:b/>
          <w:lang w:val="en-US"/>
        </w:rPr>
        <w:t>37</w:t>
      </w:r>
      <w:r w:rsidR="00346828" w:rsidRPr="00346828">
        <w:rPr>
          <w:b/>
        </w:rPr>
        <w:t>,1</w:t>
      </w:r>
      <w:r w:rsidRPr="00346828">
        <w:rPr>
          <w:b/>
        </w:rPr>
        <w:t xml:space="preserve"> % от </w:t>
      </w:r>
      <w:r w:rsidRPr="00385784">
        <w:rPr>
          <w:b/>
        </w:rPr>
        <w:t xml:space="preserve">прогнозния БВП. </w:t>
      </w:r>
      <w:r w:rsidRPr="00385784">
        <w:t>За сравнение</w:t>
      </w:r>
      <w:r w:rsidRPr="00385784">
        <w:rPr>
          <w:b/>
        </w:rPr>
        <w:t xml:space="preserve">  </w:t>
      </w:r>
      <w:r w:rsidRPr="00385784">
        <w:t>през предходната година приходите и помощите</w:t>
      </w:r>
      <w:r w:rsidRPr="00385784">
        <w:rPr>
          <w:b/>
        </w:rPr>
        <w:t xml:space="preserve"> </w:t>
      </w:r>
      <w:r w:rsidRPr="00385784">
        <w:t xml:space="preserve">са </w:t>
      </w:r>
      <w:r w:rsidR="00346828" w:rsidRPr="00385784">
        <w:rPr>
          <w:b/>
        </w:rPr>
        <w:t>36,1</w:t>
      </w:r>
      <w:r w:rsidRPr="00385784">
        <w:rPr>
          <w:b/>
        </w:rPr>
        <w:t xml:space="preserve"> % </w:t>
      </w:r>
      <w:r w:rsidRPr="00F8471F">
        <w:rPr>
          <w:b/>
        </w:rPr>
        <w:t xml:space="preserve">от БВП. </w:t>
      </w:r>
      <w:r w:rsidRPr="00F8471F">
        <w:t xml:space="preserve">Относителният дял в БВП при косвените данъци </w:t>
      </w:r>
      <w:r w:rsidR="00385784" w:rsidRPr="00F8471F">
        <w:t xml:space="preserve">е както </w:t>
      </w:r>
      <w:r w:rsidRPr="00F8471F">
        <w:t>отчетените за 201</w:t>
      </w:r>
      <w:r w:rsidR="00385784" w:rsidRPr="00F8471F">
        <w:t>8</w:t>
      </w:r>
      <w:r w:rsidRPr="00F8471F">
        <w:t xml:space="preserve"> г. При всички други елементи на приходите като относителен дял в БВП, съпоставено с предходната година, се отчита ръст, който е най-висок при неданъчните приходи и помощите – </w:t>
      </w:r>
      <w:r w:rsidR="00F8471F" w:rsidRPr="00F8471F">
        <w:t>0,6</w:t>
      </w:r>
      <w:r w:rsidRPr="00F8471F">
        <w:t xml:space="preserve"> пр. пункта.</w:t>
      </w:r>
    </w:p>
    <w:tbl>
      <w:tblPr>
        <w:tblW w:w="10357" w:type="dxa"/>
        <w:tblLook w:val="04A0" w:firstRow="1" w:lastRow="0" w:firstColumn="1" w:lastColumn="0" w:noHBand="0" w:noVBand="1"/>
      </w:tblPr>
      <w:tblGrid>
        <w:gridCol w:w="10357"/>
      </w:tblGrid>
      <w:tr w:rsidR="006C34D7" w:rsidRPr="0016173E" w:rsidTr="00B7263B">
        <w:tc>
          <w:tcPr>
            <w:tcW w:w="10357" w:type="dxa"/>
            <w:shd w:val="clear" w:color="auto" w:fill="auto"/>
          </w:tcPr>
          <w:p w:rsidR="006C34D7" w:rsidRPr="0016173E" w:rsidRDefault="00F87416" w:rsidP="00B7263B">
            <w:pPr>
              <w:jc w:val="both"/>
              <w:rPr>
                <w:color w:val="0070C0"/>
                <w:sz w:val="4"/>
                <w:szCs w:val="4"/>
              </w:rPr>
            </w:pPr>
            <w:r>
              <w:rPr>
                <w:bCs/>
                <w:noProof/>
                <w:color w:val="0070C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5pt;margin-top:7.15pt;width:465pt;height:184.8pt;z-index:251658240">
                  <v:imagedata r:id="rId9" o:title=""/>
                  <w10:wrap type="square" side="right"/>
                </v:shape>
                <o:OLEObject Type="Embed" ProgID="MSGraph.Chart.8" ShapeID="_x0000_s1027" DrawAspect="Content" ObjectID="_1642408708" r:id="rId10">
                  <o:FieldCodes>\s</o:FieldCodes>
                </o:OLEObject>
              </w:pict>
            </w:r>
          </w:p>
        </w:tc>
      </w:tr>
    </w:tbl>
    <w:p w:rsidR="006C34D7" w:rsidRPr="003675CF" w:rsidRDefault="006C34D7" w:rsidP="006C34D7">
      <w:pPr>
        <w:ind w:left="360"/>
        <w:jc w:val="both"/>
        <w:rPr>
          <w:sz w:val="18"/>
          <w:szCs w:val="18"/>
          <w:lang w:val="en-US"/>
        </w:rPr>
      </w:pPr>
      <w:r w:rsidRPr="003675CF">
        <w:rPr>
          <w:sz w:val="18"/>
          <w:szCs w:val="18"/>
        </w:rPr>
        <w:t>*В частта на преките данъци са включени и други данъци</w:t>
      </w:r>
    </w:p>
    <w:p w:rsidR="006C34D7" w:rsidRPr="0016173E" w:rsidRDefault="006C34D7" w:rsidP="006C34D7">
      <w:pPr>
        <w:jc w:val="both"/>
        <w:rPr>
          <w:b/>
          <w:color w:val="0070C0"/>
          <w:highlight w:val="yellow"/>
        </w:rPr>
      </w:pPr>
    </w:p>
    <w:p w:rsidR="006C34D7" w:rsidRPr="008A0754" w:rsidRDefault="006C34D7" w:rsidP="006C34D7">
      <w:pPr>
        <w:jc w:val="both"/>
      </w:pPr>
      <w:r w:rsidRPr="007445A8">
        <w:rPr>
          <w:b/>
        </w:rPr>
        <w:t>Разходите по КФП за 201</w:t>
      </w:r>
      <w:r w:rsidR="00495889">
        <w:rPr>
          <w:b/>
          <w:lang w:val="en-US"/>
        </w:rPr>
        <w:t>9</w:t>
      </w:r>
      <w:r w:rsidRPr="007445A8">
        <w:rPr>
          <w:b/>
        </w:rPr>
        <w:t xml:space="preserve"> г. </w:t>
      </w:r>
      <w:r w:rsidRPr="007445A8">
        <w:t>(включително вноската на Република България в общия бюджет на ЕС)</w:t>
      </w:r>
      <w:r w:rsidRPr="007445A8">
        <w:rPr>
          <w:b/>
        </w:rPr>
        <w:t xml:space="preserve"> </w:t>
      </w:r>
      <w:r w:rsidRPr="007445A8">
        <w:t xml:space="preserve">представляват </w:t>
      </w:r>
      <w:r w:rsidR="007445A8" w:rsidRPr="007445A8">
        <w:rPr>
          <w:b/>
        </w:rPr>
        <w:t>38,1</w:t>
      </w:r>
      <w:r w:rsidRPr="007445A8">
        <w:rPr>
          <w:b/>
        </w:rPr>
        <w:t xml:space="preserve"> % от прогнозния БВП </w:t>
      </w:r>
      <w:r w:rsidRPr="007445A8">
        <w:t xml:space="preserve">и отбелязват увеличение с </w:t>
      </w:r>
      <w:r w:rsidRPr="008A0754">
        <w:rPr>
          <w:lang w:val="en-US"/>
        </w:rPr>
        <w:t>2</w:t>
      </w:r>
      <w:r w:rsidRPr="008A0754">
        <w:t>,</w:t>
      </w:r>
      <w:r w:rsidR="007445A8" w:rsidRPr="008A0754">
        <w:t>1</w:t>
      </w:r>
      <w:r w:rsidRPr="008A0754">
        <w:t> пр. п. спрямо отчетените за 201</w:t>
      </w:r>
      <w:r w:rsidR="007445A8" w:rsidRPr="008A0754">
        <w:t>8</w:t>
      </w:r>
      <w:r w:rsidRPr="008A0754">
        <w:t xml:space="preserve"> г. (</w:t>
      </w:r>
      <w:r w:rsidR="007445A8" w:rsidRPr="008A0754">
        <w:t>36,0</w:t>
      </w:r>
      <w:r w:rsidRPr="008A0754">
        <w:t xml:space="preserve"> % от БВП). </w:t>
      </w:r>
      <w:r w:rsidR="00C4551F" w:rsidRPr="008A0754">
        <w:t xml:space="preserve">Относителният дял в БВП на капиталовите разходи, разходите за персонал и тези за субсидии нараства, а </w:t>
      </w:r>
      <w:r w:rsidR="008A0754" w:rsidRPr="008A0754">
        <w:t xml:space="preserve">при </w:t>
      </w:r>
      <w:r w:rsidR="00C4551F" w:rsidRPr="008A0754">
        <w:t xml:space="preserve">останалите разходи </w:t>
      </w:r>
      <w:r w:rsidR="008A0754" w:rsidRPr="008A0754">
        <w:t xml:space="preserve">стойностите са </w:t>
      </w:r>
      <w:r w:rsidR="00C4551F" w:rsidRPr="008A0754">
        <w:t xml:space="preserve">близки до отчетените през 2018 г. </w:t>
      </w:r>
    </w:p>
    <w:p w:rsidR="008A0754" w:rsidRDefault="008A0754" w:rsidP="006C34D7">
      <w:pPr>
        <w:jc w:val="both"/>
        <w:rPr>
          <w:color w:val="0070C0"/>
          <w:lang w:val="en-US"/>
        </w:rPr>
      </w:pPr>
    </w:p>
    <w:p w:rsidR="00FD2018" w:rsidRDefault="007F1DF5" w:rsidP="006C34D7">
      <w:pPr>
        <w:jc w:val="both"/>
        <w:rPr>
          <w:color w:val="0070C0"/>
          <w:lang w:val="en-US"/>
        </w:rPr>
      </w:pPr>
      <w:r>
        <w:rPr>
          <w:noProof/>
          <w:lang w:eastAsia="bg-BG"/>
        </w:rPr>
        <w:drawing>
          <wp:inline distT="0" distB="0" distL="0" distR="0" wp14:anchorId="7B655D05" wp14:editId="11503EA8">
            <wp:extent cx="5958840" cy="2415540"/>
            <wp:effectExtent l="0" t="0" r="22860" b="2286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C34D7" w:rsidRPr="00734F21" w:rsidRDefault="006C34D7" w:rsidP="006C34D7">
      <w:pPr>
        <w:ind w:firstLine="142"/>
        <w:jc w:val="both"/>
        <w:rPr>
          <w:color w:val="0070C0"/>
          <w:sz w:val="6"/>
          <w:szCs w:val="8"/>
        </w:rPr>
      </w:pPr>
      <w:bookmarkStart w:id="0" w:name="_MON_1608125583"/>
      <w:bookmarkStart w:id="1" w:name="_MON_1608125674"/>
      <w:bookmarkStart w:id="2" w:name="_MON_1608126274"/>
      <w:bookmarkStart w:id="3" w:name="_MON_1608124882"/>
      <w:bookmarkStart w:id="4" w:name="_MON_1608126650"/>
      <w:bookmarkStart w:id="5" w:name="_MON_1608126890"/>
      <w:bookmarkStart w:id="6" w:name="_MON_1608126952"/>
      <w:bookmarkStart w:id="7" w:name="_MON_1608127244"/>
      <w:bookmarkStart w:id="8" w:name="_MON_1608124980"/>
      <w:bookmarkStart w:id="9" w:name="_MON_1608125062"/>
      <w:bookmarkStart w:id="10" w:name="_MON_1608125088"/>
      <w:bookmarkStart w:id="11" w:name="_MON_1608125406"/>
      <w:bookmarkStart w:id="12" w:name="_MON_1609599545"/>
      <w:bookmarkStart w:id="13" w:name="_MON_1609599605"/>
      <w:bookmarkStart w:id="14" w:name="_MON_1608125426"/>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6C34D7" w:rsidRPr="00734F21" w:rsidRDefault="006C34D7" w:rsidP="006C34D7">
      <w:pPr>
        <w:ind w:left="360"/>
        <w:jc w:val="both"/>
        <w:rPr>
          <w:sz w:val="16"/>
          <w:szCs w:val="16"/>
        </w:rPr>
      </w:pPr>
      <w:r w:rsidRPr="00734F21">
        <w:rPr>
          <w:sz w:val="18"/>
          <w:szCs w:val="16"/>
          <w:lang w:val="en-US"/>
        </w:rPr>
        <w:t>*</w:t>
      </w:r>
      <w:r w:rsidRPr="00734F21">
        <w:rPr>
          <w:sz w:val="16"/>
          <w:szCs w:val="16"/>
          <w:lang w:val="en-US"/>
        </w:rPr>
        <w:t xml:space="preserve"> </w:t>
      </w:r>
      <w:r w:rsidRPr="00734F21">
        <w:rPr>
          <w:sz w:val="18"/>
          <w:szCs w:val="16"/>
        </w:rPr>
        <w:t>Вкл. нетния прираст на държавния резерв</w:t>
      </w:r>
    </w:p>
    <w:p w:rsidR="006C34D7" w:rsidRPr="006C34D7" w:rsidRDefault="006C34D7" w:rsidP="006C34D7"/>
    <w:p w:rsidR="00430A35" w:rsidRPr="00C85532" w:rsidRDefault="00430A35" w:rsidP="00430A35">
      <w:pPr>
        <w:rPr>
          <w:color w:val="0070C0"/>
          <w:sz w:val="6"/>
          <w:szCs w:val="12"/>
        </w:rPr>
      </w:pPr>
    </w:p>
    <w:p w:rsidR="00987CE4" w:rsidRDefault="00987CE4" w:rsidP="00AF205D">
      <w:pPr>
        <w:ind w:firstLine="360"/>
        <w:jc w:val="both"/>
      </w:pPr>
      <w:r w:rsidRPr="006C34D7">
        <w:t>Изпълнението на основните показатели по консолидираната фискална програма за 201</w:t>
      </w:r>
      <w:r w:rsidR="00580CD8" w:rsidRPr="006C34D7">
        <w:rPr>
          <w:lang w:val="en-US"/>
        </w:rPr>
        <w:t>9</w:t>
      </w:r>
      <w:r w:rsidRPr="006C34D7">
        <w:t xml:space="preserve"> г. е представено </w:t>
      </w:r>
      <w:r w:rsidR="005B2B3E" w:rsidRPr="006C34D7">
        <w:t>в</w:t>
      </w:r>
      <w:r w:rsidRPr="006C34D7">
        <w:t xml:space="preserve"> следната таблица:</w:t>
      </w:r>
    </w:p>
    <w:p w:rsidR="00CB7482" w:rsidRDefault="00CB7482" w:rsidP="00AF205D">
      <w:pPr>
        <w:ind w:firstLine="360"/>
        <w:jc w:val="both"/>
      </w:pPr>
    </w:p>
    <w:p w:rsidR="00CB7482" w:rsidRPr="006C34D7" w:rsidRDefault="00CB7482" w:rsidP="00AF205D">
      <w:pPr>
        <w:ind w:firstLine="360"/>
        <w:jc w:val="both"/>
      </w:pPr>
    </w:p>
    <w:p w:rsidR="00987CE4" w:rsidRPr="00C85532" w:rsidRDefault="00987CE4" w:rsidP="00987CE4">
      <w:pPr>
        <w:jc w:val="both"/>
        <w:rPr>
          <w:color w:val="0070C0"/>
          <w:sz w:val="4"/>
          <w:szCs w:val="4"/>
        </w:rPr>
      </w:pPr>
    </w:p>
    <w:p w:rsidR="00987CE4" w:rsidRPr="00C814E4" w:rsidRDefault="00987CE4" w:rsidP="00987CE4">
      <w:pPr>
        <w:rPr>
          <w:b/>
          <w:i/>
          <w:sz w:val="18"/>
          <w:szCs w:val="18"/>
        </w:rPr>
      </w:pPr>
      <w:r w:rsidRPr="00C814E4">
        <w:rPr>
          <w:b/>
          <w:i/>
          <w:sz w:val="22"/>
          <w:szCs w:val="22"/>
        </w:rPr>
        <w:lastRenderedPageBreak/>
        <w:t>Таблица</w:t>
      </w:r>
      <w:r w:rsidR="00E74802" w:rsidRPr="00C814E4">
        <w:rPr>
          <w:b/>
          <w:i/>
          <w:sz w:val="22"/>
          <w:szCs w:val="22"/>
          <w:vertAlign w:val="superscript"/>
        </w:rPr>
        <w:footnoteReference w:id="5"/>
      </w:r>
      <w:r w:rsidRPr="00C814E4">
        <w:rPr>
          <w:b/>
          <w:i/>
          <w:sz w:val="22"/>
          <w:szCs w:val="22"/>
        </w:rPr>
        <w:t xml:space="preserve"> №1</w:t>
      </w:r>
      <w:r w:rsidRPr="00C814E4">
        <w:rPr>
          <w:b/>
          <w:i/>
          <w:sz w:val="22"/>
          <w:szCs w:val="22"/>
        </w:rPr>
        <w:tab/>
      </w:r>
      <w:r w:rsidRPr="00C814E4">
        <w:rPr>
          <w:b/>
          <w:i/>
          <w:sz w:val="22"/>
          <w:szCs w:val="22"/>
        </w:rPr>
        <w:tab/>
      </w:r>
      <w:r w:rsidRPr="00C814E4">
        <w:rPr>
          <w:b/>
          <w:i/>
          <w:sz w:val="22"/>
          <w:szCs w:val="22"/>
        </w:rPr>
        <w:tab/>
      </w:r>
      <w:r w:rsidRPr="00C814E4">
        <w:rPr>
          <w:b/>
          <w:i/>
          <w:sz w:val="22"/>
          <w:szCs w:val="22"/>
        </w:rPr>
        <w:tab/>
      </w:r>
      <w:r w:rsidRPr="00C814E4">
        <w:rPr>
          <w:b/>
          <w:i/>
          <w:sz w:val="22"/>
          <w:szCs w:val="22"/>
        </w:rPr>
        <w:tab/>
      </w:r>
      <w:r w:rsidRPr="00C814E4">
        <w:rPr>
          <w:b/>
          <w:i/>
          <w:sz w:val="22"/>
          <w:szCs w:val="22"/>
        </w:rPr>
        <w:tab/>
      </w:r>
      <w:r w:rsidRPr="00C814E4">
        <w:rPr>
          <w:b/>
          <w:i/>
          <w:sz w:val="22"/>
          <w:szCs w:val="22"/>
        </w:rPr>
        <w:tab/>
      </w:r>
      <w:r w:rsidRPr="00C814E4">
        <w:rPr>
          <w:b/>
          <w:i/>
          <w:sz w:val="22"/>
          <w:szCs w:val="22"/>
        </w:rPr>
        <w:tab/>
      </w:r>
      <w:r w:rsidRPr="00C814E4">
        <w:rPr>
          <w:b/>
          <w:i/>
          <w:sz w:val="22"/>
          <w:szCs w:val="22"/>
        </w:rPr>
        <w:tab/>
      </w:r>
      <w:r w:rsidRPr="00C814E4">
        <w:rPr>
          <w:b/>
          <w:i/>
          <w:sz w:val="22"/>
          <w:szCs w:val="22"/>
        </w:rPr>
        <w:tab/>
      </w:r>
      <w:r w:rsidRPr="00C814E4">
        <w:rPr>
          <w:b/>
          <w:i/>
          <w:sz w:val="22"/>
          <w:szCs w:val="22"/>
        </w:rPr>
        <w:tab/>
      </w:r>
      <w:r w:rsidRPr="00C814E4">
        <w:rPr>
          <w:b/>
          <w:i/>
          <w:sz w:val="18"/>
          <w:szCs w:val="18"/>
        </w:rPr>
        <w:t>(млн. лв.)</w:t>
      </w:r>
    </w:p>
    <w:tbl>
      <w:tblPr>
        <w:tblW w:w="10093" w:type="dxa"/>
        <w:tblInd w:w="98" w:type="dxa"/>
        <w:tblLook w:val="04A0" w:firstRow="1" w:lastRow="0" w:firstColumn="1" w:lastColumn="0" w:noHBand="0" w:noVBand="1"/>
      </w:tblPr>
      <w:tblGrid>
        <w:gridCol w:w="4405"/>
        <w:gridCol w:w="850"/>
        <w:gridCol w:w="1087"/>
        <w:gridCol w:w="1252"/>
        <w:gridCol w:w="1199"/>
        <w:gridCol w:w="1300"/>
      </w:tblGrid>
      <w:tr w:rsidR="00276A09" w:rsidRPr="00276A09" w:rsidTr="00535C1A">
        <w:trPr>
          <w:trHeight w:val="270"/>
        </w:trPr>
        <w:tc>
          <w:tcPr>
            <w:tcW w:w="4405" w:type="dxa"/>
            <w:vMerge w:val="restart"/>
            <w:tcBorders>
              <w:top w:val="single" w:sz="8" w:space="0" w:color="auto"/>
              <w:left w:val="single" w:sz="8" w:space="0" w:color="auto"/>
              <w:bottom w:val="single" w:sz="4" w:space="0" w:color="000000"/>
              <w:right w:val="nil"/>
            </w:tcBorders>
            <w:shd w:val="clear" w:color="000000" w:fill="D9D9D9"/>
            <w:noWrap/>
            <w:vAlign w:val="bottom"/>
            <w:hideMark/>
          </w:tcPr>
          <w:p w:rsidR="00500DD6" w:rsidRPr="00276A09" w:rsidRDefault="00500DD6">
            <w:pPr>
              <w:jc w:val="center"/>
              <w:rPr>
                <w:b/>
                <w:bCs/>
                <w:sz w:val="18"/>
                <w:szCs w:val="18"/>
              </w:rPr>
            </w:pPr>
            <w:r w:rsidRPr="00276A09">
              <w:rPr>
                <w:b/>
                <w:bCs/>
                <w:sz w:val="18"/>
                <w:szCs w:val="18"/>
              </w:rPr>
              <w:t>ПОКАЗАТЕЛ</w:t>
            </w:r>
          </w:p>
        </w:tc>
        <w:tc>
          <w:tcPr>
            <w:tcW w:w="850" w:type="dxa"/>
            <w:tcBorders>
              <w:top w:val="single" w:sz="8" w:space="0" w:color="auto"/>
              <w:left w:val="single" w:sz="4" w:space="0" w:color="auto"/>
              <w:bottom w:val="nil"/>
              <w:right w:val="single" w:sz="4" w:space="0" w:color="auto"/>
            </w:tcBorders>
            <w:shd w:val="clear" w:color="000000" w:fill="D9D9D9"/>
            <w:noWrap/>
            <w:vAlign w:val="bottom"/>
            <w:hideMark/>
          </w:tcPr>
          <w:p w:rsidR="00500DD6" w:rsidRPr="00276A09" w:rsidRDefault="00500DD6" w:rsidP="00E804A3">
            <w:pPr>
              <w:jc w:val="center"/>
              <w:rPr>
                <w:b/>
                <w:bCs/>
                <w:sz w:val="18"/>
                <w:szCs w:val="18"/>
              </w:rPr>
            </w:pPr>
            <w:r w:rsidRPr="00276A09">
              <w:rPr>
                <w:b/>
                <w:bCs/>
                <w:sz w:val="18"/>
                <w:szCs w:val="18"/>
              </w:rPr>
              <w:t>Разчет 201</w:t>
            </w:r>
            <w:r w:rsidR="00F45BD4" w:rsidRPr="00276A09">
              <w:rPr>
                <w:b/>
                <w:bCs/>
                <w:sz w:val="18"/>
                <w:szCs w:val="18"/>
              </w:rPr>
              <w:t>9</w:t>
            </w:r>
            <w:r w:rsidRPr="00276A09">
              <w:rPr>
                <w:b/>
                <w:bCs/>
                <w:sz w:val="18"/>
                <w:szCs w:val="18"/>
              </w:rPr>
              <w:t xml:space="preserve"> г.</w:t>
            </w:r>
            <w:r w:rsidR="001301B6" w:rsidRPr="00276A09">
              <w:rPr>
                <w:rStyle w:val="FootnoteReference"/>
                <w:b/>
                <w:bCs/>
                <w:sz w:val="18"/>
                <w:szCs w:val="18"/>
              </w:rPr>
              <w:footnoteReference w:id="6"/>
            </w:r>
          </w:p>
        </w:tc>
        <w:tc>
          <w:tcPr>
            <w:tcW w:w="3538" w:type="dxa"/>
            <w:gridSpan w:val="3"/>
            <w:tcBorders>
              <w:top w:val="single" w:sz="8" w:space="0" w:color="auto"/>
              <w:left w:val="nil"/>
              <w:bottom w:val="single" w:sz="4" w:space="0" w:color="auto"/>
              <w:right w:val="single" w:sz="4" w:space="0" w:color="auto"/>
            </w:tcBorders>
            <w:shd w:val="clear" w:color="000000" w:fill="D9D9D9"/>
            <w:noWrap/>
            <w:vAlign w:val="center"/>
            <w:hideMark/>
          </w:tcPr>
          <w:p w:rsidR="00500DD6" w:rsidRPr="00276A09" w:rsidRDefault="00500DD6" w:rsidP="00276A09">
            <w:pPr>
              <w:jc w:val="center"/>
              <w:rPr>
                <w:b/>
                <w:bCs/>
                <w:sz w:val="18"/>
                <w:szCs w:val="18"/>
              </w:rPr>
            </w:pPr>
            <w:r w:rsidRPr="00276A09">
              <w:rPr>
                <w:b/>
                <w:bCs/>
                <w:sz w:val="18"/>
                <w:szCs w:val="18"/>
              </w:rPr>
              <w:t xml:space="preserve">Отчет към </w:t>
            </w:r>
            <w:r w:rsidR="003153BB" w:rsidRPr="00276A09">
              <w:rPr>
                <w:b/>
                <w:bCs/>
                <w:sz w:val="18"/>
                <w:szCs w:val="18"/>
              </w:rPr>
              <w:t>3</w:t>
            </w:r>
            <w:r w:rsidR="00276A09" w:rsidRPr="00276A09">
              <w:rPr>
                <w:b/>
                <w:bCs/>
                <w:sz w:val="18"/>
                <w:szCs w:val="18"/>
              </w:rPr>
              <w:t>1</w:t>
            </w:r>
            <w:r w:rsidRPr="00276A09">
              <w:rPr>
                <w:b/>
                <w:bCs/>
                <w:sz w:val="18"/>
                <w:szCs w:val="18"/>
              </w:rPr>
              <w:t>.</w:t>
            </w:r>
            <w:r w:rsidR="00276A09" w:rsidRPr="00276A09">
              <w:rPr>
                <w:b/>
                <w:bCs/>
                <w:sz w:val="18"/>
                <w:szCs w:val="18"/>
              </w:rPr>
              <w:t>12</w:t>
            </w:r>
            <w:r w:rsidRPr="00276A09">
              <w:rPr>
                <w:b/>
                <w:bCs/>
                <w:sz w:val="18"/>
                <w:szCs w:val="18"/>
              </w:rPr>
              <w:t>.201</w:t>
            </w:r>
            <w:r w:rsidR="00F45BD4" w:rsidRPr="00276A09">
              <w:rPr>
                <w:b/>
                <w:bCs/>
                <w:sz w:val="18"/>
                <w:szCs w:val="18"/>
              </w:rPr>
              <w:t>9</w:t>
            </w:r>
            <w:r w:rsidRPr="00276A09">
              <w:rPr>
                <w:b/>
                <w:bCs/>
                <w:sz w:val="18"/>
                <w:szCs w:val="18"/>
              </w:rPr>
              <w:t xml:space="preserve"> г.</w:t>
            </w:r>
          </w:p>
        </w:tc>
        <w:tc>
          <w:tcPr>
            <w:tcW w:w="1300" w:type="dxa"/>
            <w:tcBorders>
              <w:top w:val="single" w:sz="8" w:space="0" w:color="auto"/>
              <w:left w:val="nil"/>
              <w:bottom w:val="nil"/>
              <w:right w:val="single" w:sz="8" w:space="0" w:color="auto"/>
            </w:tcBorders>
            <w:shd w:val="clear" w:color="000000" w:fill="D9D9D9"/>
            <w:noWrap/>
            <w:vAlign w:val="bottom"/>
            <w:hideMark/>
          </w:tcPr>
          <w:p w:rsidR="00500DD6" w:rsidRPr="00276A09" w:rsidRDefault="00500DD6">
            <w:pPr>
              <w:jc w:val="center"/>
              <w:rPr>
                <w:b/>
                <w:bCs/>
                <w:sz w:val="18"/>
                <w:szCs w:val="18"/>
              </w:rPr>
            </w:pPr>
            <w:r w:rsidRPr="00276A09">
              <w:rPr>
                <w:b/>
                <w:bCs/>
                <w:sz w:val="18"/>
                <w:szCs w:val="18"/>
              </w:rPr>
              <w:t>Изпълнение</w:t>
            </w:r>
          </w:p>
        </w:tc>
      </w:tr>
      <w:tr w:rsidR="00276A09" w:rsidRPr="00276A09" w:rsidTr="00535C1A">
        <w:trPr>
          <w:trHeight w:val="255"/>
        </w:trPr>
        <w:tc>
          <w:tcPr>
            <w:tcW w:w="4405" w:type="dxa"/>
            <w:vMerge/>
            <w:tcBorders>
              <w:top w:val="single" w:sz="8" w:space="0" w:color="auto"/>
              <w:left w:val="single" w:sz="8" w:space="0" w:color="auto"/>
              <w:bottom w:val="single" w:sz="4" w:space="0" w:color="000000"/>
              <w:right w:val="nil"/>
            </w:tcBorders>
            <w:vAlign w:val="center"/>
            <w:hideMark/>
          </w:tcPr>
          <w:p w:rsidR="00500DD6" w:rsidRPr="00276A09" w:rsidRDefault="00500DD6">
            <w:pPr>
              <w:rPr>
                <w:b/>
                <w:bCs/>
                <w:sz w:val="18"/>
                <w:szCs w:val="18"/>
              </w:rPr>
            </w:pPr>
          </w:p>
        </w:tc>
        <w:tc>
          <w:tcPr>
            <w:tcW w:w="850" w:type="dxa"/>
            <w:tcBorders>
              <w:top w:val="nil"/>
              <w:left w:val="single" w:sz="4" w:space="0" w:color="auto"/>
              <w:bottom w:val="single" w:sz="4" w:space="0" w:color="auto"/>
              <w:right w:val="single" w:sz="4" w:space="0" w:color="auto"/>
            </w:tcBorders>
            <w:shd w:val="clear" w:color="000000" w:fill="D9D9D9"/>
            <w:noWrap/>
            <w:vAlign w:val="bottom"/>
            <w:hideMark/>
          </w:tcPr>
          <w:p w:rsidR="00500DD6" w:rsidRPr="00276A09" w:rsidRDefault="00500DD6">
            <w:pPr>
              <w:jc w:val="center"/>
              <w:rPr>
                <w:b/>
                <w:bCs/>
                <w:sz w:val="18"/>
                <w:szCs w:val="18"/>
              </w:rPr>
            </w:pPr>
            <w:r w:rsidRPr="00276A09">
              <w:rPr>
                <w:b/>
                <w:bCs/>
                <w:sz w:val="18"/>
                <w:szCs w:val="18"/>
              </w:rPr>
              <w:t xml:space="preserve"> КФП</w:t>
            </w:r>
          </w:p>
        </w:tc>
        <w:tc>
          <w:tcPr>
            <w:tcW w:w="1087" w:type="dxa"/>
            <w:tcBorders>
              <w:top w:val="nil"/>
              <w:left w:val="nil"/>
              <w:bottom w:val="single" w:sz="4" w:space="0" w:color="auto"/>
              <w:right w:val="single" w:sz="4" w:space="0" w:color="auto"/>
            </w:tcBorders>
            <w:shd w:val="clear" w:color="000000" w:fill="D9D9D9"/>
            <w:noWrap/>
            <w:vAlign w:val="bottom"/>
            <w:hideMark/>
          </w:tcPr>
          <w:p w:rsidR="00500DD6" w:rsidRPr="00276A09" w:rsidRDefault="00500DD6">
            <w:pPr>
              <w:jc w:val="center"/>
              <w:rPr>
                <w:b/>
                <w:bCs/>
                <w:sz w:val="18"/>
                <w:szCs w:val="18"/>
              </w:rPr>
            </w:pPr>
            <w:r w:rsidRPr="00276A09">
              <w:rPr>
                <w:b/>
                <w:bCs/>
                <w:sz w:val="18"/>
                <w:szCs w:val="18"/>
              </w:rPr>
              <w:t xml:space="preserve"> КФП</w:t>
            </w:r>
          </w:p>
        </w:tc>
        <w:tc>
          <w:tcPr>
            <w:tcW w:w="1252" w:type="dxa"/>
            <w:tcBorders>
              <w:top w:val="nil"/>
              <w:left w:val="nil"/>
              <w:bottom w:val="single" w:sz="4" w:space="0" w:color="auto"/>
              <w:right w:val="single" w:sz="4" w:space="0" w:color="auto"/>
            </w:tcBorders>
            <w:shd w:val="clear" w:color="000000" w:fill="D9D9D9"/>
            <w:noWrap/>
            <w:vAlign w:val="bottom"/>
            <w:hideMark/>
          </w:tcPr>
          <w:p w:rsidR="00500DD6" w:rsidRPr="00276A09" w:rsidRDefault="00500DD6">
            <w:pPr>
              <w:jc w:val="center"/>
              <w:rPr>
                <w:b/>
                <w:bCs/>
                <w:sz w:val="18"/>
                <w:szCs w:val="18"/>
              </w:rPr>
            </w:pPr>
            <w:r w:rsidRPr="00276A09">
              <w:rPr>
                <w:b/>
                <w:bCs/>
                <w:sz w:val="18"/>
                <w:szCs w:val="18"/>
              </w:rPr>
              <w:t>Национален бюджет</w:t>
            </w:r>
          </w:p>
        </w:tc>
        <w:tc>
          <w:tcPr>
            <w:tcW w:w="1199" w:type="dxa"/>
            <w:tcBorders>
              <w:top w:val="nil"/>
              <w:left w:val="nil"/>
              <w:bottom w:val="single" w:sz="4" w:space="0" w:color="auto"/>
              <w:right w:val="single" w:sz="4" w:space="0" w:color="auto"/>
            </w:tcBorders>
            <w:shd w:val="clear" w:color="000000" w:fill="D9D9D9"/>
            <w:noWrap/>
            <w:vAlign w:val="bottom"/>
            <w:hideMark/>
          </w:tcPr>
          <w:p w:rsidR="00500DD6" w:rsidRPr="00276A09" w:rsidRDefault="00500DD6">
            <w:pPr>
              <w:jc w:val="center"/>
              <w:rPr>
                <w:b/>
                <w:bCs/>
                <w:sz w:val="18"/>
                <w:szCs w:val="18"/>
              </w:rPr>
            </w:pPr>
            <w:r w:rsidRPr="00276A09">
              <w:rPr>
                <w:b/>
                <w:bCs/>
                <w:sz w:val="18"/>
                <w:szCs w:val="18"/>
              </w:rPr>
              <w:t>Европейски средства</w:t>
            </w:r>
          </w:p>
        </w:tc>
        <w:tc>
          <w:tcPr>
            <w:tcW w:w="1300" w:type="dxa"/>
            <w:tcBorders>
              <w:top w:val="nil"/>
              <w:left w:val="nil"/>
              <w:bottom w:val="single" w:sz="4" w:space="0" w:color="auto"/>
              <w:right w:val="single" w:sz="8" w:space="0" w:color="auto"/>
            </w:tcBorders>
            <w:shd w:val="clear" w:color="000000" w:fill="D9D9D9"/>
            <w:noWrap/>
            <w:vAlign w:val="bottom"/>
            <w:hideMark/>
          </w:tcPr>
          <w:p w:rsidR="00500DD6" w:rsidRPr="00276A09" w:rsidRDefault="00500DD6">
            <w:pPr>
              <w:jc w:val="center"/>
              <w:rPr>
                <w:b/>
                <w:bCs/>
                <w:sz w:val="18"/>
                <w:szCs w:val="18"/>
              </w:rPr>
            </w:pPr>
            <w:r w:rsidRPr="00276A09">
              <w:rPr>
                <w:b/>
                <w:bCs/>
                <w:sz w:val="18"/>
                <w:szCs w:val="18"/>
              </w:rPr>
              <w:t>спрямо разчет</w:t>
            </w:r>
          </w:p>
        </w:tc>
      </w:tr>
      <w:tr w:rsidR="00276A09" w:rsidRPr="00276A09" w:rsidTr="00535C1A">
        <w:trPr>
          <w:trHeight w:val="270"/>
        </w:trPr>
        <w:tc>
          <w:tcPr>
            <w:tcW w:w="4405" w:type="dxa"/>
            <w:tcBorders>
              <w:top w:val="nil"/>
              <w:left w:val="single" w:sz="8" w:space="0" w:color="auto"/>
              <w:bottom w:val="single" w:sz="8" w:space="0" w:color="auto"/>
              <w:right w:val="nil"/>
            </w:tcBorders>
            <w:shd w:val="clear" w:color="000000" w:fill="D9D9D9"/>
            <w:noWrap/>
            <w:vAlign w:val="bottom"/>
            <w:hideMark/>
          </w:tcPr>
          <w:p w:rsidR="00500DD6" w:rsidRPr="00276A09" w:rsidRDefault="00500DD6">
            <w:pPr>
              <w:jc w:val="center"/>
              <w:rPr>
                <w:sz w:val="18"/>
                <w:szCs w:val="18"/>
              </w:rPr>
            </w:pPr>
            <w:r w:rsidRPr="00276A09">
              <w:rPr>
                <w:sz w:val="18"/>
                <w:szCs w:val="18"/>
              </w:rPr>
              <w:t>к.1</w:t>
            </w:r>
          </w:p>
        </w:tc>
        <w:tc>
          <w:tcPr>
            <w:tcW w:w="850" w:type="dxa"/>
            <w:tcBorders>
              <w:top w:val="nil"/>
              <w:left w:val="single" w:sz="4" w:space="0" w:color="auto"/>
              <w:bottom w:val="single" w:sz="8" w:space="0" w:color="auto"/>
              <w:right w:val="single" w:sz="4" w:space="0" w:color="auto"/>
            </w:tcBorders>
            <w:shd w:val="clear" w:color="000000" w:fill="D9D9D9"/>
            <w:noWrap/>
            <w:vAlign w:val="bottom"/>
            <w:hideMark/>
          </w:tcPr>
          <w:p w:rsidR="00500DD6" w:rsidRPr="00276A09" w:rsidRDefault="00500DD6">
            <w:pPr>
              <w:jc w:val="center"/>
              <w:rPr>
                <w:sz w:val="18"/>
                <w:szCs w:val="18"/>
              </w:rPr>
            </w:pPr>
            <w:r w:rsidRPr="00276A09">
              <w:rPr>
                <w:sz w:val="18"/>
                <w:szCs w:val="18"/>
              </w:rPr>
              <w:t>к.2</w:t>
            </w:r>
          </w:p>
        </w:tc>
        <w:tc>
          <w:tcPr>
            <w:tcW w:w="1087" w:type="dxa"/>
            <w:tcBorders>
              <w:top w:val="nil"/>
              <w:left w:val="nil"/>
              <w:bottom w:val="single" w:sz="8" w:space="0" w:color="auto"/>
              <w:right w:val="single" w:sz="4" w:space="0" w:color="auto"/>
            </w:tcBorders>
            <w:shd w:val="clear" w:color="000000" w:fill="D9D9D9"/>
            <w:noWrap/>
            <w:vAlign w:val="bottom"/>
            <w:hideMark/>
          </w:tcPr>
          <w:p w:rsidR="00500DD6" w:rsidRPr="00276A09" w:rsidRDefault="00500DD6">
            <w:pPr>
              <w:jc w:val="center"/>
              <w:rPr>
                <w:sz w:val="18"/>
                <w:szCs w:val="18"/>
              </w:rPr>
            </w:pPr>
            <w:r w:rsidRPr="00276A09">
              <w:rPr>
                <w:sz w:val="18"/>
                <w:szCs w:val="18"/>
              </w:rPr>
              <w:t>к.3=к.4+к.5</w:t>
            </w:r>
          </w:p>
        </w:tc>
        <w:tc>
          <w:tcPr>
            <w:tcW w:w="1252" w:type="dxa"/>
            <w:tcBorders>
              <w:top w:val="nil"/>
              <w:left w:val="nil"/>
              <w:bottom w:val="single" w:sz="8" w:space="0" w:color="auto"/>
              <w:right w:val="single" w:sz="4" w:space="0" w:color="auto"/>
            </w:tcBorders>
            <w:shd w:val="clear" w:color="000000" w:fill="D9D9D9"/>
            <w:noWrap/>
            <w:vAlign w:val="bottom"/>
            <w:hideMark/>
          </w:tcPr>
          <w:p w:rsidR="00500DD6" w:rsidRPr="00276A09" w:rsidRDefault="00500DD6">
            <w:pPr>
              <w:jc w:val="center"/>
              <w:rPr>
                <w:sz w:val="18"/>
                <w:szCs w:val="18"/>
              </w:rPr>
            </w:pPr>
            <w:r w:rsidRPr="00276A09">
              <w:rPr>
                <w:sz w:val="18"/>
                <w:szCs w:val="18"/>
              </w:rPr>
              <w:t>к.4</w:t>
            </w:r>
          </w:p>
        </w:tc>
        <w:tc>
          <w:tcPr>
            <w:tcW w:w="1199" w:type="dxa"/>
            <w:tcBorders>
              <w:top w:val="nil"/>
              <w:left w:val="nil"/>
              <w:bottom w:val="single" w:sz="8" w:space="0" w:color="auto"/>
              <w:right w:val="single" w:sz="4" w:space="0" w:color="auto"/>
            </w:tcBorders>
            <w:shd w:val="clear" w:color="000000" w:fill="D9D9D9"/>
            <w:noWrap/>
            <w:vAlign w:val="bottom"/>
            <w:hideMark/>
          </w:tcPr>
          <w:p w:rsidR="00500DD6" w:rsidRPr="00276A09" w:rsidRDefault="00500DD6">
            <w:pPr>
              <w:jc w:val="center"/>
              <w:rPr>
                <w:sz w:val="18"/>
                <w:szCs w:val="18"/>
              </w:rPr>
            </w:pPr>
            <w:r w:rsidRPr="00276A09">
              <w:rPr>
                <w:sz w:val="18"/>
                <w:szCs w:val="18"/>
              </w:rPr>
              <w:t>к.5</w:t>
            </w:r>
          </w:p>
        </w:tc>
        <w:tc>
          <w:tcPr>
            <w:tcW w:w="1300" w:type="dxa"/>
            <w:tcBorders>
              <w:top w:val="nil"/>
              <w:left w:val="nil"/>
              <w:bottom w:val="single" w:sz="8" w:space="0" w:color="auto"/>
              <w:right w:val="single" w:sz="8" w:space="0" w:color="auto"/>
            </w:tcBorders>
            <w:shd w:val="clear" w:color="000000" w:fill="D9D9D9"/>
            <w:noWrap/>
            <w:vAlign w:val="bottom"/>
            <w:hideMark/>
          </w:tcPr>
          <w:p w:rsidR="00500DD6" w:rsidRPr="00276A09" w:rsidRDefault="00500DD6">
            <w:pPr>
              <w:jc w:val="center"/>
              <w:rPr>
                <w:sz w:val="18"/>
                <w:szCs w:val="18"/>
              </w:rPr>
            </w:pPr>
            <w:r w:rsidRPr="00276A09">
              <w:rPr>
                <w:sz w:val="18"/>
                <w:szCs w:val="18"/>
              </w:rPr>
              <w:t>к.6=к.3:к.2</w:t>
            </w:r>
          </w:p>
        </w:tc>
      </w:tr>
      <w:tr w:rsidR="00535C1A" w:rsidRPr="00C85532" w:rsidTr="00535C1A">
        <w:trPr>
          <w:trHeight w:val="255"/>
        </w:trPr>
        <w:tc>
          <w:tcPr>
            <w:tcW w:w="4405" w:type="dxa"/>
            <w:tcBorders>
              <w:top w:val="nil"/>
              <w:left w:val="single" w:sz="8" w:space="0" w:color="auto"/>
              <w:bottom w:val="nil"/>
              <w:right w:val="nil"/>
            </w:tcBorders>
            <w:shd w:val="clear" w:color="auto" w:fill="auto"/>
            <w:noWrap/>
            <w:vAlign w:val="bottom"/>
            <w:hideMark/>
          </w:tcPr>
          <w:p w:rsidR="00535C1A" w:rsidRDefault="00535C1A">
            <w:pPr>
              <w:rPr>
                <w:b/>
                <w:bCs/>
                <w:sz w:val="18"/>
                <w:szCs w:val="18"/>
              </w:rPr>
            </w:pPr>
            <w:r>
              <w:rPr>
                <w:b/>
                <w:bCs/>
                <w:sz w:val="18"/>
                <w:szCs w:val="18"/>
              </w:rPr>
              <w:t>ПРИХОДИ, ПОМОЩИ И ДАРЕНИЯ</w:t>
            </w:r>
          </w:p>
        </w:tc>
        <w:tc>
          <w:tcPr>
            <w:tcW w:w="850" w:type="dxa"/>
            <w:tcBorders>
              <w:top w:val="nil"/>
              <w:left w:val="nil"/>
              <w:bottom w:val="nil"/>
              <w:right w:val="nil"/>
            </w:tcBorders>
            <w:shd w:val="clear" w:color="auto" w:fill="auto"/>
            <w:noWrap/>
            <w:vAlign w:val="bottom"/>
            <w:hideMark/>
          </w:tcPr>
          <w:p w:rsidR="00535C1A" w:rsidRDefault="00535C1A">
            <w:pPr>
              <w:jc w:val="right"/>
              <w:rPr>
                <w:b/>
                <w:bCs/>
                <w:sz w:val="18"/>
                <w:szCs w:val="18"/>
              </w:rPr>
            </w:pPr>
            <w:r>
              <w:rPr>
                <w:b/>
                <w:bCs/>
                <w:sz w:val="18"/>
                <w:szCs w:val="18"/>
              </w:rPr>
              <w:t>43 857,0</w:t>
            </w:r>
          </w:p>
        </w:tc>
        <w:tc>
          <w:tcPr>
            <w:tcW w:w="1087" w:type="dxa"/>
            <w:tcBorders>
              <w:top w:val="nil"/>
              <w:left w:val="nil"/>
              <w:bottom w:val="nil"/>
              <w:right w:val="nil"/>
            </w:tcBorders>
            <w:shd w:val="clear" w:color="auto" w:fill="auto"/>
            <w:noWrap/>
            <w:vAlign w:val="bottom"/>
            <w:hideMark/>
          </w:tcPr>
          <w:p w:rsidR="00535C1A" w:rsidRDefault="00535C1A">
            <w:pPr>
              <w:jc w:val="right"/>
              <w:rPr>
                <w:b/>
                <w:bCs/>
                <w:sz w:val="18"/>
                <w:szCs w:val="18"/>
              </w:rPr>
            </w:pPr>
            <w:r>
              <w:rPr>
                <w:b/>
                <w:bCs/>
                <w:sz w:val="18"/>
                <w:szCs w:val="18"/>
              </w:rPr>
              <w:t>44 048,5</w:t>
            </w:r>
          </w:p>
        </w:tc>
        <w:tc>
          <w:tcPr>
            <w:tcW w:w="1252" w:type="dxa"/>
            <w:tcBorders>
              <w:top w:val="nil"/>
              <w:left w:val="nil"/>
              <w:bottom w:val="nil"/>
              <w:right w:val="nil"/>
            </w:tcBorders>
            <w:shd w:val="clear" w:color="auto" w:fill="auto"/>
            <w:noWrap/>
            <w:vAlign w:val="bottom"/>
            <w:hideMark/>
          </w:tcPr>
          <w:p w:rsidR="00535C1A" w:rsidRDefault="00535C1A">
            <w:pPr>
              <w:jc w:val="right"/>
              <w:rPr>
                <w:b/>
                <w:bCs/>
                <w:sz w:val="18"/>
                <w:szCs w:val="18"/>
              </w:rPr>
            </w:pPr>
            <w:r>
              <w:rPr>
                <w:b/>
                <w:bCs/>
                <w:sz w:val="18"/>
                <w:szCs w:val="18"/>
              </w:rPr>
              <w:t>41 718,0</w:t>
            </w:r>
          </w:p>
        </w:tc>
        <w:tc>
          <w:tcPr>
            <w:tcW w:w="1199" w:type="dxa"/>
            <w:tcBorders>
              <w:top w:val="nil"/>
              <w:left w:val="nil"/>
              <w:bottom w:val="nil"/>
              <w:right w:val="nil"/>
            </w:tcBorders>
            <w:shd w:val="clear" w:color="auto" w:fill="auto"/>
            <w:noWrap/>
            <w:vAlign w:val="bottom"/>
            <w:hideMark/>
          </w:tcPr>
          <w:p w:rsidR="00535C1A" w:rsidRDefault="00535C1A">
            <w:pPr>
              <w:jc w:val="right"/>
              <w:rPr>
                <w:b/>
                <w:bCs/>
                <w:sz w:val="18"/>
                <w:szCs w:val="18"/>
              </w:rPr>
            </w:pPr>
            <w:r>
              <w:rPr>
                <w:b/>
                <w:bCs/>
                <w:sz w:val="18"/>
                <w:szCs w:val="18"/>
              </w:rPr>
              <w:t>2 330,5</w:t>
            </w:r>
          </w:p>
        </w:tc>
        <w:tc>
          <w:tcPr>
            <w:tcW w:w="1300" w:type="dxa"/>
            <w:tcBorders>
              <w:top w:val="nil"/>
              <w:left w:val="nil"/>
              <w:bottom w:val="nil"/>
              <w:right w:val="single" w:sz="8" w:space="0" w:color="auto"/>
            </w:tcBorders>
            <w:shd w:val="clear" w:color="auto" w:fill="auto"/>
            <w:noWrap/>
            <w:vAlign w:val="bottom"/>
            <w:hideMark/>
          </w:tcPr>
          <w:p w:rsidR="00535C1A" w:rsidRDefault="00535C1A">
            <w:pPr>
              <w:jc w:val="right"/>
              <w:rPr>
                <w:b/>
                <w:bCs/>
                <w:sz w:val="18"/>
                <w:szCs w:val="18"/>
              </w:rPr>
            </w:pPr>
            <w:r>
              <w:rPr>
                <w:b/>
                <w:bCs/>
                <w:sz w:val="18"/>
                <w:szCs w:val="18"/>
              </w:rPr>
              <w:t>100,4%</w:t>
            </w:r>
          </w:p>
        </w:tc>
      </w:tr>
      <w:tr w:rsidR="00535C1A" w:rsidRPr="00C85532" w:rsidTr="00535C1A">
        <w:trPr>
          <w:trHeight w:val="255"/>
        </w:trPr>
        <w:tc>
          <w:tcPr>
            <w:tcW w:w="4405" w:type="dxa"/>
            <w:tcBorders>
              <w:top w:val="nil"/>
              <w:left w:val="single" w:sz="8" w:space="0" w:color="auto"/>
              <w:bottom w:val="nil"/>
              <w:right w:val="nil"/>
            </w:tcBorders>
            <w:shd w:val="clear" w:color="auto" w:fill="auto"/>
            <w:noWrap/>
            <w:vAlign w:val="bottom"/>
            <w:hideMark/>
          </w:tcPr>
          <w:p w:rsidR="00535C1A" w:rsidRDefault="00535C1A">
            <w:pPr>
              <w:rPr>
                <w:sz w:val="18"/>
                <w:szCs w:val="18"/>
              </w:rPr>
            </w:pPr>
            <w:r>
              <w:rPr>
                <w:sz w:val="18"/>
                <w:szCs w:val="18"/>
              </w:rPr>
              <w:t xml:space="preserve">  Данъчни приходи</w:t>
            </w:r>
          </w:p>
        </w:tc>
        <w:tc>
          <w:tcPr>
            <w:tcW w:w="850" w:type="dxa"/>
            <w:tcBorders>
              <w:top w:val="nil"/>
              <w:left w:val="nil"/>
              <w:bottom w:val="nil"/>
              <w:right w:val="nil"/>
            </w:tcBorders>
            <w:shd w:val="clear" w:color="auto" w:fill="auto"/>
            <w:noWrap/>
            <w:vAlign w:val="bottom"/>
            <w:hideMark/>
          </w:tcPr>
          <w:p w:rsidR="00535C1A" w:rsidRDefault="00535C1A">
            <w:pPr>
              <w:jc w:val="right"/>
              <w:rPr>
                <w:sz w:val="18"/>
                <w:szCs w:val="18"/>
              </w:rPr>
            </w:pPr>
            <w:r>
              <w:rPr>
                <w:sz w:val="18"/>
                <w:szCs w:val="18"/>
              </w:rPr>
              <w:t>34 546,1</w:t>
            </w:r>
          </w:p>
        </w:tc>
        <w:tc>
          <w:tcPr>
            <w:tcW w:w="1087" w:type="dxa"/>
            <w:tcBorders>
              <w:top w:val="nil"/>
              <w:left w:val="nil"/>
              <w:bottom w:val="nil"/>
              <w:right w:val="nil"/>
            </w:tcBorders>
            <w:shd w:val="clear" w:color="auto" w:fill="auto"/>
            <w:noWrap/>
            <w:vAlign w:val="bottom"/>
            <w:hideMark/>
          </w:tcPr>
          <w:p w:rsidR="00535C1A" w:rsidRDefault="00535C1A">
            <w:pPr>
              <w:jc w:val="right"/>
              <w:rPr>
                <w:sz w:val="18"/>
                <w:szCs w:val="18"/>
              </w:rPr>
            </w:pPr>
            <w:r>
              <w:rPr>
                <w:sz w:val="18"/>
                <w:szCs w:val="18"/>
              </w:rPr>
              <w:t>35 279,8</w:t>
            </w:r>
          </w:p>
        </w:tc>
        <w:tc>
          <w:tcPr>
            <w:tcW w:w="1252" w:type="dxa"/>
            <w:tcBorders>
              <w:top w:val="nil"/>
              <w:left w:val="nil"/>
              <w:bottom w:val="nil"/>
              <w:right w:val="nil"/>
            </w:tcBorders>
            <w:shd w:val="clear" w:color="auto" w:fill="auto"/>
            <w:noWrap/>
            <w:vAlign w:val="bottom"/>
            <w:hideMark/>
          </w:tcPr>
          <w:p w:rsidR="00535C1A" w:rsidRDefault="00535C1A">
            <w:pPr>
              <w:jc w:val="right"/>
              <w:rPr>
                <w:sz w:val="18"/>
                <w:szCs w:val="18"/>
              </w:rPr>
            </w:pPr>
            <w:r>
              <w:rPr>
                <w:sz w:val="18"/>
                <w:szCs w:val="18"/>
              </w:rPr>
              <w:t>35 279,8</w:t>
            </w:r>
          </w:p>
        </w:tc>
        <w:tc>
          <w:tcPr>
            <w:tcW w:w="1199" w:type="dxa"/>
            <w:tcBorders>
              <w:top w:val="nil"/>
              <w:left w:val="nil"/>
              <w:bottom w:val="nil"/>
              <w:right w:val="nil"/>
            </w:tcBorders>
            <w:shd w:val="clear" w:color="auto" w:fill="auto"/>
            <w:noWrap/>
            <w:vAlign w:val="bottom"/>
            <w:hideMark/>
          </w:tcPr>
          <w:p w:rsidR="00535C1A" w:rsidRDefault="00535C1A">
            <w:pPr>
              <w:rPr>
                <w:color w:val="0070C0"/>
                <w:sz w:val="18"/>
                <w:szCs w:val="18"/>
              </w:rPr>
            </w:pPr>
          </w:p>
        </w:tc>
        <w:tc>
          <w:tcPr>
            <w:tcW w:w="1300" w:type="dxa"/>
            <w:tcBorders>
              <w:top w:val="nil"/>
              <w:left w:val="nil"/>
              <w:bottom w:val="nil"/>
              <w:right w:val="single" w:sz="8" w:space="0" w:color="auto"/>
            </w:tcBorders>
            <w:shd w:val="clear" w:color="auto" w:fill="auto"/>
            <w:noWrap/>
            <w:vAlign w:val="bottom"/>
            <w:hideMark/>
          </w:tcPr>
          <w:p w:rsidR="00535C1A" w:rsidRDefault="00535C1A">
            <w:pPr>
              <w:jc w:val="right"/>
              <w:rPr>
                <w:sz w:val="18"/>
                <w:szCs w:val="18"/>
              </w:rPr>
            </w:pPr>
            <w:r>
              <w:rPr>
                <w:sz w:val="18"/>
                <w:szCs w:val="18"/>
              </w:rPr>
              <w:t>102,1%</w:t>
            </w:r>
          </w:p>
        </w:tc>
      </w:tr>
      <w:tr w:rsidR="00535C1A" w:rsidRPr="00C85532" w:rsidTr="00535C1A">
        <w:trPr>
          <w:trHeight w:val="255"/>
        </w:trPr>
        <w:tc>
          <w:tcPr>
            <w:tcW w:w="4405" w:type="dxa"/>
            <w:tcBorders>
              <w:top w:val="nil"/>
              <w:left w:val="single" w:sz="8" w:space="0" w:color="auto"/>
              <w:bottom w:val="nil"/>
              <w:right w:val="nil"/>
            </w:tcBorders>
            <w:shd w:val="clear" w:color="auto" w:fill="auto"/>
            <w:noWrap/>
            <w:vAlign w:val="bottom"/>
            <w:hideMark/>
          </w:tcPr>
          <w:p w:rsidR="00535C1A" w:rsidRDefault="00535C1A">
            <w:pPr>
              <w:rPr>
                <w:sz w:val="18"/>
                <w:szCs w:val="18"/>
              </w:rPr>
            </w:pPr>
            <w:r>
              <w:rPr>
                <w:sz w:val="18"/>
                <w:szCs w:val="18"/>
              </w:rPr>
              <w:t xml:space="preserve">  Неданъчни приходи</w:t>
            </w:r>
          </w:p>
        </w:tc>
        <w:tc>
          <w:tcPr>
            <w:tcW w:w="850" w:type="dxa"/>
            <w:tcBorders>
              <w:top w:val="nil"/>
              <w:left w:val="nil"/>
              <w:bottom w:val="nil"/>
              <w:right w:val="nil"/>
            </w:tcBorders>
            <w:shd w:val="clear" w:color="auto" w:fill="auto"/>
            <w:noWrap/>
            <w:vAlign w:val="bottom"/>
            <w:hideMark/>
          </w:tcPr>
          <w:p w:rsidR="00535C1A" w:rsidRDefault="00535C1A">
            <w:pPr>
              <w:jc w:val="right"/>
              <w:rPr>
                <w:sz w:val="18"/>
                <w:szCs w:val="18"/>
              </w:rPr>
            </w:pPr>
            <w:r>
              <w:rPr>
                <w:sz w:val="18"/>
                <w:szCs w:val="18"/>
              </w:rPr>
              <w:t>6 627,6</w:t>
            </w:r>
          </w:p>
        </w:tc>
        <w:tc>
          <w:tcPr>
            <w:tcW w:w="1087" w:type="dxa"/>
            <w:tcBorders>
              <w:top w:val="nil"/>
              <w:left w:val="nil"/>
              <w:bottom w:val="nil"/>
              <w:right w:val="nil"/>
            </w:tcBorders>
            <w:shd w:val="clear" w:color="auto" w:fill="auto"/>
            <w:noWrap/>
            <w:vAlign w:val="bottom"/>
            <w:hideMark/>
          </w:tcPr>
          <w:p w:rsidR="00535C1A" w:rsidRDefault="00535C1A">
            <w:pPr>
              <w:jc w:val="right"/>
              <w:rPr>
                <w:sz w:val="18"/>
                <w:szCs w:val="18"/>
              </w:rPr>
            </w:pPr>
            <w:r>
              <w:rPr>
                <w:sz w:val="18"/>
                <w:szCs w:val="18"/>
              </w:rPr>
              <w:t>6 305,1</w:t>
            </w:r>
          </w:p>
        </w:tc>
        <w:tc>
          <w:tcPr>
            <w:tcW w:w="1252" w:type="dxa"/>
            <w:tcBorders>
              <w:top w:val="nil"/>
              <w:left w:val="nil"/>
              <w:bottom w:val="nil"/>
              <w:right w:val="nil"/>
            </w:tcBorders>
            <w:shd w:val="clear" w:color="auto" w:fill="auto"/>
            <w:noWrap/>
            <w:vAlign w:val="bottom"/>
            <w:hideMark/>
          </w:tcPr>
          <w:p w:rsidR="00535C1A" w:rsidRDefault="00535C1A">
            <w:pPr>
              <w:jc w:val="right"/>
              <w:rPr>
                <w:sz w:val="18"/>
                <w:szCs w:val="18"/>
              </w:rPr>
            </w:pPr>
            <w:r>
              <w:rPr>
                <w:sz w:val="18"/>
                <w:szCs w:val="18"/>
              </w:rPr>
              <w:t>6 303,4</w:t>
            </w:r>
          </w:p>
        </w:tc>
        <w:tc>
          <w:tcPr>
            <w:tcW w:w="1199" w:type="dxa"/>
            <w:tcBorders>
              <w:top w:val="nil"/>
              <w:left w:val="nil"/>
              <w:bottom w:val="nil"/>
              <w:right w:val="nil"/>
            </w:tcBorders>
            <w:shd w:val="clear" w:color="auto" w:fill="auto"/>
            <w:noWrap/>
            <w:vAlign w:val="bottom"/>
            <w:hideMark/>
          </w:tcPr>
          <w:p w:rsidR="00535C1A" w:rsidRDefault="00535C1A">
            <w:pPr>
              <w:jc w:val="right"/>
              <w:rPr>
                <w:sz w:val="18"/>
                <w:szCs w:val="18"/>
              </w:rPr>
            </w:pPr>
            <w:r>
              <w:rPr>
                <w:sz w:val="18"/>
                <w:szCs w:val="18"/>
              </w:rPr>
              <w:t>1,7</w:t>
            </w:r>
          </w:p>
        </w:tc>
        <w:tc>
          <w:tcPr>
            <w:tcW w:w="1300" w:type="dxa"/>
            <w:tcBorders>
              <w:top w:val="nil"/>
              <w:left w:val="nil"/>
              <w:bottom w:val="nil"/>
              <w:right w:val="single" w:sz="8" w:space="0" w:color="auto"/>
            </w:tcBorders>
            <w:shd w:val="clear" w:color="auto" w:fill="auto"/>
            <w:noWrap/>
            <w:vAlign w:val="bottom"/>
            <w:hideMark/>
          </w:tcPr>
          <w:p w:rsidR="00535C1A" w:rsidRDefault="00535C1A">
            <w:pPr>
              <w:jc w:val="right"/>
              <w:rPr>
                <w:sz w:val="18"/>
                <w:szCs w:val="18"/>
              </w:rPr>
            </w:pPr>
            <w:r>
              <w:rPr>
                <w:sz w:val="18"/>
                <w:szCs w:val="18"/>
              </w:rPr>
              <w:t>95,1%</w:t>
            </w:r>
          </w:p>
        </w:tc>
      </w:tr>
      <w:tr w:rsidR="00535C1A" w:rsidRPr="00C85532" w:rsidTr="00535C1A">
        <w:trPr>
          <w:trHeight w:val="255"/>
        </w:trPr>
        <w:tc>
          <w:tcPr>
            <w:tcW w:w="4405" w:type="dxa"/>
            <w:tcBorders>
              <w:top w:val="nil"/>
              <w:left w:val="single" w:sz="8" w:space="0" w:color="auto"/>
              <w:bottom w:val="nil"/>
              <w:right w:val="nil"/>
            </w:tcBorders>
            <w:shd w:val="clear" w:color="auto" w:fill="auto"/>
            <w:noWrap/>
            <w:vAlign w:val="bottom"/>
            <w:hideMark/>
          </w:tcPr>
          <w:p w:rsidR="00535C1A" w:rsidRDefault="00535C1A">
            <w:pPr>
              <w:rPr>
                <w:sz w:val="18"/>
                <w:szCs w:val="18"/>
              </w:rPr>
            </w:pPr>
            <w:r>
              <w:rPr>
                <w:sz w:val="18"/>
                <w:szCs w:val="18"/>
              </w:rPr>
              <w:t xml:space="preserve">  Помощи и дарения</w:t>
            </w:r>
          </w:p>
        </w:tc>
        <w:tc>
          <w:tcPr>
            <w:tcW w:w="850" w:type="dxa"/>
            <w:tcBorders>
              <w:top w:val="nil"/>
              <w:left w:val="nil"/>
              <w:bottom w:val="nil"/>
              <w:right w:val="nil"/>
            </w:tcBorders>
            <w:shd w:val="clear" w:color="auto" w:fill="auto"/>
            <w:noWrap/>
            <w:vAlign w:val="bottom"/>
            <w:hideMark/>
          </w:tcPr>
          <w:p w:rsidR="00535C1A" w:rsidRDefault="00535C1A">
            <w:pPr>
              <w:jc w:val="right"/>
              <w:rPr>
                <w:sz w:val="18"/>
                <w:szCs w:val="18"/>
              </w:rPr>
            </w:pPr>
            <w:r>
              <w:rPr>
                <w:sz w:val="18"/>
                <w:szCs w:val="18"/>
              </w:rPr>
              <w:t>2 683,3</w:t>
            </w:r>
          </w:p>
        </w:tc>
        <w:tc>
          <w:tcPr>
            <w:tcW w:w="1087" w:type="dxa"/>
            <w:tcBorders>
              <w:top w:val="nil"/>
              <w:left w:val="nil"/>
              <w:bottom w:val="nil"/>
              <w:right w:val="nil"/>
            </w:tcBorders>
            <w:shd w:val="clear" w:color="auto" w:fill="auto"/>
            <w:noWrap/>
            <w:vAlign w:val="bottom"/>
            <w:hideMark/>
          </w:tcPr>
          <w:p w:rsidR="00535C1A" w:rsidRDefault="00535C1A">
            <w:pPr>
              <w:jc w:val="right"/>
              <w:rPr>
                <w:sz w:val="18"/>
                <w:szCs w:val="18"/>
              </w:rPr>
            </w:pPr>
            <w:r>
              <w:rPr>
                <w:sz w:val="18"/>
                <w:szCs w:val="18"/>
              </w:rPr>
              <w:t>2 463,6</w:t>
            </w:r>
          </w:p>
        </w:tc>
        <w:tc>
          <w:tcPr>
            <w:tcW w:w="1252" w:type="dxa"/>
            <w:tcBorders>
              <w:top w:val="nil"/>
              <w:left w:val="nil"/>
              <w:bottom w:val="nil"/>
              <w:right w:val="nil"/>
            </w:tcBorders>
            <w:shd w:val="clear" w:color="auto" w:fill="auto"/>
            <w:noWrap/>
            <w:vAlign w:val="bottom"/>
            <w:hideMark/>
          </w:tcPr>
          <w:p w:rsidR="00535C1A" w:rsidRDefault="00535C1A">
            <w:pPr>
              <w:jc w:val="right"/>
              <w:rPr>
                <w:sz w:val="18"/>
                <w:szCs w:val="18"/>
              </w:rPr>
            </w:pPr>
            <w:r>
              <w:rPr>
                <w:sz w:val="18"/>
                <w:szCs w:val="18"/>
              </w:rPr>
              <w:t>134,8</w:t>
            </w:r>
          </w:p>
        </w:tc>
        <w:tc>
          <w:tcPr>
            <w:tcW w:w="1199" w:type="dxa"/>
            <w:tcBorders>
              <w:top w:val="nil"/>
              <w:left w:val="nil"/>
              <w:bottom w:val="single" w:sz="4" w:space="0" w:color="auto"/>
              <w:right w:val="nil"/>
            </w:tcBorders>
            <w:shd w:val="clear" w:color="auto" w:fill="auto"/>
            <w:noWrap/>
            <w:vAlign w:val="bottom"/>
            <w:hideMark/>
          </w:tcPr>
          <w:p w:rsidR="00535C1A" w:rsidRDefault="00535C1A">
            <w:pPr>
              <w:jc w:val="right"/>
              <w:rPr>
                <w:sz w:val="18"/>
                <w:szCs w:val="18"/>
              </w:rPr>
            </w:pPr>
            <w:r>
              <w:rPr>
                <w:sz w:val="18"/>
                <w:szCs w:val="18"/>
              </w:rPr>
              <w:t>2328,8</w:t>
            </w:r>
          </w:p>
        </w:tc>
        <w:tc>
          <w:tcPr>
            <w:tcW w:w="1300" w:type="dxa"/>
            <w:tcBorders>
              <w:top w:val="nil"/>
              <w:left w:val="nil"/>
              <w:bottom w:val="nil"/>
              <w:right w:val="single" w:sz="8" w:space="0" w:color="auto"/>
            </w:tcBorders>
            <w:shd w:val="clear" w:color="auto" w:fill="auto"/>
            <w:noWrap/>
            <w:vAlign w:val="bottom"/>
            <w:hideMark/>
          </w:tcPr>
          <w:p w:rsidR="00535C1A" w:rsidRDefault="00535C1A">
            <w:pPr>
              <w:jc w:val="right"/>
              <w:rPr>
                <w:sz w:val="18"/>
                <w:szCs w:val="18"/>
              </w:rPr>
            </w:pPr>
            <w:r>
              <w:rPr>
                <w:sz w:val="18"/>
                <w:szCs w:val="18"/>
              </w:rPr>
              <w:t>91,8%</w:t>
            </w:r>
          </w:p>
        </w:tc>
      </w:tr>
      <w:tr w:rsidR="00535C1A" w:rsidRPr="00C85532" w:rsidTr="00535C1A">
        <w:trPr>
          <w:trHeight w:val="480"/>
        </w:trPr>
        <w:tc>
          <w:tcPr>
            <w:tcW w:w="4405" w:type="dxa"/>
            <w:tcBorders>
              <w:top w:val="single" w:sz="4" w:space="0" w:color="auto"/>
              <w:left w:val="single" w:sz="8" w:space="0" w:color="auto"/>
              <w:bottom w:val="nil"/>
              <w:right w:val="nil"/>
            </w:tcBorders>
            <w:shd w:val="clear" w:color="auto" w:fill="auto"/>
            <w:vAlign w:val="bottom"/>
            <w:hideMark/>
          </w:tcPr>
          <w:p w:rsidR="00535C1A" w:rsidRDefault="00535C1A">
            <w:pPr>
              <w:rPr>
                <w:b/>
                <w:bCs/>
                <w:sz w:val="18"/>
                <w:szCs w:val="18"/>
              </w:rPr>
            </w:pPr>
            <w:r>
              <w:rPr>
                <w:b/>
                <w:bCs/>
                <w:sz w:val="18"/>
                <w:szCs w:val="18"/>
              </w:rPr>
              <w:t>РАЗХОДИ И ВНОСКА ЗА ОБЩИЯ БЮДЖЕТ НА ЕС</w:t>
            </w:r>
          </w:p>
        </w:tc>
        <w:tc>
          <w:tcPr>
            <w:tcW w:w="850" w:type="dxa"/>
            <w:tcBorders>
              <w:top w:val="single" w:sz="4" w:space="0" w:color="auto"/>
              <w:left w:val="nil"/>
              <w:bottom w:val="nil"/>
              <w:right w:val="nil"/>
            </w:tcBorders>
            <w:shd w:val="clear" w:color="auto" w:fill="auto"/>
            <w:noWrap/>
            <w:vAlign w:val="bottom"/>
            <w:hideMark/>
          </w:tcPr>
          <w:p w:rsidR="00535C1A" w:rsidRDefault="00535C1A">
            <w:pPr>
              <w:jc w:val="right"/>
              <w:rPr>
                <w:b/>
                <w:bCs/>
                <w:sz w:val="18"/>
                <w:szCs w:val="18"/>
              </w:rPr>
            </w:pPr>
            <w:r>
              <w:rPr>
                <w:b/>
                <w:bCs/>
                <w:sz w:val="18"/>
                <w:szCs w:val="18"/>
              </w:rPr>
              <w:t>46 289,6</w:t>
            </w:r>
          </w:p>
        </w:tc>
        <w:tc>
          <w:tcPr>
            <w:tcW w:w="1087" w:type="dxa"/>
            <w:tcBorders>
              <w:top w:val="single" w:sz="4" w:space="0" w:color="auto"/>
              <w:left w:val="nil"/>
              <w:bottom w:val="nil"/>
              <w:right w:val="nil"/>
            </w:tcBorders>
            <w:shd w:val="clear" w:color="auto" w:fill="auto"/>
            <w:noWrap/>
            <w:vAlign w:val="bottom"/>
            <w:hideMark/>
          </w:tcPr>
          <w:p w:rsidR="00535C1A" w:rsidRDefault="00535C1A">
            <w:pPr>
              <w:jc w:val="right"/>
              <w:rPr>
                <w:b/>
                <w:bCs/>
                <w:sz w:val="18"/>
                <w:szCs w:val="18"/>
              </w:rPr>
            </w:pPr>
            <w:r>
              <w:rPr>
                <w:b/>
                <w:bCs/>
                <w:sz w:val="18"/>
                <w:szCs w:val="18"/>
              </w:rPr>
              <w:t>45 196,9</w:t>
            </w:r>
          </w:p>
        </w:tc>
        <w:tc>
          <w:tcPr>
            <w:tcW w:w="1252" w:type="dxa"/>
            <w:tcBorders>
              <w:top w:val="single" w:sz="4" w:space="0" w:color="auto"/>
              <w:left w:val="nil"/>
              <w:bottom w:val="nil"/>
              <w:right w:val="nil"/>
            </w:tcBorders>
            <w:shd w:val="clear" w:color="auto" w:fill="auto"/>
            <w:noWrap/>
            <w:vAlign w:val="bottom"/>
            <w:hideMark/>
          </w:tcPr>
          <w:p w:rsidR="00535C1A" w:rsidRDefault="00535C1A">
            <w:pPr>
              <w:jc w:val="right"/>
              <w:rPr>
                <w:b/>
                <w:bCs/>
                <w:sz w:val="18"/>
                <w:szCs w:val="18"/>
              </w:rPr>
            </w:pPr>
            <w:r>
              <w:rPr>
                <w:b/>
                <w:bCs/>
                <w:sz w:val="18"/>
                <w:szCs w:val="18"/>
              </w:rPr>
              <w:t>42 060,6</w:t>
            </w:r>
          </w:p>
        </w:tc>
        <w:tc>
          <w:tcPr>
            <w:tcW w:w="1199" w:type="dxa"/>
            <w:tcBorders>
              <w:top w:val="nil"/>
              <w:left w:val="nil"/>
              <w:bottom w:val="nil"/>
              <w:right w:val="nil"/>
            </w:tcBorders>
            <w:shd w:val="clear" w:color="auto" w:fill="auto"/>
            <w:noWrap/>
            <w:vAlign w:val="bottom"/>
            <w:hideMark/>
          </w:tcPr>
          <w:p w:rsidR="00535C1A" w:rsidRDefault="00535C1A">
            <w:pPr>
              <w:jc w:val="right"/>
              <w:rPr>
                <w:b/>
                <w:bCs/>
                <w:sz w:val="18"/>
                <w:szCs w:val="18"/>
              </w:rPr>
            </w:pPr>
            <w:r>
              <w:rPr>
                <w:b/>
                <w:bCs/>
                <w:sz w:val="18"/>
                <w:szCs w:val="18"/>
              </w:rPr>
              <w:t>3 136,2</w:t>
            </w:r>
          </w:p>
        </w:tc>
        <w:tc>
          <w:tcPr>
            <w:tcW w:w="1300" w:type="dxa"/>
            <w:tcBorders>
              <w:top w:val="single" w:sz="4" w:space="0" w:color="auto"/>
              <w:left w:val="nil"/>
              <w:bottom w:val="nil"/>
              <w:right w:val="single" w:sz="8" w:space="0" w:color="auto"/>
            </w:tcBorders>
            <w:shd w:val="clear" w:color="auto" w:fill="auto"/>
            <w:noWrap/>
            <w:vAlign w:val="bottom"/>
            <w:hideMark/>
          </w:tcPr>
          <w:p w:rsidR="00535C1A" w:rsidRDefault="00535C1A">
            <w:pPr>
              <w:jc w:val="right"/>
              <w:rPr>
                <w:b/>
                <w:bCs/>
                <w:sz w:val="18"/>
                <w:szCs w:val="18"/>
              </w:rPr>
            </w:pPr>
            <w:r>
              <w:rPr>
                <w:b/>
                <w:bCs/>
                <w:sz w:val="18"/>
                <w:szCs w:val="18"/>
              </w:rPr>
              <w:t>97,6%</w:t>
            </w:r>
          </w:p>
        </w:tc>
      </w:tr>
      <w:tr w:rsidR="00535C1A" w:rsidRPr="00C85532" w:rsidTr="00535C1A">
        <w:trPr>
          <w:trHeight w:val="255"/>
        </w:trPr>
        <w:tc>
          <w:tcPr>
            <w:tcW w:w="4405" w:type="dxa"/>
            <w:tcBorders>
              <w:top w:val="nil"/>
              <w:left w:val="single" w:sz="8" w:space="0" w:color="auto"/>
              <w:bottom w:val="nil"/>
              <w:right w:val="nil"/>
            </w:tcBorders>
            <w:shd w:val="clear" w:color="auto" w:fill="auto"/>
            <w:noWrap/>
            <w:vAlign w:val="bottom"/>
            <w:hideMark/>
          </w:tcPr>
          <w:p w:rsidR="00535C1A" w:rsidRDefault="00535C1A">
            <w:pPr>
              <w:rPr>
                <w:sz w:val="18"/>
                <w:szCs w:val="18"/>
              </w:rPr>
            </w:pPr>
            <w:r>
              <w:rPr>
                <w:sz w:val="18"/>
                <w:szCs w:val="18"/>
              </w:rPr>
              <w:t xml:space="preserve">  Нелихвени</w:t>
            </w:r>
          </w:p>
        </w:tc>
        <w:tc>
          <w:tcPr>
            <w:tcW w:w="850" w:type="dxa"/>
            <w:tcBorders>
              <w:top w:val="nil"/>
              <w:left w:val="nil"/>
              <w:bottom w:val="nil"/>
              <w:right w:val="nil"/>
            </w:tcBorders>
            <w:shd w:val="clear" w:color="auto" w:fill="auto"/>
            <w:noWrap/>
            <w:vAlign w:val="bottom"/>
            <w:hideMark/>
          </w:tcPr>
          <w:p w:rsidR="00535C1A" w:rsidRDefault="00535C1A">
            <w:pPr>
              <w:jc w:val="right"/>
              <w:rPr>
                <w:sz w:val="18"/>
                <w:szCs w:val="18"/>
              </w:rPr>
            </w:pPr>
            <w:r>
              <w:rPr>
                <w:sz w:val="18"/>
                <w:szCs w:val="18"/>
              </w:rPr>
              <w:t>44 130,0</w:t>
            </w:r>
          </w:p>
        </w:tc>
        <w:tc>
          <w:tcPr>
            <w:tcW w:w="1087" w:type="dxa"/>
            <w:tcBorders>
              <w:top w:val="nil"/>
              <w:left w:val="nil"/>
              <w:bottom w:val="nil"/>
              <w:right w:val="nil"/>
            </w:tcBorders>
            <w:shd w:val="clear" w:color="auto" w:fill="auto"/>
            <w:noWrap/>
            <w:vAlign w:val="bottom"/>
            <w:hideMark/>
          </w:tcPr>
          <w:p w:rsidR="00535C1A" w:rsidRDefault="00535C1A">
            <w:pPr>
              <w:jc w:val="right"/>
              <w:rPr>
                <w:sz w:val="18"/>
                <w:szCs w:val="18"/>
              </w:rPr>
            </w:pPr>
            <w:r>
              <w:rPr>
                <w:sz w:val="18"/>
                <w:szCs w:val="18"/>
              </w:rPr>
              <w:t>43 354,7</w:t>
            </w:r>
          </w:p>
        </w:tc>
        <w:tc>
          <w:tcPr>
            <w:tcW w:w="1252" w:type="dxa"/>
            <w:tcBorders>
              <w:top w:val="nil"/>
              <w:left w:val="nil"/>
              <w:bottom w:val="nil"/>
              <w:right w:val="nil"/>
            </w:tcBorders>
            <w:shd w:val="clear" w:color="auto" w:fill="auto"/>
            <w:noWrap/>
            <w:vAlign w:val="bottom"/>
            <w:hideMark/>
          </w:tcPr>
          <w:p w:rsidR="00535C1A" w:rsidRDefault="00535C1A">
            <w:pPr>
              <w:jc w:val="right"/>
              <w:rPr>
                <w:sz w:val="18"/>
                <w:szCs w:val="18"/>
              </w:rPr>
            </w:pPr>
            <w:r>
              <w:rPr>
                <w:sz w:val="18"/>
                <w:szCs w:val="18"/>
              </w:rPr>
              <w:t>40 218,4</w:t>
            </w:r>
          </w:p>
        </w:tc>
        <w:tc>
          <w:tcPr>
            <w:tcW w:w="1199" w:type="dxa"/>
            <w:tcBorders>
              <w:top w:val="nil"/>
              <w:left w:val="nil"/>
              <w:bottom w:val="nil"/>
              <w:right w:val="nil"/>
            </w:tcBorders>
            <w:shd w:val="clear" w:color="auto" w:fill="auto"/>
            <w:noWrap/>
            <w:vAlign w:val="bottom"/>
            <w:hideMark/>
          </w:tcPr>
          <w:p w:rsidR="00535C1A" w:rsidRDefault="00535C1A">
            <w:pPr>
              <w:jc w:val="right"/>
              <w:rPr>
                <w:sz w:val="18"/>
                <w:szCs w:val="18"/>
              </w:rPr>
            </w:pPr>
            <w:r>
              <w:rPr>
                <w:sz w:val="18"/>
                <w:szCs w:val="18"/>
              </w:rPr>
              <w:t>3 136,2</w:t>
            </w:r>
          </w:p>
        </w:tc>
        <w:tc>
          <w:tcPr>
            <w:tcW w:w="1300" w:type="dxa"/>
            <w:tcBorders>
              <w:top w:val="nil"/>
              <w:left w:val="nil"/>
              <w:bottom w:val="nil"/>
              <w:right w:val="single" w:sz="8" w:space="0" w:color="auto"/>
            </w:tcBorders>
            <w:shd w:val="clear" w:color="auto" w:fill="auto"/>
            <w:noWrap/>
            <w:vAlign w:val="bottom"/>
            <w:hideMark/>
          </w:tcPr>
          <w:p w:rsidR="00535C1A" w:rsidRDefault="00535C1A">
            <w:pPr>
              <w:jc w:val="right"/>
              <w:rPr>
                <w:sz w:val="18"/>
                <w:szCs w:val="18"/>
              </w:rPr>
            </w:pPr>
            <w:r>
              <w:rPr>
                <w:sz w:val="18"/>
                <w:szCs w:val="18"/>
              </w:rPr>
              <w:t>98,2%</w:t>
            </w:r>
          </w:p>
        </w:tc>
      </w:tr>
      <w:tr w:rsidR="00535C1A" w:rsidRPr="00C85532" w:rsidTr="00535C1A">
        <w:trPr>
          <w:trHeight w:val="255"/>
        </w:trPr>
        <w:tc>
          <w:tcPr>
            <w:tcW w:w="4405" w:type="dxa"/>
            <w:tcBorders>
              <w:top w:val="nil"/>
              <w:left w:val="single" w:sz="8" w:space="0" w:color="auto"/>
              <w:bottom w:val="nil"/>
              <w:right w:val="nil"/>
            </w:tcBorders>
            <w:shd w:val="clear" w:color="auto" w:fill="auto"/>
            <w:noWrap/>
            <w:vAlign w:val="bottom"/>
            <w:hideMark/>
          </w:tcPr>
          <w:p w:rsidR="00535C1A" w:rsidRDefault="00535C1A">
            <w:pPr>
              <w:rPr>
                <w:sz w:val="18"/>
                <w:szCs w:val="18"/>
              </w:rPr>
            </w:pPr>
            <w:r>
              <w:rPr>
                <w:sz w:val="18"/>
                <w:szCs w:val="18"/>
              </w:rPr>
              <w:t xml:space="preserve">    Текущи</w:t>
            </w:r>
          </w:p>
        </w:tc>
        <w:tc>
          <w:tcPr>
            <w:tcW w:w="850" w:type="dxa"/>
            <w:tcBorders>
              <w:top w:val="nil"/>
              <w:left w:val="nil"/>
              <w:bottom w:val="nil"/>
              <w:right w:val="nil"/>
            </w:tcBorders>
            <w:shd w:val="clear" w:color="auto" w:fill="auto"/>
            <w:noWrap/>
            <w:vAlign w:val="bottom"/>
            <w:hideMark/>
          </w:tcPr>
          <w:p w:rsidR="00535C1A" w:rsidRDefault="00535C1A">
            <w:pPr>
              <w:jc w:val="right"/>
              <w:rPr>
                <w:sz w:val="18"/>
                <w:szCs w:val="18"/>
              </w:rPr>
            </w:pPr>
            <w:r>
              <w:rPr>
                <w:sz w:val="18"/>
                <w:szCs w:val="18"/>
              </w:rPr>
              <w:t>35 701,5</w:t>
            </w:r>
          </w:p>
        </w:tc>
        <w:tc>
          <w:tcPr>
            <w:tcW w:w="1087" w:type="dxa"/>
            <w:tcBorders>
              <w:top w:val="nil"/>
              <w:left w:val="nil"/>
              <w:bottom w:val="nil"/>
              <w:right w:val="nil"/>
            </w:tcBorders>
            <w:shd w:val="clear" w:color="auto" w:fill="auto"/>
            <w:noWrap/>
            <w:vAlign w:val="bottom"/>
            <w:hideMark/>
          </w:tcPr>
          <w:p w:rsidR="00535C1A" w:rsidRDefault="00535C1A">
            <w:pPr>
              <w:jc w:val="right"/>
              <w:rPr>
                <w:sz w:val="18"/>
                <w:szCs w:val="18"/>
              </w:rPr>
            </w:pPr>
            <w:r>
              <w:rPr>
                <w:sz w:val="18"/>
                <w:szCs w:val="18"/>
              </w:rPr>
              <w:t>35 743,7</w:t>
            </w:r>
          </w:p>
        </w:tc>
        <w:tc>
          <w:tcPr>
            <w:tcW w:w="1252" w:type="dxa"/>
            <w:tcBorders>
              <w:top w:val="nil"/>
              <w:left w:val="nil"/>
              <w:bottom w:val="nil"/>
              <w:right w:val="nil"/>
            </w:tcBorders>
            <w:shd w:val="clear" w:color="auto" w:fill="auto"/>
            <w:noWrap/>
            <w:vAlign w:val="bottom"/>
            <w:hideMark/>
          </w:tcPr>
          <w:p w:rsidR="00535C1A" w:rsidRDefault="00535C1A">
            <w:pPr>
              <w:jc w:val="right"/>
              <w:rPr>
                <w:sz w:val="18"/>
                <w:szCs w:val="18"/>
              </w:rPr>
            </w:pPr>
            <w:r>
              <w:rPr>
                <w:sz w:val="18"/>
                <w:szCs w:val="18"/>
              </w:rPr>
              <w:t>34 669,0</w:t>
            </w:r>
          </w:p>
        </w:tc>
        <w:tc>
          <w:tcPr>
            <w:tcW w:w="1199" w:type="dxa"/>
            <w:tcBorders>
              <w:top w:val="nil"/>
              <w:left w:val="nil"/>
              <w:bottom w:val="nil"/>
              <w:right w:val="nil"/>
            </w:tcBorders>
            <w:shd w:val="clear" w:color="auto" w:fill="auto"/>
            <w:noWrap/>
            <w:vAlign w:val="bottom"/>
            <w:hideMark/>
          </w:tcPr>
          <w:p w:rsidR="00535C1A" w:rsidRDefault="00535C1A">
            <w:pPr>
              <w:jc w:val="right"/>
              <w:rPr>
                <w:sz w:val="18"/>
                <w:szCs w:val="18"/>
              </w:rPr>
            </w:pPr>
            <w:r>
              <w:rPr>
                <w:sz w:val="18"/>
                <w:szCs w:val="18"/>
              </w:rPr>
              <w:t>1 074,7</w:t>
            </w:r>
          </w:p>
        </w:tc>
        <w:tc>
          <w:tcPr>
            <w:tcW w:w="1300" w:type="dxa"/>
            <w:tcBorders>
              <w:top w:val="nil"/>
              <w:left w:val="nil"/>
              <w:bottom w:val="nil"/>
              <w:right w:val="single" w:sz="8" w:space="0" w:color="auto"/>
            </w:tcBorders>
            <w:shd w:val="clear" w:color="auto" w:fill="auto"/>
            <w:noWrap/>
            <w:vAlign w:val="bottom"/>
            <w:hideMark/>
          </w:tcPr>
          <w:p w:rsidR="00535C1A" w:rsidRDefault="00535C1A">
            <w:pPr>
              <w:jc w:val="right"/>
              <w:rPr>
                <w:sz w:val="18"/>
                <w:szCs w:val="18"/>
              </w:rPr>
            </w:pPr>
            <w:r>
              <w:rPr>
                <w:sz w:val="18"/>
                <w:szCs w:val="18"/>
              </w:rPr>
              <w:t>100,1%</w:t>
            </w:r>
          </w:p>
        </w:tc>
      </w:tr>
      <w:tr w:rsidR="00535C1A" w:rsidRPr="00C85532" w:rsidTr="00535C1A">
        <w:trPr>
          <w:trHeight w:val="255"/>
        </w:trPr>
        <w:tc>
          <w:tcPr>
            <w:tcW w:w="4405" w:type="dxa"/>
            <w:tcBorders>
              <w:top w:val="nil"/>
              <w:left w:val="single" w:sz="8" w:space="0" w:color="auto"/>
              <w:bottom w:val="nil"/>
              <w:right w:val="nil"/>
            </w:tcBorders>
            <w:shd w:val="clear" w:color="auto" w:fill="auto"/>
            <w:noWrap/>
            <w:vAlign w:val="bottom"/>
          </w:tcPr>
          <w:p w:rsidR="00535C1A" w:rsidRDefault="00535C1A">
            <w:pPr>
              <w:rPr>
                <w:sz w:val="18"/>
                <w:szCs w:val="18"/>
              </w:rPr>
            </w:pPr>
            <w:r>
              <w:rPr>
                <w:sz w:val="18"/>
                <w:szCs w:val="18"/>
              </w:rPr>
              <w:t xml:space="preserve">    Капиталови</w:t>
            </w:r>
          </w:p>
        </w:tc>
        <w:tc>
          <w:tcPr>
            <w:tcW w:w="850" w:type="dxa"/>
            <w:tcBorders>
              <w:top w:val="nil"/>
              <w:left w:val="nil"/>
              <w:bottom w:val="nil"/>
              <w:right w:val="nil"/>
            </w:tcBorders>
            <w:shd w:val="clear" w:color="auto" w:fill="auto"/>
            <w:noWrap/>
            <w:vAlign w:val="bottom"/>
          </w:tcPr>
          <w:p w:rsidR="00535C1A" w:rsidRDefault="00535C1A">
            <w:pPr>
              <w:jc w:val="right"/>
              <w:rPr>
                <w:sz w:val="18"/>
                <w:szCs w:val="18"/>
              </w:rPr>
            </w:pPr>
            <w:r>
              <w:rPr>
                <w:sz w:val="18"/>
                <w:szCs w:val="18"/>
              </w:rPr>
              <w:t>8 414,2</w:t>
            </w:r>
          </w:p>
        </w:tc>
        <w:tc>
          <w:tcPr>
            <w:tcW w:w="1087" w:type="dxa"/>
            <w:tcBorders>
              <w:top w:val="nil"/>
              <w:left w:val="nil"/>
              <w:bottom w:val="nil"/>
              <w:right w:val="nil"/>
            </w:tcBorders>
            <w:shd w:val="clear" w:color="auto" w:fill="auto"/>
            <w:noWrap/>
            <w:vAlign w:val="bottom"/>
          </w:tcPr>
          <w:p w:rsidR="00535C1A" w:rsidRDefault="00535C1A">
            <w:pPr>
              <w:jc w:val="right"/>
              <w:rPr>
                <w:sz w:val="18"/>
                <w:szCs w:val="18"/>
              </w:rPr>
            </w:pPr>
            <w:r>
              <w:rPr>
                <w:sz w:val="18"/>
                <w:szCs w:val="18"/>
              </w:rPr>
              <w:t>7 567,2</w:t>
            </w:r>
          </w:p>
        </w:tc>
        <w:tc>
          <w:tcPr>
            <w:tcW w:w="1252" w:type="dxa"/>
            <w:tcBorders>
              <w:top w:val="nil"/>
              <w:left w:val="nil"/>
              <w:bottom w:val="nil"/>
              <w:right w:val="nil"/>
            </w:tcBorders>
            <w:shd w:val="clear" w:color="auto" w:fill="auto"/>
            <w:noWrap/>
            <w:vAlign w:val="bottom"/>
          </w:tcPr>
          <w:p w:rsidR="00535C1A" w:rsidRDefault="00535C1A">
            <w:pPr>
              <w:jc w:val="right"/>
              <w:rPr>
                <w:sz w:val="18"/>
                <w:szCs w:val="18"/>
              </w:rPr>
            </w:pPr>
            <w:r>
              <w:rPr>
                <w:sz w:val="18"/>
                <w:szCs w:val="18"/>
              </w:rPr>
              <w:t>5 529,1</w:t>
            </w:r>
          </w:p>
        </w:tc>
        <w:tc>
          <w:tcPr>
            <w:tcW w:w="1199" w:type="dxa"/>
            <w:tcBorders>
              <w:top w:val="nil"/>
              <w:left w:val="nil"/>
              <w:bottom w:val="nil"/>
              <w:right w:val="nil"/>
            </w:tcBorders>
            <w:shd w:val="clear" w:color="auto" w:fill="auto"/>
            <w:noWrap/>
            <w:vAlign w:val="bottom"/>
          </w:tcPr>
          <w:p w:rsidR="00535C1A" w:rsidRDefault="00535C1A">
            <w:pPr>
              <w:jc w:val="right"/>
              <w:rPr>
                <w:sz w:val="18"/>
                <w:szCs w:val="18"/>
              </w:rPr>
            </w:pPr>
            <w:r>
              <w:rPr>
                <w:sz w:val="18"/>
                <w:szCs w:val="18"/>
              </w:rPr>
              <w:t>2 038,2</w:t>
            </w:r>
          </w:p>
        </w:tc>
        <w:tc>
          <w:tcPr>
            <w:tcW w:w="1300" w:type="dxa"/>
            <w:tcBorders>
              <w:top w:val="nil"/>
              <w:left w:val="nil"/>
              <w:bottom w:val="nil"/>
              <w:right w:val="single" w:sz="8" w:space="0" w:color="auto"/>
            </w:tcBorders>
            <w:shd w:val="clear" w:color="auto" w:fill="auto"/>
            <w:noWrap/>
            <w:vAlign w:val="bottom"/>
          </w:tcPr>
          <w:p w:rsidR="00535C1A" w:rsidRDefault="00535C1A">
            <w:pPr>
              <w:jc w:val="right"/>
              <w:rPr>
                <w:sz w:val="18"/>
                <w:szCs w:val="18"/>
              </w:rPr>
            </w:pPr>
            <w:r>
              <w:rPr>
                <w:sz w:val="18"/>
                <w:szCs w:val="18"/>
              </w:rPr>
              <w:t>89,9%</w:t>
            </w:r>
          </w:p>
        </w:tc>
      </w:tr>
      <w:tr w:rsidR="00535C1A" w:rsidRPr="00C85532" w:rsidTr="00535C1A">
        <w:trPr>
          <w:trHeight w:val="255"/>
        </w:trPr>
        <w:tc>
          <w:tcPr>
            <w:tcW w:w="4405" w:type="dxa"/>
            <w:tcBorders>
              <w:top w:val="nil"/>
              <w:left w:val="single" w:sz="8" w:space="0" w:color="auto"/>
              <w:bottom w:val="nil"/>
              <w:right w:val="nil"/>
            </w:tcBorders>
            <w:shd w:val="clear" w:color="auto" w:fill="auto"/>
            <w:noWrap/>
            <w:vAlign w:val="bottom"/>
            <w:hideMark/>
          </w:tcPr>
          <w:p w:rsidR="00535C1A" w:rsidRDefault="00535C1A">
            <w:pPr>
              <w:rPr>
                <w:sz w:val="18"/>
                <w:szCs w:val="18"/>
              </w:rPr>
            </w:pPr>
            <w:r>
              <w:rPr>
                <w:sz w:val="18"/>
                <w:szCs w:val="18"/>
              </w:rPr>
              <w:t xml:space="preserve">           в т.ч. нетен прираст на държавния резерв</w:t>
            </w:r>
          </w:p>
        </w:tc>
        <w:tc>
          <w:tcPr>
            <w:tcW w:w="850" w:type="dxa"/>
            <w:tcBorders>
              <w:top w:val="nil"/>
              <w:left w:val="nil"/>
              <w:bottom w:val="nil"/>
              <w:right w:val="nil"/>
            </w:tcBorders>
            <w:shd w:val="clear" w:color="auto" w:fill="auto"/>
            <w:noWrap/>
            <w:vAlign w:val="bottom"/>
            <w:hideMark/>
          </w:tcPr>
          <w:p w:rsidR="00535C1A" w:rsidRDefault="00535C1A">
            <w:pPr>
              <w:jc w:val="right"/>
              <w:rPr>
                <w:sz w:val="18"/>
                <w:szCs w:val="18"/>
              </w:rPr>
            </w:pPr>
            <w:r>
              <w:rPr>
                <w:sz w:val="18"/>
                <w:szCs w:val="18"/>
              </w:rPr>
              <w:t>19,2</w:t>
            </w:r>
          </w:p>
        </w:tc>
        <w:tc>
          <w:tcPr>
            <w:tcW w:w="1087" w:type="dxa"/>
            <w:tcBorders>
              <w:top w:val="nil"/>
              <w:left w:val="nil"/>
              <w:bottom w:val="nil"/>
              <w:right w:val="nil"/>
            </w:tcBorders>
            <w:shd w:val="clear" w:color="auto" w:fill="auto"/>
            <w:noWrap/>
            <w:vAlign w:val="bottom"/>
            <w:hideMark/>
          </w:tcPr>
          <w:p w:rsidR="00535C1A" w:rsidRDefault="00535C1A">
            <w:pPr>
              <w:jc w:val="right"/>
              <w:rPr>
                <w:sz w:val="18"/>
                <w:szCs w:val="18"/>
              </w:rPr>
            </w:pPr>
            <w:r>
              <w:rPr>
                <w:sz w:val="18"/>
                <w:szCs w:val="18"/>
              </w:rPr>
              <w:t>54,2</w:t>
            </w:r>
          </w:p>
        </w:tc>
        <w:tc>
          <w:tcPr>
            <w:tcW w:w="1252" w:type="dxa"/>
            <w:tcBorders>
              <w:top w:val="nil"/>
              <w:left w:val="nil"/>
              <w:bottom w:val="nil"/>
              <w:right w:val="nil"/>
            </w:tcBorders>
            <w:shd w:val="clear" w:color="auto" w:fill="auto"/>
            <w:noWrap/>
            <w:vAlign w:val="bottom"/>
            <w:hideMark/>
          </w:tcPr>
          <w:p w:rsidR="00535C1A" w:rsidRDefault="00535C1A">
            <w:pPr>
              <w:jc w:val="right"/>
              <w:rPr>
                <w:sz w:val="18"/>
                <w:szCs w:val="18"/>
              </w:rPr>
            </w:pPr>
            <w:r>
              <w:rPr>
                <w:sz w:val="18"/>
                <w:szCs w:val="18"/>
              </w:rPr>
              <w:t>54,2</w:t>
            </w:r>
          </w:p>
        </w:tc>
        <w:tc>
          <w:tcPr>
            <w:tcW w:w="1199" w:type="dxa"/>
            <w:tcBorders>
              <w:top w:val="nil"/>
              <w:left w:val="nil"/>
              <w:bottom w:val="nil"/>
              <w:right w:val="nil"/>
            </w:tcBorders>
            <w:shd w:val="clear" w:color="auto" w:fill="auto"/>
            <w:noWrap/>
            <w:vAlign w:val="bottom"/>
            <w:hideMark/>
          </w:tcPr>
          <w:p w:rsidR="00535C1A" w:rsidRDefault="00535C1A">
            <w:pPr>
              <w:rPr>
                <w:sz w:val="18"/>
                <w:szCs w:val="18"/>
              </w:rPr>
            </w:pPr>
          </w:p>
        </w:tc>
        <w:tc>
          <w:tcPr>
            <w:tcW w:w="1300" w:type="dxa"/>
            <w:tcBorders>
              <w:top w:val="nil"/>
              <w:left w:val="nil"/>
              <w:bottom w:val="nil"/>
              <w:right w:val="single" w:sz="8" w:space="0" w:color="auto"/>
            </w:tcBorders>
            <w:shd w:val="clear" w:color="auto" w:fill="auto"/>
            <w:noWrap/>
            <w:vAlign w:val="bottom"/>
            <w:hideMark/>
          </w:tcPr>
          <w:p w:rsidR="00535C1A" w:rsidRDefault="00535C1A">
            <w:pPr>
              <w:jc w:val="right"/>
              <w:rPr>
                <w:sz w:val="18"/>
                <w:szCs w:val="18"/>
              </w:rPr>
            </w:pPr>
            <w:r>
              <w:rPr>
                <w:sz w:val="18"/>
                <w:szCs w:val="18"/>
              </w:rPr>
              <w:t>281,8%</w:t>
            </w:r>
          </w:p>
        </w:tc>
      </w:tr>
      <w:tr w:rsidR="00535C1A" w:rsidRPr="00C85532" w:rsidTr="00535C1A">
        <w:trPr>
          <w:trHeight w:val="255"/>
        </w:trPr>
        <w:tc>
          <w:tcPr>
            <w:tcW w:w="4405" w:type="dxa"/>
            <w:tcBorders>
              <w:top w:val="nil"/>
              <w:left w:val="single" w:sz="8" w:space="0" w:color="auto"/>
              <w:bottom w:val="nil"/>
              <w:right w:val="nil"/>
            </w:tcBorders>
            <w:shd w:val="clear" w:color="auto" w:fill="auto"/>
            <w:noWrap/>
            <w:vAlign w:val="bottom"/>
            <w:hideMark/>
          </w:tcPr>
          <w:p w:rsidR="00535C1A" w:rsidRDefault="00535C1A">
            <w:pPr>
              <w:rPr>
                <w:sz w:val="18"/>
                <w:szCs w:val="18"/>
              </w:rPr>
            </w:pPr>
            <w:r>
              <w:rPr>
                <w:sz w:val="18"/>
                <w:szCs w:val="18"/>
              </w:rPr>
              <w:t xml:space="preserve">    Предоставени. </w:t>
            </w:r>
            <w:proofErr w:type="spellStart"/>
            <w:r>
              <w:rPr>
                <w:sz w:val="18"/>
                <w:szCs w:val="18"/>
              </w:rPr>
              <w:t>тек</w:t>
            </w:r>
            <w:proofErr w:type="spellEnd"/>
            <w:r>
              <w:rPr>
                <w:sz w:val="18"/>
                <w:szCs w:val="18"/>
              </w:rPr>
              <w:t xml:space="preserve">. и </w:t>
            </w:r>
            <w:proofErr w:type="spellStart"/>
            <w:r>
              <w:rPr>
                <w:sz w:val="18"/>
                <w:szCs w:val="18"/>
              </w:rPr>
              <w:t>капит</w:t>
            </w:r>
            <w:proofErr w:type="spellEnd"/>
            <w:r>
              <w:rPr>
                <w:sz w:val="18"/>
                <w:szCs w:val="18"/>
              </w:rPr>
              <w:t>. трансфери за чужбина</w:t>
            </w:r>
          </w:p>
        </w:tc>
        <w:tc>
          <w:tcPr>
            <w:tcW w:w="850" w:type="dxa"/>
            <w:tcBorders>
              <w:top w:val="nil"/>
              <w:left w:val="nil"/>
              <w:bottom w:val="nil"/>
              <w:right w:val="nil"/>
            </w:tcBorders>
            <w:shd w:val="clear" w:color="auto" w:fill="auto"/>
            <w:noWrap/>
            <w:vAlign w:val="bottom"/>
            <w:hideMark/>
          </w:tcPr>
          <w:p w:rsidR="00535C1A" w:rsidRDefault="00535C1A">
            <w:pPr>
              <w:jc w:val="right"/>
              <w:rPr>
                <w:sz w:val="18"/>
                <w:szCs w:val="18"/>
              </w:rPr>
            </w:pPr>
            <w:r>
              <w:rPr>
                <w:sz w:val="18"/>
                <w:szCs w:val="18"/>
              </w:rPr>
              <w:t>14,4</w:t>
            </w:r>
          </w:p>
        </w:tc>
        <w:tc>
          <w:tcPr>
            <w:tcW w:w="1087" w:type="dxa"/>
            <w:tcBorders>
              <w:top w:val="nil"/>
              <w:left w:val="nil"/>
              <w:bottom w:val="nil"/>
              <w:right w:val="nil"/>
            </w:tcBorders>
            <w:shd w:val="clear" w:color="auto" w:fill="auto"/>
            <w:noWrap/>
            <w:vAlign w:val="bottom"/>
            <w:hideMark/>
          </w:tcPr>
          <w:p w:rsidR="00535C1A" w:rsidRDefault="00535C1A">
            <w:pPr>
              <w:jc w:val="right"/>
              <w:rPr>
                <w:sz w:val="18"/>
                <w:szCs w:val="18"/>
              </w:rPr>
            </w:pPr>
            <w:r>
              <w:rPr>
                <w:sz w:val="18"/>
                <w:szCs w:val="18"/>
              </w:rPr>
              <w:t>43,7</w:t>
            </w:r>
          </w:p>
        </w:tc>
        <w:tc>
          <w:tcPr>
            <w:tcW w:w="1252" w:type="dxa"/>
            <w:tcBorders>
              <w:top w:val="nil"/>
              <w:left w:val="nil"/>
              <w:bottom w:val="nil"/>
              <w:right w:val="nil"/>
            </w:tcBorders>
            <w:shd w:val="clear" w:color="auto" w:fill="auto"/>
            <w:noWrap/>
            <w:vAlign w:val="bottom"/>
            <w:hideMark/>
          </w:tcPr>
          <w:p w:rsidR="00535C1A" w:rsidRDefault="00535C1A">
            <w:pPr>
              <w:jc w:val="right"/>
              <w:rPr>
                <w:sz w:val="18"/>
                <w:szCs w:val="18"/>
              </w:rPr>
            </w:pPr>
            <w:r>
              <w:rPr>
                <w:sz w:val="18"/>
                <w:szCs w:val="18"/>
              </w:rPr>
              <w:t>20,3</w:t>
            </w:r>
          </w:p>
        </w:tc>
        <w:tc>
          <w:tcPr>
            <w:tcW w:w="1199" w:type="dxa"/>
            <w:tcBorders>
              <w:top w:val="nil"/>
              <w:left w:val="nil"/>
              <w:bottom w:val="nil"/>
              <w:right w:val="nil"/>
            </w:tcBorders>
            <w:shd w:val="clear" w:color="auto" w:fill="auto"/>
            <w:noWrap/>
            <w:vAlign w:val="bottom"/>
          </w:tcPr>
          <w:p w:rsidR="00535C1A" w:rsidRDefault="00535C1A">
            <w:pPr>
              <w:jc w:val="right"/>
              <w:rPr>
                <w:sz w:val="18"/>
                <w:szCs w:val="18"/>
              </w:rPr>
            </w:pPr>
            <w:r>
              <w:rPr>
                <w:sz w:val="18"/>
                <w:szCs w:val="18"/>
              </w:rPr>
              <w:t>23,4</w:t>
            </w:r>
          </w:p>
        </w:tc>
        <w:tc>
          <w:tcPr>
            <w:tcW w:w="1300" w:type="dxa"/>
            <w:tcBorders>
              <w:top w:val="nil"/>
              <w:left w:val="nil"/>
              <w:bottom w:val="nil"/>
              <w:right w:val="single" w:sz="8" w:space="0" w:color="auto"/>
            </w:tcBorders>
            <w:shd w:val="clear" w:color="auto" w:fill="auto"/>
            <w:noWrap/>
            <w:vAlign w:val="bottom"/>
          </w:tcPr>
          <w:p w:rsidR="00535C1A" w:rsidRDefault="00535C1A">
            <w:pPr>
              <w:jc w:val="right"/>
              <w:rPr>
                <w:sz w:val="18"/>
                <w:szCs w:val="18"/>
              </w:rPr>
            </w:pPr>
            <w:r>
              <w:rPr>
                <w:sz w:val="18"/>
                <w:szCs w:val="18"/>
              </w:rPr>
              <w:t>303,4%</w:t>
            </w:r>
          </w:p>
        </w:tc>
      </w:tr>
      <w:tr w:rsidR="00535C1A" w:rsidRPr="00C85532" w:rsidTr="00535C1A">
        <w:trPr>
          <w:trHeight w:val="255"/>
        </w:trPr>
        <w:tc>
          <w:tcPr>
            <w:tcW w:w="4405" w:type="dxa"/>
            <w:tcBorders>
              <w:top w:val="nil"/>
              <w:left w:val="single" w:sz="8" w:space="0" w:color="auto"/>
              <w:bottom w:val="nil"/>
              <w:right w:val="nil"/>
            </w:tcBorders>
            <w:shd w:val="clear" w:color="auto" w:fill="auto"/>
            <w:noWrap/>
            <w:vAlign w:val="bottom"/>
            <w:hideMark/>
          </w:tcPr>
          <w:p w:rsidR="00535C1A" w:rsidRDefault="00535C1A">
            <w:pPr>
              <w:rPr>
                <w:sz w:val="18"/>
                <w:szCs w:val="18"/>
              </w:rPr>
            </w:pPr>
            <w:r>
              <w:rPr>
                <w:sz w:val="18"/>
                <w:szCs w:val="18"/>
              </w:rPr>
              <w:t xml:space="preserve">  Лихвени</w:t>
            </w:r>
          </w:p>
        </w:tc>
        <w:tc>
          <w:tcPr>
            <w:tcW w:w="850" w:type="dxa"/>
            <w:tcBorders>
              <w:top w:val="nil"/>
              <w:left w:val="nil"/>
              <w:bottom w:val="nil"/>
              <w:right w:val="nil"/>
            </w:tcBorders>
            <w:shd w:val="clear" w:color="auto" w:fill="auto"/>
            <w:noWrap/>
            <w:vAlign w:val="bottom"/>
            <w:hideMark/>
          </w:tcPr>
          <w:p w:rsidR="00535C1A" w:rsidRDefault="00535C1A">
            <w:pPr>
              <w:jc w:val="right"/>
              <w:rPr>
                <w:sz w:val="18"/>
                <w:szCs w:val="18"/>
              </w:rPr>
            </w:pPr>
            <w:r>
              <w:rPr>
                <w:sz w:val="18"/>
                <w:szCs w:val="18"/>
              </w:rPr>
              <w:t>669,2</w:t>
            </w:r>
          </w:p>
        </w:tc>
        <w:tc>
          <w:tcPr>
            <w:tcW w:w="1087" w:type="dxa"/>
            <w:tcBorders>
              <w:top w:val="nil"/>
              <w:left w:val="nil"/>
              <w:bottom w:val="nil"/>
              <w:right w:val="nil"/>
            </w:tcBorders>
            <w:shd w:val="clear" w:color="auto" w:fill="auto"/>
            <w:noWrap/>
            <w:vAlign w:val="bottom"/>
            <w:hideMark/>
          </w:tcPr>
          <w:p w:rsidR="00535C1A" w:rsidRDefault="00535C1A">
            <w:pPr>
              <w:jc w:val="right"/>
              <w:rPr>
                <w:sz w:val="18"/>
                <w:szCs w:val="18"/>
              </w:rPr>
            </w:pPr>
            <w:r>
              <w:rPr>
                <w:sz w:val="18"/>
                <w:szCs w:val="18"/>
              </w:rPr>
              <w:t>649,1</w:t>
            </w:r>
          </w:p>
        </w:tc>
        <w:tc>
          <w:tcPr>
            <w:tcW w:w="1252" w:type="dxa"/>
            <w:tcBorders>
              <w:top w:val="nil"/>
              <w:left w:val="nil"/>
              <w:bottom w:val="nil"/>
              <w:right w:val="nil"/>
            </w:tcBorders>
            <w:shd w:val="clear" w:color="auto" w:fill="auto"/>
            <w:noWrap/>
            <w:vAlign w:val="bottom"/>
            <w:hideMark/>
          </w:tcPr>
          <w:p w:rsidR="00535C1A" w:rsidRDefault="00535C1A">
            <w:pPr>
              <w:jc w:val="right"/>
              <w:rPr>
                <w:sz w:val="18"/>
                <w:szCs w:val="18"/>
              </w:rPr>
            </w:pPr>
            <w:r>
              <w:rPr>
                <w:sz w:val="18"/>
                <w:szCs w:val="18"/>
              </w:rPr>
              <w:t>649,1</w:t>
            </w:r>
          </w:p>
        </w:tc>
        <w:tc>
          <w:tcPr>
            <w:tcW w:w="1199" w:type="dxa"/>
            <w:tcBorders>
              <w:top w:val="nil"/>
              <w:left w:val="nil"/>
              <w:bottom w:val="nil"/>
              <w:right w:val="nil"/>
            </w:tcBorders>
            <w:shd w:val="clear" w:color="auto" w:fill="auto"/>
            <w:noWrap/>
            <w:vAlign w:val="bottom"/>
          </w:tcPr>
          <w:p w:rsidR="00535C1A" w:rsidRDefault="00535C1A">
            <w:pPr>
              <w:jc w:val="right"/>
              <w:rPr>
                <w:sz w:val="18"/>
                <w:szCs w:val="18"/>
              </w:rPr>
            </w:pPr>
          </w:p>
        </w:tc>
        <w:tc>
          <w:tcPr>
            <w:tcW w:w="1300" w:type="dxa"/>
            <w:tcBorders>
              <w:top w:val="nil"/>
              <w:left w:val="nil"/>
              <w:bottom w:val="nil"/>
              <w:right w:val="single" w:sz="8" w:space="0" w:color="auto"/>
            </w:tcBorders>
            <w:shd w:val="clear" w:color="auto" w:fill="auto"/>
            <w:noWrap/>
            <w:vAlign w:val="bottom"/>
            <w:hideMark/>
          </w:tcPr>
          <w:p w:rsidR="00535C1A" w:rsidRDefault="00535C1A">
            <w:pPr>
              <w:jc w:val="right"/>
              <w:rPr>
                <w:sz w:val="18"/>
                <w:szCs w:val="18"/>
              </w:rPr>
            </w:pPr>
            <w:r>
              <w:rPr>
                <w:sz w:val="18"/>
                <w:szCs w:val="18"/>
              </w:rPr>
              <w:t>97,0%</w:t>
            </w:r>
          </w:p>
        </w:tc>
      </w:tr>
      <w:tr w:rsidR="00535C1A" w:rsidRPr="00C85532" w:rsidTr="00535C1A">
        <w:trPr>
          <w:trHeight w:val="255"/>
        </w:trPr>
        <w:tc>
          <w:tcPr>
            <w:tcW w:w="4405" w:type="dxa"/>
            <w:tcBorders>
              <w:top w:val="nil"/>
              <w:left w:val="single" w:sz="8" w:space="0" w:color="auto"/>
              <w:bottom w:val="nil"/>
              <w:right w:val="nil"/>
            </w:tcBorders>
            <w:shd w:val="clear" w:color="auto" w:fill="auto"/>
            <w:noWrap/>
            <w:vAlign w:val="bottom"/>
            <w:hideMark/>
          </w:tcPr>
          <w:p w:rsidR="00535C1A" w:rsidRDefault="00535C1A">
            <w:pPr>
              <w:rPr>
                <w:sz w:val="18"/>
                <w:szCs w:val="18"/>
              </w:rPr>
            </w:pPr>
            <w:r>
              <w:rPr>
                <w:sz w:val="18"/>
                <w:szCs w:val="18"/>
              </w:rPr>
              <w:t xml:space="preserve">  Резерв за неотложни и непредвидени разходи</w:t>
            </w:r>
          </w:p>
        </w:tc>
        <w:tc>
          <w:tcPr>
            <w:tcW w:w="850" w:type="dxa"/>
            <w:tcBorders>
              <w:top w:val="nil"/>
              <w:left w:val="nil"/>
              <w:bottom w:val="nil"/>
              <w:right w:val="nil"/>
            </w:tcBorders>
            <w:shd w:val="clear" w:color="auto" w:fill="auto"/>
            <w:noWrap/>
            <w:vAlign w:val="bottom"/>
            <w:hideMark/>
          </w:tcPr>
          <w:p w:rsidR="00535C1A" w:rsidRDefault="00535C1A">
            <w:pPr>
              <w:jc w:val="right"/>
              <w:rPr>
                <w:sz w:val="18"/>
                <w:szCs w:val="18"/>
              </w:rPr>
            </w:pPr>
            <w:r>
              <w:rPr>
                <w:sz w:val="18"/>
                <w:szCs w:val="18"/>
              </w:rPr>
              <w:t>208,2</w:t>
            </w:r>
          </w:p>
        </w:tc>
        <w:tc>
          <w:tcPr>
            <w:tcW w:w="1087" w:type="dxa"/>
            <w:tcBorders>
              <w:top w:val="nil"/>
              <w:left w:val="nil"/>
              <w:bottom w:val="nil"/>
              <w:right w:val="nil"/>
            </w:tcBorders>
            <w:shd w:val="clear" w:color="auto" w:fill="auto"/>
            <w:noWrap/>
            <w:vAlign w:val="bottom"/>
            <w:hideMark/>
          </w:tcPr>
          <w:p w:rsidR="00535C1A" w:rsidRDefault="00535C1A">
            <w:pPr>
              <w:rPr>
                <w:sz w:val="18"/>
                <w:szCs w:val="18"/>
              </w:rPr>
            </w:pPr>
          </w:p>
        </w:tc>
        <w:tc>
          <w:tcPr>
            <w:tcW w:w="1252" w:type="dxa"/>
            <w:tcBorders>
              <w:top w:val="nil"/>
              <w:left w:val="nil"/>
              <w:bottom w:val="nil"/>
              <w:right w:val="nil"/>
            </w:tcBorders>
            <w:shd w:val="clear" w:color="auto" w:fill="auto"/>
            <w:noWrap/>
            <w:vAlign w:val="bottom"/>
            <w:hideMark/>
          </w:tcPr>
          <w:p w:rsidR="00535C1A" w:rsidRDefault="00535C1A">
            <w:pPr>
              <w:rPr>
                <w:sz w:val="18"/>
                <w:szCs w:val="18"/>
              </w:rPr>
            </w:pPr>
          </w:p>
        </w:tc>
        <w:tc>
          <w:tcPr>
            <w:tcW w:w="1199" w:type="dxa"/>
            <w:tcBorders>
              <w:top w:val="nil"/>
              <w:left w:val="nil"/>
              <w:bottom w:val="nil"/>
              <w:right w:val="nil"/>
            </w:tcBorders>
            <w:shd w:val="clear" w:color="auto" w:fill="auto"/>
            <w:noWrap/>
            <w:vAlign w:val="bottom"/>
          </w:tcPr>
          <w:p w:rsidR="00535C1A" w:rsidRDefault="00535C1A">
            <w:pPr>
              <w:rPr>
                <w:sz w:val="18"/>
                <w:szCs w:val="18"/>
              </w:rPr>
            </w:pPr>
          </w:p>
        </w:tc>
        <w:tc>
          <w:tcPr>
            <w:tcW w:w="1300" w:type="dxa"/>
            <w:tcBorders>
              <w:top w:val="nil"/>
              <w:left w:val="nil"/>
              <w:bottom w:val="nil"/>
              <w:right w:val="single" w:sz="8" w:space="0" w:color="auto"/>
            </w:tcBorders>
            <w:shd w:val="clear" w:color="auto" w:fill="auto"/>
            <w:noWrap/>
            <w:vAlign w:val="bottom"/>
            <w:hideMark/>
          </w:tcPr>
          <w:p w:rsidR="00535C1A" w:rsidRDefault="00535C1A">
            <w:pPr>
              <w:rPr>
                <w:sz w:val="18"/>
                <w:szCs w:val="18"/>
              </w:rPr>
            </w:pPr>
            <w:r>
              <w:rPr>
                <w:sz w:val="18"/>
                <w:szCs w:val="18"/>
              </w:rPr>
              <w:t> </w:t>
            </w:r>
          </w:p>
        </w:tc>
      </w:tr>
      <w:tr w:rsidR="00535C1A" w:rsidRPr="00C85532" w:rsidTr="00535C1A">
        <w:trPr>
          <w:trHeight w:val="255"/>
        </w:trPr>
        <w:tc>
          <w:tcPr>
            <w:tcW w:w="4405" w:type="dxa"/>
            <w:tcBorders>
              <w:top w:val="nil"/>
              <w:left w:val="single" w:sz="8" w:space="0" w:color="auto"/>
              <w:bottom w:val="single" w:sz="4" w:space="0" w:color="auto"/>
              <w:right w:val="nil"/>
            </w:tcBorders>
            <w:shd w:val="clear" w:color="auto" w:fill="auto"/>
            <w:noWrap/>
            <w:vAlign w:val="bottom"/>
            <w:hideMark/>
          </w:tcPr>
          <w:p w:rsidR="00535C1A" w:rsidRDefault="00535C1A">
            <w:pPr>
              <w:rPr>
                <w:sz w:val="18"/>
                <w:szCs w:val="18"/>
              </w:rPr>
            </w:pPr>
            <w:r>
              <w:rPr>
                <w:sz w:val="18"/>
                <w:szCs w:val="18"/>
              </w:rPr>
              <w:t xml:space="preserve">  Вноска за общия бюджет на ЕС</w:t>
            </w:r>
          </w:p>
        </w:tc>
        <w:tc>
          <w:tcPr>
            <w:tcW w:w="850" w:type="dxa"/>
            <w:tcBorders>
              <w:top w:val="nil"/>
              <w:left w:val="nil"/>
              <w:bottom w:val="single" w:sz="4" w:space="0" w:color="auto"/>
              <w:right w:val="nil"/>
            </w:tcBorders>
            <w:shd w:val="clear" w:color="auto" w:fill="auto"/>
            <w:noWrap/>
            <w:vAlign w:val="bottom"/>
            <w:hideMark/>
          </w:tcPr>
          <w:p w:rsidR="00535C1A" w:rsidRDefault="00535C1A">
            <w:pPr>
              <w:jc w:val="right"/>
              <w:rPr>
                <w:sz w:val="18"/>
                <w:szCs w:val="18"/>
              </w:rPr>
            </w:pPr>
            <w:r>
              <w:rPr>
                <w:sz w:val="18"/>
                <w:szCs w:val="18"/>
              </w:rPr>
              <w:t>1 282,1</w:t>
            </w:r>
          </w:p>
        </w:tc>
        <w:tc>
          <w:tcPr>
            <w:tcW w:w="1087" w:type="dxa"/>
            <w:tcBorders>
              <w:top w:val="nil"/>
              <w:left w:val="nil"/>
              <w:bottom w:val="single" w:sz="4" w:space="0" w:color="auto"/>
              <w:right w:val="nil"/>
            </w:tcBorders>
            <w:shd w:val="clear" w:color="auto" w:fill="auto"/>
            <w:noWrap/>
            <w:vAlign w:val="bottom"/>
            <w:hideMark/>
          </w:tcPr>
          <w:p w:rsidR="00535C1A" w:rsidRDefault="00535C1A">
            <w:pPr>
              <w:jc w:val="right"/>
              <w:rPr>
                <w:sz w:val="18"/>
                <w:szCs w:val="18"/>
              </w:rPr>
            </w:pPr>
            <w:r>
              <w:rPr>
                <w:sz w:val="18"/>
                <w:szCs w:val="18"/>
              </w:rPr>
              <w:t>1 193,1</w:t>
            </w:r>
          </w:p>
        </w:tc>
        <w:tc>
          <w:tcPr>
            <w:tcW w:w="1252" w:type="dxa"/>
            <w:tcBorders>
              <w:top w:val="nil"/>
              <w:left w:val="nil"/>
              <w:bottom w:val="single" w:sz="4" w:space="0" w:color="auto"/>
              <w:right w:val="nil"/>
            </w:tcBorders>
            <w:shd w:val="clear" w:color="auto" w:fill="auto"/>
            <w:noWrap/>
            <w:vAlign w:val="bottom"/>
            <w:hideMark/>
          </w:tcPr>
          <w:p w:rsidR="00535C1A" w:rsidRDefault="00535C1A">
            <w:pPr>
              <w:jc w:val="right"/>
              <w:rPr>
                <w:sz w:val="18"/>
                <w:szCs w:val="18"/>
              </w:rPr>
            </w:pPr>
            <w:r>
              <w:rPr>
                <w:sz w:val="18"/>
                <w:szCs w:val="18"/>
              </w:rPr>
              <w:t>1 193,1</w:t>
            </w:r>
          </w:p>
        </w:tc>
        <w:tc>
          <w:tcPr>
            <w:tcW w:w="1199" w:type="dxa"/>
            <w:tcBorders>
              <w:top w:val="nil"/>
              <w:left w:val="nil"/>
              <w:bottom w:val="single" w:sz="4" w:space="0" w:color="auto"/>
              <w:right w:val="nil"/>
            </w:tcBorders>
            <w:shd w:val="clear" w:color="auto" w:fill="auto"/>
            <w:noWrap/>
            <w:vAlign w:val="bottom"/>
          </w:tcPr>
          <w:p w:rsidR="00535C1A" w:rsidRDefault="00535C1A">
            <w:pPr>
              <w:rPr>
                <w:sz w:val="18"/>
                <w:szCs w:val="18"/>
              </w:rPr>
            </w:pPr>
            <w:r>
              <w:rPr>
                <w:sz w:val="18"/>
                <w:szCs w:val="18"/>
              </w:rPr>
              <w:t> </w:t>
            </w:r>
          </w:p>
        </w:tc>
        <w:tc>
          <w:tcPr>
            <w:tcW w:w="1300" w:type="dxa"/>
            <w:tcBorders>
              <w:top w:val="nil"/>
              <w:left w:val="nil"/>
              <w:bottom w:val="single" w:sz="4" w:space="0" w:color="auto"/>
              <w:right w:val="single" w:sz="8" w:space="0" w:color="auto"/>
            </w:tcBorders>
            <w:shd w:val="clear" w:color="auto" w:fill="auto"/>
            <w:noWrap/>
            <w:vAlign w:val="bottom"/>
            <w:hideMark/>
          </w:tcPr>
          <w:p w:rsidR="00535C1A" w:rsidRDefault="00535C1A">
            <w:pPr>
              <w:jc w:val="right"/>
              <w:rPr>
                <w:sz w:val="18"/>
                <w:szCs w:val="18"/>
              </w:rPr>
            </w:pPr>
            <w:r>
              <w:rPr>
                <w:sz w:val="18"/>
                <w:szCs w:val="18"/>
              </w:rPr>
              <w:t>93,1%</w:t>
            </w:r>
          </w:p>
        </w:tc>
      </w:tr>
      <w:tr w:rsidR="00535C1A" w:rsidRPr="00C85532" w:rsidTr="00535C1A">
        <w:trPr>
          <w:trHeight w:val="255"/>
        </w:trPr>
        <w:tc>
          <w:tcPr>
            <w:tcW w:w="4405" w:type="dxa"/>
            <w:tcBorders>
              <w:top w:val="nil"/>
              <w:left w:val="single" w:sz="8" w:space="0" w:color="auto"/>
              <w:bottom w:val="single" w:sz="4" w:space="0" w:color="auto"/>
              <w:right w:val="nil"/>
            </w:tcBorders>
            <w:shd w:val="clear" w:color="auto" w:fill="auto"/>
            <w:noWrap/>
            <w:vAlign w:val="bottom"/>
            <w:hideMark/>
          </w:tcPr>
          <w:p w:rsidR="00535C1A" w:rsidRDefault="00535C1A">
            <w:pPr>
              <w:rPr>
                <w:sz w:val="18"/>
                <w:szCs w:val="18"/>
              </w:rPr>
            </w:pPr>
            <w:r>
              <w:rPr>
                <w:sz w:val="18"/>
                <w:szCs w:val="18"/>
              </w:rPr>
              <w:t>Трансфери - нето</w:t>
            </w:r>
          </w:p>
        </w:tc>
        <w:tc>
          <w:tcPr>
            <w:tcW w:w="850" w:type="dxa"/>
            <w:tcBorders>
              <w:top w:val="nil"/>
              <w:left w:val="nil"/>
              <w:bottom w:val="single" w:sz="4" w:space="0" w:color="auto"/>
              <w:right w:val="nil"/>
            </w:tcBorders>
            <w:shd w:val="clear" w:color="auto" w:fill="auto"/>
            <w:noWrap/>
            <w:vAlign w:val="bottom"/>
            <w:hideMark/>
          </w:tcPr>
          <w:p w:rsidR="00535C1A" w:rsidRDefault="00535C1A">
            <w:pPr>
              <w:rPr>
                <w:color w:val="0070C0"/>
                <w:sz w:val="18"/>
                <w:szCs w:val="18"/>
              </w:rPr>
            </w:pPr>
            <w:r>
              <w:rPr>
                <w:color w:val="0070C0"/>
                <w:sz w:val="18"/>
                <w:szCs w:val="18"/>
              </w:rPr>
              <w:t> </w:t>
            </w:r>
          </w:p>
        </w:tc>
        <w:tc>
          <w:tcPr>
            <w:tcW w:w="1087" w:type="dxa"/>
            <w:tcBorders>
              <w:top w:val="nil"/>
              <w:left w:val="nil"/>
              <w:bottom w:val="single" w:sz="4" w:space="0" w:color="auto"/>
              <w:right w:val="nil"/>
            </w:tcBorders>
            <w:shd w:val="clear" w:color="auto" w:fill="auto"/>
            <w:noWrap/>
            <w:vAlign w:val="bottom"/>
            <w:hideMark/>
          </w:tcPr>
          <w:p w:rsidR="00535C1A" w:rsidRDefault="00535C1A">
            <w:pPr>
              <w:rPr>
                <w:color w:val="0070C0"/>
                <w:sz w:val="18"/>
                <w:szCs w:val="18"/>
              </w:rPr>
            </w:pPr>
            <w:r>
              <w:rPr>
                <w:color w:val="0070C0"/>
                <w:sz w:val="18"/>
                <w:szCs w:val="18"/>
              </w:rPr>
              <w:t> </w:t>
            </w:r>
          </w:p>
        </w:tc>
        <w:tc>
          <w:tcPr>
            <w:tcW w:w="1252" w:type="dxa"/>
            <w:tcBorders>
              <w:top w:val="nil"/>
              <w:left w:val="nil"/>
              <w:bottom w:val="single" w:sz="4" w:space="0" w:color="auto"/>
              <w:right w:val="nil"/>
            </w:tcBorders>
            <w:shd w:val="clear" w:color="auto" w:fill="auto"/>
            <w:noWrap/>
            <w:vAlign w:val="bottom"/>
            <w:hideMark/>
          </w:tcPr>
          <w:p w:rsidR="00535C1A" w:rsidRDefault="00535C1A">
            <w:pPr>
              <w:jc w:val="right"/>
              <w:rPr>
                <w:sz w:val="18"/>
                <w:szCs w:val="18"/>
              </w:rPr>
            </w:pPr>
            <w:r>
              <w:rPr>
                <w:sz w:val="18"/>
                <w:szCs w:val="18"/>
              </w:rPr>
              <w:t>-698,2</w:t>
            </w:r>
          </w:p>
        </w:tc>
        <w:tc>
          <w:tcPr>
            <w:tcW w:w="1199" w:type="dxa"/>
            <w:tcBorders>
              <w:top w:val="nil"/>
              <w:left w:val="nil"/>
              <w:bottom w:val="single" w:sz="4" w:space="0" w:color="auto"/>
              <w:right w:val="nil"/>
            </w:tcBorders>
            <w:shd w:val="clear" w:color="auto" w:fill="auto"/>
            <w:noWrap/>
            <w:vAlign w:val="bottom"/>
            <w:hideMark/>
          </w:tcPr>
          <w:p w:rsidR="00535C1A" w:rsidRDefault="00535C1A">
            <w:pPr>
              <w:jc w:val="right"/>
              <w:rPr>
                <w:sz w:val="18"/>
                <w:szCs w:val="18"/>
              </w:rPr>
            </w:pPr>
            <w:r>
              <w:rPr>
                <w:sz w:val="18"/>
                <w:szCs w:val="18"/>
              </w:rPr>
              <w:t>698,2</w:t>
            </w:r>
          </w:p>
        </w:tc>
        <w:tc>
          <w:tcPr>
            <w:tcW w:w="1300" w:type="dxa"/>
            <w:tcBorders>
              <w:top w:val="nil"/>
              <w:left w:val="nil"/>
              <w:bottom w:val="single" w:sz="4" w:space="0" w:color="auto"/>
              <w:right w:val="single" w:sz="8" w:space="0" w:color="auto"/>
            </w:tcBorders>
            <w:shd w:val="clear" w:color="auto" w:fill="auto"/>
            <w:noWrap/>
            <w:vAlign w:val="bottom"/>
            <w:hideMark/>
          </w:tcPr>
          <w:p w:rsidR="00535C1A" w:rsidRDefault="00535C1A">
            <w:pPr>
              <w:rPr>
                <w:sz w:val="18"/>
                <w:szCs w:val="18"/>
              </w:rPr>
            </w:pPr>
            <w:r>
              <w:rPr>
                <w:sz w:val="18"/>
                <w:szCs w:val="18"/>
              </w:rPr>
              <w:t> </w:t>
            </w:r>
          </w:p>
        </w:tc>
      </w:tr>
      <w:tr w:rsidR="00535C1A" w:rsidRPr="00C85532" w:rsidTr="00535C1A">
        <w:trPr>
          <w:trHeight w:val="270"/>
        </w:trPr>
        <w:tc>
          <w:tcPr>
            <w:tcW w:w="4405" w:type="dxa"/>
            <w:tcBorders>
              <w:top w:val="nil"/>
              <w:left w:val="single" w:sz="8" w:space="0" w:color="auto"/>
              <w:bottom w:val="single" w:sz="8" w:space="0" w:color="auto"/>
              <w:right w:val="nil"/>
            </w:tcBorders>
            <w:shd w:val="clear" w:color="000000" w:fill="D9D9D9"/>
            <w:noWrap/>
            <w:vAlign w:val="bottom"/>
            <w:hideMark/>
          </w:tcPr>
          <w:p w:rsidR="00535C1A" w:rsidRDefault="00535C1A">
            <w:pPr>
              <w:rPr>
                <w:b/>
                <w:bCs/>
                <w:sz w:val="18"/>
                <w:szCs w:val="18"/>
              </w:rPr>
            </w:pPr>
            <w:r>
              <w:rPr>
                <w:b/>
                <w:bCs/>
                <w:sz w:val="18"/>
                <w:szCs w:val="18"/>
              </w:rPr>
              <w:t>БЮДЖЕТНО САЛДО</w:t>
            </w:r>
          </w:p>
        </w:tc>
        <w:tc>
          <w:tcPr>
            <w:tcW w:w="850" w:type="dxa"/>
            <w:tcBorders>
              <w:top w:val="nil"/>
              <w:left w:val="nil"/>
              <w:bottom w:val="single" w:sz="8" w:space="0" w:color="auto"/>
              <w:right w:val="nil"/>
            </w:tcBorders>
            <w:shd w:val="clear" w:color="000000" w:fill="D9D9D9"/>
            <w:noWrap/>
            <w:vAlign w:val="bottom"/>
            <w:hideMark/>
          </w:tcPr>
          <w:p w:rsidR="00535C1A" w:rsidRDefault="00535C1A">
            <w:pPr>
              <w:jc w:val="right"/>
              <w:rPr>
                <w:b/>
                <w:bCs/>
                <w:sz w:val="18"/>
                <w:szCs w:val="18"/>
              </w:rPr>
            </w:pPr>
            <w:r>
              <w:rPr>
                <w:b/>
                <w:bCs/>
                <w:sz w:val="18"/>
                <w:szCs w:val="18"/>
              </w:rPr>
              <w:t>-2 432,6</w:t>
            </w:r>
          </w:p>
        </w:tc>
        <w:tc>
          <w:tcPr>
            <w:tcW w:w="1087" w:type="dxa"/>
            <w:tcBorders>
              <w:top w:val="nil"/>
              <w:left w:val="nil"/>
              <w:bottom w:val="single" w:sz="8" w:space="0" w:color="auto"/>
              <w:right w:val="nil"/>
            </w:tcBorders>
            <w:shd w:val="clear" w:color="000000" w:fill="D9D9D9"/>
            <w:noWrap/>
            <w:vAlign w:val="bottom"/>
            <w:hideMark/>
          </w:tcPr>
          <w:p w:rsidR="00535C1A" w:rsidRDefault="00535C1A">
            <w:pPr>
              <w:jc w:val="right"/>
              <w:rPr>
                <w:b/>
                <w:bCs/>
                <w:sz w:val="18"/>
                <w:szCs w:val="18"/>
              </w:rPr>
            </w:pPr>
            <w:r>
              <w:rPr>
                <w:b/>
                <w:bCs/>
                <w:sz w:val="18"/>
                <w:szCs w:val="18"/>
              </w:rPr>
              <w:t>-1 148,3</w:t>
            </w:r>
          </w:p>
        </w:tc>
        <w:tc>
          <w:tcPr>
            <w:tcW w:w="1252" w:type="dxa"/>
            <w:tcBorders>
              <w:top w:val="nil"/>
              <w:left w:val="nil"/>
              <w:bottom w:val="single" w:sz="8" w:space="0" w:color="auto"/>
              <w:right w:val="nil"/>
            </w:tcBorders>
            <w:shd w:val="clear" w:color="000000" w:fill="D9D9D9"/>
            <w:noWrap/>
            <w:vAlign w:val="bottom"/>
            <w:hideMark/>
          </w:tcPr>
          <w:p w:rsidR="00535C1A" w:rsidRDefault="00535C1A">
            <w:pPr>
              <w:jc w:val="right"/>
              <w:rPr>
                <w:b/>
                <w:bCs/>
                <w:sz w:val="18"/>
                <w:szCs w:val="18"/>
              </w:rPr>
            </w:pPr>
            <w:r>
              <w:rPr>
                <w:b/>
                <w:bCs/>
                <w:sz w:val="18"/>
                <w:szCs w:val="18"/>
              </w:rPr>
              <w:t>-1 040,8</w:t>
            </w:r>
          </w:p>
        </w:tc>
        <w:tc>
          <w:tcPr>
            <w:tcW w:w="1199" w:type="dxa"/>
            <w:tcBorders>
              <w:top w:val="nil"/>
              <w:left w:val="nil"/>
              <w:bottom w:val="single" w:sz="8" w:space="0" w:color="auto"/>
              <w:right w:val="nil"/>
            </w:tcBorders>
            <w:shd w:val="clear" w:color="000000" w:fill="D9D9D9"/>
            <w:noWrap/>
            <w:vAlign w:val="bottom"/>
            <w:hideMark/>
          </w:tcPr>
          <w:p w:rsidR="00535C1A" w:rsidRDefault="00535C1A">
            <w:pPr>
              <w:jc w:val="right"/>
              <w:rPr>
                <w:b/>
                <w:bCs/>
                <w:sz w:val="18"/>
                <w:szCs w:val="18"/>
              </w:rPr>
            </w:pPr>
            <w:r>
              <w:rPr>
                <w:b/>
                <w:bCs/>
                <w:sz w:val="18"/>
                <w:szCs w:val="18"/>
              </w:rPr>
              <w:t>-107,5</w:t>
            </w:r>
          </w:p>
        </w:tc>
        <w:tc>
          <w:tcPr>
            <w:tcW w:w="1300" w:type="dxa"/>
            <w:tcBorders>
              <w:top w:val="nil"/>
              <w:left w:val="nil"/>
              <w:bottom w:val="single" w:sz="8" w:space="0" w:color="auto"/>
              <w:right w:val="single" w:sz="8" w:space="0" w:color="auto"/>
            </w:tcBorders>
            <w:shd w:val="clear" w:color="000000" w:fill="D9D9D9"/>
            <w:noWrap/>
            <w:vAlign w:val="bottom"/>
            <w:hideMark/>
          </w:tcPr>
          <w:p w:rsidR="00535C1A" w:rsidRDefault="00535C1A">
            <w:pPr>
              <w:rPr>
                <w:b/>
                <w:bCs/>
                <w:sz w:val="18"/>
                <w:szCs w:val="18"/>
              </w:rPr>
            </w:pPr>
            <w:r>
              <w:rPr>
                <w:b/>
                <w:bCs/>
                <w:sz w:val="18"/>
                <w:szCs w:val="18"/>
              </w:rPr>
              <w:t> </w:t>
            </w:r>
          </w:p>
        </w:tc>
      </w:tr>
    </w:tbl>
    <w:p w:rsidR="00E74802" w:rsidRPr="00C85532" w:rsidRDefault="00E74802" w:rsidP="00E74802">
      <w:pPr>
        <w:ind w:left="360"/>
        <w:jc w:val="both"/>
        <w:rPr>
          <w:color w:val="0070C0"/>
          <w:sz w:val="22"/>
        </w:rPr>
      </w:pPr>
    </w:p>
    <w:p w:rsidR="00B13128" w:rsidRPr="00947393" w:rsidRDefault="00B13128" w:rsidP="00B13128">
      <w:pPr>
        <w:numPr>
          <w:ilvl w:val="1"/>
          <w:numId w:val="11"/>
        </w:numPr>
        <w:tabs>
          <w:tab w:val="num" w:pos="426"/>
        </w:tabs>
        <w:ind w:left="0" w:firstLine="0"/>
        <w:jc w:val="both"/>
        <w:rPr>
          <w:rFonts w:eastAsia="Calibri"/>
        </w:rPr>
      </w:pPr>
      <w:r w:rsidRPr="00677F01">
        <w:rPr>
          <w:b/>
        </w:rPr>
        <w:t>Приходите, помощите и даренията по консолидираната фискална програма</w:t>
      </w:r>
      <w:r w:rsidRPr="00677F01">
        <w:t xml:space="preserve"> (КФП) </w:t>
      </w:r>
      <w:r w:rsidR="00677F01" w:rsidRPr="00677F01">
        <w:t>за</w:t>
      </w:r>
      <w:r w:rsidRPr="00677F01">
        <w:rPr>
          <w:b/>
        </w:rPr>
        <w:t xml:space="preserve"> </w:t>
      </w:r>
      <w:r w:rsidRPr="00677F01">
        <w:t xml:space="preserve">2019 г. са в размер на </w:t>
      </w:r>
      <w:r w:rsidR="00677F01" w:rsidRPr="00677F01">
        <w:rPr>
          <w:b/>
          <w:bCs/>
        </w:rPr>
        <w:t>44 048,5</w:t>
      </w:r>
      <w:r w:rsidR="00677F01" w:rsidRPr="00677F01">
        <w:rPr>
          <w:b/>
          <w:bCs/>
          <w:lang w:val="en-US"/>
        </w:rPr>
        <w:t> </w:t>
      </w:r>
      <w:r w:rsidRPr="00677F01">
        <w:rPr>
          <w:b/>
        </w:rPr>
        <w:t>млн. лв.,</w:t>
      </w:r>
      <w:r w:rsidRPr="00677F01">
        <w:t xml:space="preserve"> което представлява </w:t>
      </w:r>
      <w:r w:rsidR="00677F01" w:rsidRPr="00677F01">
        <w:t>100,4</w:t>
      </w:r>
      <w:r w:rsidRPr="00677F01">
        <w:t xml:space="preserve"> % </w:t>
      </w:r>
      <w:r w:rsidR="00677F01" w:rsidRPr="00677F01">
        <w:t>спрямо</w:t>
      </w:r>
      <w:r w:rsidRPr="00677F01">
        <w:t xml:space="preserve"> годишните </w:t>
      </w:r>
      <w:r w:rsidRPr="0026460E">
        <w:t xml:space="preserve">разчети към ЗДБРБ за 2019 г. </w:t>
      </w:r>
      <w:r w:rsidRPr="00947393">
        <w:rPr>
          <w:rFonts w:eastAsia="Calibri"/>
        </w:rPr>
        <w:t xml:space="preserve">Съпоставени </w:t>
      </w:r>
      <w:r w:rsidR="009F422D" w:rsidRPr="00947393">
        <w:rPr>
          <w:rFonts w:eastAsia="Calibri"/>
        </w:rPr>
        <w:t>с</w:t>
      </w:r>
      <w:r w:rsidRPr="00947393">
        <w:rPr>
          <w:rFonts w:eastAsia="Calibri"/>
        </w:rPr>
        <w:t xml:space="preserve"> предходната година</w:t>
      </w:r>
      <w:r w:rsidR="003262A1">
        <w:rPr>
          <w:rFonts w:eastAsia="Calibri"/>
        </w:rPr>
        <w:t xml:space="preserve"> те</w:t>
      </w:r>
      <w:r w:rsidRPr="00947393">
        <w:rPr>
          <w:rFonts w:eastAsia="Calibri"/>
        </w:rPr>
        <w:t xml:space="preserve"> нарастват номинално с </w:t>
      </w:r>
      <w:r w:rsidR="009F422D" w:rsidRPr="00947393">
        <w:rPr>
          <w:rFonts w:eastAsia="Calibri"/>
        </w:rPr>
        <w:t xml:space="preserve">4 397,7 </w:t>
      </w:r>
      <w:r w:rsidRPr="00947393">
        <w:rPr>
          <w:rFonts w:eastAsia="Calibri"/>
        </w:rPr>
        <w:t xml:space="preserve">млн. лв., в т.ч. данъчните и неданъчните приходи - с </w:t>
      </w:r>
      <w:r w:rsidR="009F422D" w:rsidRPr="00947393">
        <w:rPr>
          <w:rFonts w:eastAsia="Calibri"/>
        </w:rPr>
        <w:t>4 047,1</w:t>
      </w:r>
      <w:r w:rsidRPr="00947393">
        <w:rPr>
          <w:rFonts w:eastAsia="Calibri"/>
          <w:b/>
          <w:bCs/>
        </w:rPr>
        <w:t> </w:t>
      </w:r>
      <w:r w:rsidRPr="00947393">
        <w:rPr>
          <w:rFonts w:eastAsia="Calibri"/>
        </w:rPr>
        <w:t>млн. лв. (</w:t>
      </w:r>
      <w:r w:rsidR="009F422D" w:rsidRPr="00947393">
        <w:rPr>
          <w:rFonts w:eastAsia="Calibri"/>
        </w:rPr>
        <w:t>10,8</w:t>
      </w:r>
      <w:r w:rsidRPr="00947393">
        <w:rPr>
          <w:rFonts w:eastAsia="Calibri"/>
        </w:rPr>
        <w:t xml:space="preserve"> %) и постъпленията от помощи и дарения (основно </w:t>
      </w:r>
      <w:proofErr w:type="spellStart"/>
      <w:r w:rsidRPr="00947393">
        <w:rPr>
          <w:rFonts w:eastAsia="Calibri"/>
        </w:rPr>
        <w:t>грантове</w:t>
      </w:r>
      <w:proofErr w:type="spellEnd"/>
      <w:r w:rsidRPr="00947393">
        <w:rPr>
          <w:rFonts w:eastAsia="Calibri"/>
        </w:rPr>
        <w:t xml:space="preserve"> по програмите и фондовете на ЕС) - с </w:t>
      </w:r>
      <w:r w:rsidR="009F422D" w:rsidRPr="00947393">
        <w:rPr>
          <w:rFonts w:eastAsia="Calibri"/>
        </w:rPr>
        <w:t xml:space="preserve">350,6 </w:t>
      </w:r>
      <w:r w:rsidRPr="00947393">
        <w:rPr>
          <w:rFonts w:eastAsia="Calibri"/>
        </w:rPr>
        <w:t xml:space="preserve"> млн. лв</w:t>
      </w:r>
      <w:r w:rsidR="009F422D" w:rsidRPr="00947393">
        <w:rPr>
          <w:rFonts w:eastAsia="Calibri"/>
        </w:rPr>
        <w:t>. (16,6 %)</w:t>
      </w:r>
      <w:r w:rsidRPr="00947393">
        <w:rPr>
          <w:rFonts w:eastAsia="Calibri"/>
        </w:rPr>
        <w:t xml:space="preserve">. </w:t>
      </w:r>
    </w:p>
    <w:p w:rsidR="00B13128" w:rsidRPr="00C85532" w:rsidRDefault="00B13128" w:rsidP="00B13128">
      <w:pPr>
        <w:spacing w:before="120"/>
        <w:jc w:val="both"/>
        <w:rPr>
          <w:color w:val="0070C0"/>
        </w:rPr>
      </w:pPr>
      <w:r w:rsidRPr="000C485F">
        <w:t>Общата сума</w:t>
      </w:r>
      <w:r w:rsidRPr="000C485F">
        <w:rPr>
          <w:b/>
        </w:rPr>
        <w:t xml:space="preserve"> </w:t>
      </w:r>
      <w:r w:rsidRPr="000C485F">
        <w:t>на</w:t>
      </w:r>
      <w:r w:rsidRPr="000C485F">
        <w:rPr>
          <w:b/>
        </w:rPr>
        <w:t xml:space="preserve"> </w:t>
      </w:r>
      <w:r w:rsidRPr="000C485F">
        <w:rPr>
          <w:b/>
          <w:i/>
        </w:rPr>
        <w:t>данъчните постъпления</w:t>
      </w:r>
      <w:r w:rsidRPr="000C485F">
        <w:t xml:space="preserve"> (вкл. приходите от осигурителни вноски) са в размер на </w:t>
      </w:r>
      <w:r w:rsidR="000C485F" w:rsidRPr="000C485F">
        <w:rPr>
          <w:b/>
          <w:i/>
        </w:rPr>
        <w:t xml:space="preserve">35 279,8 </w:t>
      </w:r>
      <w:r w:rsidRPr="000C485F">
        <w:rPr>
          <w:b/>
          <w:i/>
        </w:rPr>
        <w:t>млн. лв</w:t>
      </w:r>
      <w:r w:rsidRPr="000C485F">
        <w:rPr>
          <w:i/>
        </w:rPr>
        <w:t>.</w:t>
      </w:r>
      <w:r w:rsidRPr="000C485F">
        <w:t xml:space="preserve">, което представлява </w:t>
      </w:r>
      <w:r w:rsidR="000C485F" w:rsidRPr="000C485F">
        <w:t>80,1</w:t>
      </w:r>
      <w:r w:rsidRPr="000C485F">
        <w:t xml:space="preserve"> % от общите постъпления по КФП за </w:t>
      </w:r>
      <w:r w:rsidRPr="00F976C1">
        <w:t xml:space="preserve">периода. Постъпленията в групата представляват </w:t>
      </w:r>
      <w:r w:rsidR="00BE478E" w:rsidRPr="00F976C1">
        <w:t>102,1</w:t>
      </w:r>
      <w:r w:rsidRPr="00F976C1">
        <w:t xml:space="preserve"> % </w:t>
      </w:r>
      <w:r w:rsidR="00BE478E" w:rsidRPr="00F976C1">
        <w:t xml:space="preserve">спрямо </w:t>
      </w:r>
      <w:r w:rsidRPr="00F976C1">
        <w:t xml:space="preserve">разчета за годината и нарастват номинално с </w:t>
      </w:r>
      <w:r w:rsidR="00BE478E" w:rsidRPr="00F976C1">
        <w:t>3 044,3</w:t>
      </w:r>
      <w:r w:rsidRPr="00F976C1">
        <w:t xml:space="preserve"> млн. лв. (</w:t>
      </w:r>
      <w:r w:rsidR="00BE478E" w:rsidRPr="00F976C1">
        <w:t>9,4</w:t>
      </w:r>
      <w:r w:rsidRPr="00F976C1">
        <w:t xml:space="preserve"> %) спрямо отчетените </w:t>
      </w:r>
      <w:r w:rsidR="00BE478E" w:rsidRPr="00F976C1">
        <w:t>за</w:t>
      </w:r>
      <w:r w:rsidRPr="00F976C1">
        <w:t xml:space="preserve"> 2018 година. Приходите в частта на </w:t>
      </w:r>
      <w:r w:rsidRPr="00F976C1">
        <w:rPr>
          <w:i/>
        </w:rPr>
        <w:t xml:space="preserve">преките данъци </w:t>
      </w:r>
      <w:r w:rsidRPr="00F976C1">
        <w:t xml:space="preserve">възлизат на </w:t>
      </w:r>
      <w:r w:rsidR="00F976C1" w:rsidRPr="00F976C1">
        <w:t xml:space="preserve">6 714,8 </w:t>
      </w:r>
      <w:r w:rsidRPr="00F976C1">
        <w:t xml:space="preserve">млн. лв., което представлява </w:t>
      </w:r>
      <w:r w:rsidR="00F976C1" w:rsidRPr="00F976C1">
        <w:t>102,4</w:t>
      </w:r>
      <w:r w:rsidRPr="00F976C1">
        <w:t xml:space="preserve"> % </w:t>
      </w:r>
      <w:r w:rsidR="00F976C1" w:rsidRPr="00F976C1">
        <w:t xml:space="preserve">спрямо </w:t>
      </w:r>
      <w:r w:rsidRPr="00135599">
        <w:t xml:space="preserve">разчета за 2019 г. Съпоставени </w:t>
      </w:r>
      <w:r w:rsidR="00135599" w:rsidRPr="00135599">
        <w:t>с</w:t>
      </w:r>
      <w:r w:rsidRPr="00135599">
        <w:t xml:space="preserve"> 2018 г., преките данъци нарастват със </w:t>
      </w:r>
      <w:r w:rsidR="00135599" w:rsidRPr="00135599">
        <w:t>9,5</w:t>
      </w:r>
      <w:r w:rsidRPr="00135599">
        <w:t xml:space="preserve"> % (</w:t>
      </w:r>
      <w:r w:rsidR="00135599" w:rsidRPr="00135599">
        <w:t>582,3</w:t>
      </w:r>
      <w:r w:rsidRPr="00135599">
        <w:t xml:space="preserve"> млн. лв.).</w:t>
      </w:r>
      <w:r w:rsidRPr="00135599">
        <w:rPr>
          <w:rFonts w:ascii="Arial" w:hAnsi="Arial" w:cs="Arial"/>
        </w:rPr>
        <w:t xml:space="preserve"> </w:t>
      </w:r>
      <w:r w:rsidRPr="00135599">
        <w:t xml:space="preserve">Приходите от </w:t>
      </w:r>
      <w:r w:rsidRPr="00135599">
        <w:rPr>
          <w:i/>
        </w:rPr>
        <w:t>косвени данъци</w:t>
      </w:r>
      <w:r w:rsidRPr="00135599">
        <w:t xml:space="preserve"> са в размер на </w:t>
      </w:r>
      <w:r w:rsidR="00135599" w:rsidRPr="00135599">
        <w:t xml:space="preserve">16 847,7 </w:t>
      </w:r>
      <w:r w:rsidRPr="00135599">
        <w:t xml:space="preserve">млн. лв., което представлява </w:t>
      </w:r>
      <w:r w:rsidR="00135599" w:rsidRPr="00135599">
        <w:t>102,5</w:t>
      </w:r>
      <w:r w:rsidRPr="00135599">
        <w:t xml:space="preserve"> % </w:t>
      </w:r>
      <w:r w:rsidR="00135599" w:rsidRPr="000E4ABC">
        <w:t xml:space="preserve">спрямо </w:t>
      </w:r>
      <w:r w:rsidRPr="000E4ABC">
        <w:t>годишния разчет. Съпоставени с 2018 г.</w:t>
      </w:r>
      <w:r w:rsidR="00EC5B0D" w:rsidRPr="000E4ABC">
        <w:t>,</w:t>
      </w:r>
      <w:r w:rsidRPr="000E4ABC">
        <w:t xml:space="preserve"> косвените данъци бележат ръст от </w:t>
      </w:r>
      <w:r w:rsidR="000E4ABC" w:rsidRPr="000E4ABC">
        <w:t>8,5</w:t>
      </w:r>
      <w:r w:rsidRPr="000E4ABC">
        <w:t xml:space="preserve"> % (</w:t>
      </w:r>
      <w:r w:rsidR="000E4ABC" w:rsidRPr="000E4ABC">
        <w:t>1 316,7</w:t>
      </w:r>
      <w:r w:rsidRPr="000E4ABC">
        <w:t xml:space="preserve"> млн. лв.). Постъпленията от </w:t>
      </w:r>
      <w:r w:rsidRPr="000E4ABC">
        <w:rPr>
          <w:i/>
        </w:rPr>
        <w:t>други данъци</w:t>
      </w:r>
      <w:r w:rsidRPr="000E4ABC">
        <w:t xml:space="preserve"> (включват други данъци по ЗКПО, </w:t>
      </w:r>
      <w:r w:rsidRPr="008C1229">
        <w:t xml:space="preserve">имуществени данъци и др.) са </w:t>
      </w:r>
      <w:r w:rsidR="000E4ABC" w:rsidRPr="008C1229">
        <w:t xml:space="preserve">1 170,9 </w:t>
      </w:r>
      <w:r w:rsidRPr="008C1229">
        <w:t xml:space="preserve">млн. лв., което представлява </w:t>
      </w:r>
      <w:r w:rsidR="000E4ABC" w:rsidRPr="008C1229">
        <w:t>100,1</w:t>
      </w:r>
      <w:r w:rsidRPr="008C1229">
        <w:t xml:space="preserve"> % </w:t>
      </w:r>
      <w:r w:rsidR="000E4ABC" w:rsidRPr="008C1229">
        <w:t xml:space="preserve">спрямо </w:t>
      </w:r>
      <w:r w:rsidRPr="008C1229">
        <w:t xml:space="preserve">разчетите към ЗДБРБ за 2019 г. и сравнени </w:t>
      </w:r>
      <w:r w:rsidR="008C1229" w:rsidRPr="008C1229">
        <w:t>с</w:t>
      </w:r>
      <w:r w:rsidRPr="008C1229">
        <w:t xml:space="preserve"> 2018 г. нарастват с </w:t>
      </w:r>
      <w:r w:rsidR="008C1229" w:rsidRPr="008C1229">
        <w:t>5,1</w:t>
      </w:r>
      <w:r w:rsidRPr="008C1229">
        <w:t xml:space="preserve"> % </w:t>
      </w:r>
      <w:r w:rsidRPr="008C1229">
        <w:rPr>
          <w:lang w:val="en-US"/>
        </w:rPr>
        <w:t>(</w:t>
      </w:r>
      <w:r w:rsidR="008C1229" w:rsidRPr="008C1229">
        <w:t>57,2</w:t>
      </w:r>
      <w:r w:rsidRPr="008C1229">
        <w:t xml:space="preserve"> млн. лв.</w:t>
      </w:r>
      <w:r w:rsidRPr="008C1229">
        <w:rPr>
          <w:lang w:val="en-US"/>
        </w:rPr>
        <w:t>)</w:t>
      </w:r>
      <w:r w:rsidRPr="008C1229">
        <w:t xml:space="preserve">. Приходите от </w:t>
      </w:r>
      <w:proofErr w:type="spellStart"/>
      <w:r w:rsidRPr="008C1229">
        <w:rPr>
          <w:b/>
          <w:i/>
        </w:rPr>
        <w:t>социалноосигурителни</w:t>
      </w:r>
      <w:proofErr w:type="spellEnd"/>
      <w:r w:rsidRPr="008C1229">
        <w:rPr>
          <w:b/>
          <w:i/>
        </w:rPr>
        <w:t xml:space="preserve"> и здравни вноски</w:t>
      </w:r>
      <w:r w:rsidRPr="008C1229">
        <w:rPr>
          <w:b/>
        </w:rPr>
        <w:t xml:space="preserve"> </w:t>
      </w:r>
      <w:r w:rsidR="008C1229" w:rsidRPr="008C1229">
        <w:t xml:space="preserve">за </w:t>
      </w:r>
      <w:r w:rsidRPr="008C1229">
        <w:t xml:space="preserve">2019 г. са в размер на </w:t>
      </w:r>
      <w:r w:rsidR="008C1229" w:rsidRPr="008C1229">
        <w:t xml:space="preserve">10 546,3 </w:t>
      </w:r>
      <w:r w:rsidRPr="008C1229">
        <w:t xml:space="preserve">млн. лв. или </w:t>
      </w:r>
      <w:r w:rsidR="008C1229" w:rsidRPr="008C1229">
        <w:t>101,6</w:t>
      </w:r>
      <w:r w:rsidRPr="008C1229">
        <w:t xml:space="preserve"> % </w:t>
      </w:r>
      <w:r w:rsidR="008C1229" w:rsidRPr="008C1229">
        <w:t xml:space="preserve">спрямо </w:t>
      </w:r>
      <w:r w:rsidRPr="008C1229">
        <w:t xml:space="preserve">планираните за годината, като спрямо предходната година нарастват с </w:t>
      </w:r>
      <w:r w:rsidR="008C1229" w:rsidRPr="008C1229">
        <w:t>1 088,0</w:t>
      </w:r>
      <w:r w:rsidRPr="008C1229">
        <w:t xml:space="preserve"> млн. лева. (11,</w:t>
      </w:r>
      <w:r w:rsidR="008C1229" w:rsidRPr="008C1229">
        <w:t>5</w:t>
      </w:r>
      <w:r w:rsidRPr="008C1229">
        <w:t xml:space="preserve"> %). </w:t>
      </w:r>
    </w:p>
    <w:p w:rsidR="00B13128" w:rsidRPr="00C85532" w:rsidRDefault="00B13128" w:rsidP="00B13128">
      <w:pPr>
        <w:spacing w:before="120"/>
        <w:jc w:val="both"/>
        <w:rPr>
          <w:color w:val="0070C0"/>
        </w:rPr>
      </w:pPr>
      <w:r w:rsidRPr="004D4F33">
        <w:rPr>
          <w:b/>
          <w:bCs/>
          <w:i/>
          <w:iCs/>
        </w:rPr>
        <w:t>Неданъчните приходи</w:t>
      </w:r>
      <w:r w:rsidRPr="004D4F33">
        <w:rPr>
          <w:b/>
          <w:bCs/>
          <w:iCs/>
        </w:rPr>
        <w:t xml:space="preserve"> </w:t>
      </w:r>
      <w:r w:rsidRPr="004D4F33">
        <w:t xml:space="preserve">са в размер на </w:t>
      </w:r>
      <w:r w:rsidR="004D4F33" w:rsidRPr="004D4F33">
        <w:rPr>
          <w:b/>
          <w:bCs/>
          <w:i/>
        </w:rPr>
        <w:t>6 305,1</w:t>
      </w:r>
      <w:r w:rsidR="004D4F33" w:rsidRPr="004D4F33">
        <w:rPr>
          <w:b/>
          <w:i/>
        </w:rPr>
        <w:t xml:space="preserve"> </w:t>
      </w:r>
      <w:r w:rsidR="004D4F33" w:rsidRPr="004D4F33">
        <w:rPr>
          <w:b/>
          <w:bCs/>
          <w:i/>
        </w:rPr>
        <w:t>млн. лв.</w:t>
      </w:r>
      <w:r w:rsidR="004D4F33" w:rsidRPr="004D4F33">
        <w:rPr>
          <w:b/>
          <w:bCs/>
        </w:rPr>
        <w:t>,</w:t>
      </w:r>
      <w:r w:rsidR="004D4F33" w:rsidRPr="004D4F33">
        <w:rPr>
          <w:b/>
          <w:i/>
        </w:rPr>
        <w:t xml:space="preserve"> </w:t>
      </w:r>
      <w:r w:rsidR="004D4F33" w:rsidRPr="004D4F33">
        <w:t>което представлява</w:t>
      </w:r>
      <w:r w:rsidR="004D4F33" w:rsidRPr="004D4F33">
        <w:rPr>
          <w:i/>
        </w:rPr>
        <w:t xml:space="preserve"> </w:t>
      </w:r>
      <w:r w:rsidR="004D4F33" w:rsidRPr="004D4F33">
        <w:t>95,1 %</w:t>
      </w:r>
      <w:r w:rsidR="004D4F33" w:rsidRPr="004D4F33">
        <w:rPr>
          <w:b/>
          <w:i/>
        </w:rPr>
        <w:t xml:space="preserve"> </w:t>
      </w:r>
      <w:r w:rsidR="004D4F33" w:rsidRPr="004D4F33">
        <w:t>от</w:t>
      </w:r>
      <w:r w:rsidR="004D4F33" w:rsidRPr="004D4F33">
        <w:rPr>
          <w:b/>
          <w:i/>
        </w:rPr>
        <w:t xml:space="preserve"> </w:t>
      </w:r>
      <w:r w:rsidR="004D4F33" w:rsidRPr="004D4F33">
        <w:t>годишните разчети</w:t>
      </w:r>
      <w:r w:rsidRPr="004D4F33">
        <w:t xml:space="preserve">. </w:t>
      </w:r>
    </w:p>
    <w:p w:rsidR="00B13128" w:rsidRPr="005B2B86" w:rsidRDefault="00B13128" w:rsidP="00B13128">
      <w:pPr>
        <w:spacing w:before="120" w:after="120"/>
        <w:jc w:val="both"/>
      </w:pPr>
      <w:r w:rsidRPr="005B2B86">
        <w:t xml:space="preserve">Постъпленията от </w:t>
      </w:r>
      <w:r w:rsidRPr="005B2B86">
        <w:rPr>
          <w:b/>
          <w:i/>
        </w:rPr>
        <w:t>помощи</w:t>
      </w:r>
      <w:r w:rsidRPr="005B2B86">
        <w:t xml:space="preserve"> </w:t>
      </w:r>
      <w:r w:rsidRPr="005B2B86">
        <w:rPr>
          <w:b/>
          <w:i/>
        </w:rPr>
        <w:t xml:space="preserve">и дарения </w:t>
      </w:r>
      <w:r w:rsidRPr="005B2B86">
        <w:t xml:space="preserve">от страната и чужбина (основно помощи от фондовете на ЕС) са в размер на </w:t>
      </w:r>
      <w:r w:rsidR="005B2B86" w:rsidRPr="0092187E">
        <w:rPr>
          <w:b/>
          <w:bCs/>
          <w:i/>
        </w:rPr>
        <w:t xml:space="preserve">2 463,6 </w:t>
      </w:r>
      <w:r w:rsidRPr="0092187E">
        <w:rPr>
          <w:b/>
          <w:bCs/>
          <w:i/>
        </w:rPr>
        <w:t>млн. лв.</w:t>
      </w:r>
      <w:r w:rsidRPr="005B2B86">
        <w:t xml:space="preserve"> </w:t>
      </w:r>
    </w:p>
    <w:p w:rsidR="00B13128" w:rsidRPr="00B72F2F" w:rsidRDefault="00B13128" w:rsidP="00B13128">
      <w:pPr>
        <w:numPr>
          <w:ilvl w:val="0"/>
          <w:numId w:val="34"/>
        </w:numPr>
        <w:tabs>
          <w:tab w:val="left" w:pos="426"/>
        </w:tabs>
        <w:spacing w:before="120" w:after="120"/>
        <w:ind w:left="0" w:firstLine="0"/>
        <w:contextualSpacing/>
        <w:jc w:val="both"/>
        <w:rPr>
          <w:szCs w:val="20"/>
        </w:rPr>
      </w:pPr>
      <w:r w:rsidRPr="00AF2EC5">
        <w:rPr>
          <w:b/>
          <w:szCs w:val="20"/>
        </w:rPr>
        <w:t xml:space="preserve">Разходите по консолидираната фискална програма </w:t>
      </w:r>
      <w:r w:rsidRPr="00AF2EC5">
        <w:rPr>
          <w:szCs w:val="20"/>
        </w:rPr>
        <w:t xml:space="preserve">(вкл. вноската на Република България в общия бюджет на ЕС) </w:t>
      </w:r>
      <w:r w:rsidR="00AF2EC5" w:rsidRPr="00AF2EC5">
        <w:rPr>
          <w:szCs w:val="20"/>
        </w:rPr>
        <w:t xml:space="preserve">за </w:t>
      </w:r>
      <w:r w:rsidRPr="00AF2EC5">
        <w:rPr>
          <w:szCs w:val="20"/>
        </w:rPr>
        <w:t>2019 г.</w:t>
      </w:r>
      <w:r w:rsidRPr="00AF2EC5">
        <w:rPr>
          <w:b/>
          <w:szCs w:val="20"/>
        </w:rPr>
        <w:t xml:space="preserve"> са в размер на </w:t>
      </w:r>
      <w:r w:rsidR="00AF2EC5" w:rsidRPr="00AF2EC5">
        <w:rPr>
          <w:b/>
          <w:szCs w:val="20"/>
        </w:rPr>
        <w:t xml:space="preserve">45 196,9 </w:t>
      </w:r>
      <w:r w:rsidRPr="00AF2EC5">
        <w:rPr>
          <w:b/>
          <w:szCs w:val="20"/>
        </w:rPr>
        <w:t xml:space="preserve">млн. лв., </w:t>
      </w:r>
      <w:r w:rsidRPr="00AF2EC5">
        <w:rPr>
          <w:szCs w:val="20"/>
        </w:rPr>
        <w:t xml:space="preserve">което </w:t>
      </w:r>
      <w:r w:rsidRPr="00B72F2F">
        <w:rPr>
          <w:szCs w:val="20"/>
        </w:rPr>
        <w:t xml:space="preserve">представлява </w:t>
      </w:r>
      <w:r w:rsidR="00AF2EC5" w:rsidRPr="00B72F2F">
        <w:rPr>
          <w:szCs w:val="20"/>
        </w:rPr>
        <w:t>97,6</w:t>
      </w:r>
      <w:r w:rsidRPr="00B72F2F">
        <w:rPr>
          <w:szCs w:val="20"/>
        </w:rPr>
        <w:t xml:space="preserve"> % от годишния разчет. </w:t>
      </w:r>
      <w:r w:rsidR="00B72F2F" w:rsidRPr="00B72F2F">
        <w:rPr>
          <w:szCs w:val="20"/>
        </w:rPr>
        <w:t>За сравнение разходите по КФП за 201</w:t>
      </w:r>
      <w:r w:rsidR="00B72F2F" w:rsidRPr="00B72F2F">
        <w:rPr>
          <w:szCs w:val="20"/>
          <w:lang w:val="en-US"/>
        </w:rPr>
        <w:t>8</w:t>
      </w:r>
      <w:r w:rsidR="00B72F2F" w:rsidRPr="00B72F2F">
        <w:rPr>
          <w:szCs w:val="20"/>
        </w:rPr>
        <w:t xml:space="preserve"> г. бяха в </w:t>
      </w:r>
      <w:r w:rsidR="00B72F2F" w:rsidRPr="00B72F2F">
        <w:rPr>
          <w:szCs w:val="20"/>
        </w:rPr>
        <w:lastRenderedPageBreak/>
        <w:t>размер на 39 515,7 млн. лева. Номиналното нарастване на разходите спрямо същия период на предходната година се дължи на по-високия размер на капиталовите разходи (поради по-високите разходи по националния бюджет, вкл. разходите, свързани с реализирането на инвестиционния проект за придобиване на нов тип боен самолет за българските ВВС, както и по сметките за средства от ЕС), разходите за персонал (увеличение с 10 на сто на средствата за заплати, възнаграждения и осигурителни вноски на заетите в бюджетния сектор и поредната стъпка на увеличение на възнагражденията в сектор „Образование“), по-високи социални и здравноосигурителни плащания (базов ефект от увеличението на пенсиите от юли 2018 г., индексирането на пенсиите от юли 2019 г. и увеличение на здравноосигурителните плащания, заложено в ЗБНЗОК за 2019 г.), увеличение на разходите за субсидии и други</w:t>
      </w:r>
      <w:r w:rsidRPr="00B72F2F">
        <w:rPr>
          <w:szCs w:val="20"/>
        </w:rPr>
        <w:t>.</w:t>
      </w:r>
    </w:p>
    <w:p w:rsidR="00B13128" w:rsidRPr="00C85532" w:rsidRDefault="00B13128" w:rsidP="00B13128">
      <w:pPr>
        <w:spacing w:before="240" w:after="120"/>
        <w:jc w:val="both"/>
        <w:rPr>
          <w:color w:val="0070C0"/>
        </w:rPr>
      </w:pPr>
      <w:r w:rsidRPr="00523D41">
        <w:rPr>
          <w:b/>
          <w:i/>
        </w:rPr>
        <w:t>Нелихвените разходи</w:t>
      </w:r>
      <w:r w:rsidRPr="00523D41">
        <w:t xml:space="preserve"> са в размер на </w:t>
      </w:r>
      <w:r w:rsidR="00523D41" w:rsidRPr="00523D41">
        <w:rPr>
          <w:b/>
          <w:i/>
        </w:rPr>
        <w:t xml:space="preserve">43 354,7 </w:t>
      </w:r>
      <w:r w:rsidRPr="00523D41">
        <w:rPr>
          <w:b/>
          <w:i/>
        </w:rPr>
        <w:t>млн. лв.</w:t>
      </w:r>
      <w:r w:rsidRPr="00523D41">
        <w:t xml:space="preserve">, което представлява </w:t>
      </w:r>
      <w:r w:rsidR="00523D41" w:rsidRPr="00523D41">
        <w:t>98,2</w:t>
      </w:r>
      <w:r w:rsidRPr="00523D41">
        <w:t xml:space="preserve"> % от </w:t>
      </w:r>
      <w:r w:rsidRPr="004D6E1E">
        <w:t xml:space="preserve">годишния разчет. </w:t>
      </w:r>
      <w:r w:rsidRPr="004D6E1E">
        <w:rPr>
          <w:i/>
        </w:rPr>
        <w:t>Текущите нелихвени разходи</w:t>
      </w:r>
      <w:r w:rsidRPr="004D6E1E">
        <w:t xml:space="preserve"> са в размер на </w:t>
      </w:r>
      <w:r w:rsidR="004D6E1E" w:rsidRPr="004D6E1E">
        <w:t xml:space="preserve">35 743,7 </w:t>
      </w:r>
      <w:r w:rsidRPr="004D6E1E">
        <w:t xml:space="preserve">млн. лева. </w:t>
      </w:r>
      <w:r w:rsidRPr="004D6E1E">
        <w:rPr>
          <w:i/>
        </w:rPr>
        <w:t>Капиталовите разходи</w:t>
      </w:r>
      <w:r w:rsidRPr="004D6E1E">
        <w:t xml:space="preserve"> (вкл. нетния прираст на държавния резерв) възлизат на </w:t>
      </w:r>
      <w:r w:rsidR="004D6E1E" w:rsidRPr="004D6E1E">
        <w:t xml:space="preserve">7 567,2 </w:t>
      </w:r>
      <w:r w:rsidRPr="004D6E1E">
        <w:t>млн. л</w:t>
      </w:r>
      <w:r w:rsidRPr="004D6E1E">
        <w:rPr>
          <w:lang w:val="en-US"/>
        </w:rPr>
        <w:t>е</w:t>
      </w:r>
      <w:proofErr w:type="spellStart"/>
      <w:r w:rsidRPr="004D6E1E">
        <w:t>ва</w:t>
      </w:r>
      <w:proofErr w:type="spellEnd"/>
      <w:r w:rsidRPr="004D6E1E">
        <w:t>.</w:t>
      </w:r>
      <w:r w:rsidRPr="004D6E1E">
        <w:rPr>
          <w:lang w:val="en-US"/>
        </w:rPr>
        <w:t xml:space="preserve"> </w:t>
      </w:r>
      <w:r w:rsidRPr="004D6E1E">
        <w:rPr>
          <w:i/>
        </w:rPr>
        <w:t>Предоставените текущи и капиталови трансфери за чужбина</w:t>
      </w:r>
      <w:r w:rsidRPr="004D6E1E">
        <w:t xml:space="preserve"> са в размер на </w:t>
      </w:r>
      <w:r w:rsidR="004D6E1E" w:rsidRPr="004D6E1E">
        <w:t>43,7</w:t>
      </w:r>
      <w:r w:rsidRPr="004D6E1E">
        <w:t xml:space="preserve"> млн. лева. </w:t>
      </w:r>
      <w:r w:rsidRPr="004D6E1E">
        <w:rPr>
          <w:b/>
          <w:i/>
        </w:rPr>
        <w:t>Лихвените плащания</w:t>
      </w:r>
      <w:r w:rsidRPr="004D6E1E">
        <w:t xml:space="preserve"> са в размер на </w:t>
      </w:r>
      <w:r w:rsidR="004D6E1E" w:rsidRPr="004D6E1E">
        <w:rPr>
          <w:b/>
          <w:i/>
        </w:rPr>
        <w:t>649,1 млн. лв.</w:t>
      </w:r>
      <w:r w:rsidR="004D6E1E" w:rsidRPr="004D6E1E">
        <w:t xml:space="preserve"> (97,0 % от планираните за 2019 година)</w:t>
      </w:r>
      <w:r w:rsidRPr="004D6E1E">
        <w:t>.</w:t>
      </w:r>
    </w:p>
    <w:p w:rsidR="00B13128" w:rsidRPr="00431218" w:rsidRDefault="00B13128" w:rsidP="00B13128">
      <w:pPr>
        <w:numPr>
          <w:ilvl w:val="0"/>
          <w:numId w:val="34"/>
        </w:numPr>
        <w:tabs>
          <w:tab w:val="left" w:pos="426"/>
        </w:tabs>
        <w:ind w:left="0" w:firstLine="0"/>
        <w:contextualSpacing/>
        <w:jc w:val="both"/>
        <w:rPr>
          <w:szCs w:val="20"/>
        </w:rPr>
      </w:pPr>
      <w:r w:rsidRPr="00431218">
        <w:rPr>
          <w:b/>
          <w:szCs w:val="20"/>
        </w:rPr>
        <w:t>Частта от вноската на Република България в общия бюджет на ЕС</w:t>
      </w:r>
      <w:r w:rsidRPr="00431218">
        <w:rPr>
          <w:szCs w:val="20"/>
        </w:rPr>
        <w:t xml:space="preserve">, изплатена </w:t>
      </w:r>
      <w:r w:rsidR="00431218" w:rsidRPr="00431218">
        <w:rPr>
          <w:szCs w:val="20"/>
        </w:rPr>
        <w:t xml:space="preserve">през </w:t>
      </w:r>
      <w:r w:rsidRPr="00431218">
        <w:rPr>
          <w:szCs w:val="20"/>
        </w:rPr>
        <w:t xml:space="preserve">2019 г. от централния бюджет, възлиза на </w:t>
      </w:r>
      <w:r w:rsidR="00431218" w:rsidRPr="00431218">
        <w:rPr>
          <w:b/>
          <w:szCs w:val="20"/>
        </w:rPr>
        <w:t>1 </w:t>
      </w:r>
      <w:r w:rsidR="00431218" w:rsidRPr="00431218">
        <w:rPr>
          <w:b/>
          <w:szCs w:val="20"/>
          <w:lang w:val="en-US"/>
        </w:rPr>
        <w:t>193</w:t>
      </w:r>
      <w:r w:rsidR="00431218" w:rsidRPr="00431218">
        <w:rPr>
          <w:b/>
          <w:szCs w:val="20"/>
        </w:rPr>
        <w:t xml:space="preserve">,1 </w:t>
      </w:r>
      <w:r w:rsidRPr="00431218">
        <w:rPr>
          <w:szCs w:val="20"/>
        </w:rPr>
        <w:t xml:space="preserve">млн. лв., което е в изпълнение на действащото към момента законодателство в областта на собствените ресурси на ЕС - Решение на Съвета 2014/335/ЕС, </w:t>
      </w:r>
      <w:proofErr w:type="spellStart"/>
      <w:r w:rsidRPr="00431218">
        <w:rPr>
          <w:szCs w:val="20"/>
        </w:rPr>
        <w:t>Евратом</w:t>
      </w:r>
      <w:proofErr w:type="spellEnd"/>
      <w:r w:rsidRPr="00431218">
        <w:rPr>
          <w:szCs w:val="20"/>
        </w:rPr>
        <w:t xml:space="preserve"> относно системата на собствените ресурси на Европейския съюз, Регламент (ЕС, </w:t>
      </w:r>
      <w:proofErr w:type="spellStart"/>
      <w:r w:rsidRPr="00431218">
        <w:rPr>
          <w:szCs w:val="20"/>
        </w:rPr>
        <w:t>Евратом</w:t>
      </w:r>
      <w:proofErr w:type="spellEnd"/>
      <w:r w:rsidRPr="00431218">
        <w:rPr>
          <w:szCs w:val="20"/>
        </w:rPr>
        <w:t xml:space="preserve">) № 608/2014 на Съвета от 26 май 2014 г. за определяне на мерки за прилагане на системата на собствените ресурси на ЕС и Регламент (EС, </w:t>
      </w:r>
      <w:proofErr w:type="spellStart"/>
      <w:r w:rsidRPr="00431218">
        <w:rPr>
          <w:szCs w:val="20"/>
        </w:rPr>
        <w:t>Евратом</w:t>
      </w:r>
      <w:proofErr w:type="spellEnd"/>
      <w:r w:rsidRPr="00431218">
        <w:rPr>
          <w:szCs w:val="20"/>
        </w:rPr>
        <w:t xml:space="preserve">) № 609/2014 на Съвета от 26 май 2014 г. относно методите и процедурата за предоставяне на традиционните собствени ресурси, собствените ресурси на база ДДС и на база БНД и относно мерките за удовлетворяване на потребностите от парични средства, изменен с Регламент (EС, </w:t>
      </w:r>
      <w:proofErr w:type="spellStart"/>
      <w:r w:rsidRPr="00431218">
        <w:rPr>
          <w:szCs w:val="20"/>
        </w:rPr>
        <w:t>Евратом</w:t>
      </w:r>
      <w:proofErr w:type="spellEnd"/>
      <w:r w:rsidRPr="00431218">
        <w:rPr>
          <w:szCs w:val="20"/>
        </w:rPr>
        <w:t>) 2016/804 на Съвета от 17 май 2016 г., в т.ч.:</w:t>
      </w:r>
    </w:p>
    <w:p w:rsidR="00431218" w:rsidRPr="00431218" w:rsidRDefault="00431218" w:rsidP="00431218">
      <w:pPr>
        <w:numPr>
          <w:ilvl w:val="0"/>
          <w:numId w:val="13"/>
        </w:numPr>
        <w:tabs>
          <w:tab w:val="clear" w:pos="1500"/>
          <w:tab w:val="num" w:pos="720"/>
        </w:tabs>
        <w:ind w:left="709" w:hanging="283"/>
        <w:jc w:val="both"/>
      </w:pPr>
      <w:r w:rsidRPr="00431218">
        <w:t>ресурс на база брутен национален доход – 766,0 млн. лв.;</w:t>
      </w:r>
    </w:p>
    <w:p w:rsidR="00431218" w:rsidRPr="00C05D30" w:rsidRDefault="00431218" w:rsidP="00431218">
      <w:pPr>
        <w:numPr>
          <w:ilvl w:val="0"/>
          <w:numId w:val="13"/>
        </w:numPr>
        <w:tabs>
          <w:tab w:val="clear" w:pos="1500"/>
          <w:tab w:val="num" w:pos="720"/>
        </w:tabs>
        <w:ind w:left="709" w:hanging="283"/>
        <w:jc w:val="both"/>
      </w:pPr>
      <w:r w:rsidRPr="00C05D30">
        <w:t>ресурс на база данък върху добавената стойност – 178,4 млн. лв.;</w:t>
      </w:r>
    </w:p>
    <w:p w:rsidR="00431218" w:rsidRPr="00C05D30" w:rsidRDefault="00431218" w:rsidP="00431218">
      <w:pPr>
        <w:numPr>
          <w:ilvl w:val="0"/>
          <w:numId w:val="13"/>
        </w:numPr>
        <w:tabs>
          <w:tab w:val="clear" w:pos="1500"/>
          <w:tab w:val="num" w:pos="720"/>
        </w:tabs>
        <w:ind w:left="709" w:hanging="283"/>
        <w:jc w:val="both"/>
      </w:pPr>
      <w:r w:rsidRPr="00C05D30">
        <w:t>корекция за Обединеното кралство – 60,7 млн. лв.;</w:t>
      </w:r>
    </w:p>
    <w:p w:rsidR="00431218" w:rsidRPr="00C05D30" w:rsidRDefault="00431218" w:rsidP="00431218">
      <w:pPr>
        <w:numPr>
          <w:ilvl w:val="0"/>
          <w:numId w:val="13"/>
        </w:numPr>
        <w:tabs>
          <w:tab w:val="clear" w:pos="1500"/>
          <w:tab w:val="num" w:pos="720"/>
        </w:tabs>
        <w:ind w:left="709" w:hanging="283"/>
        <w:jc w:val="both"/>
      </w:pPr>
      <w:r w:rsidRPr="00C05D30">
        <w:t>традиционни собствени ресурси (мита) – 179,0 млн. лв.;</w:t>
      </w:r>
    </w:p>
    <w:p w:rsidR="00431218" w:rsidRPr="00245EFC" w:rsidRDefault="00431218" w:rsidP="00431218">
      <w:pPr>
        <w:numPr>
          <w:ilvl w:val="0"/>
          <w:numId w:val="13"/>
        </w:numPr>
        <w:tabs>
          <w:tab w:val="clear" w:pos="1500"/>
        </w:tabs>
        <w:ind w:left="709" w:hanging="283"/>
        <w:jc w:val="both"/>
      </w:pPr>
      <w:r w:rsidRPr="00245EFC">
        <w:t>участие във финансиране на брутното намаление за Нидерландия, Швеция и Дания – 8,9 млн. лв.</w:t>
      </w:r>
    </w:p>
    <w:p w:rsidR="00B13128" w:rsidRPr="00C85532" w:rsidRDefault="00B13128" w:rsidP="00D927DF">
      <w:pPr>
        <w:spacing w:before="120" w:after="120"/>
        <w:jc w:val="both"/>
        <w:rPr>
          <w:color w:val="0070C0"/>
          <w:lang w:eastAsia="bg-BG"/>
        </w:rPr>
      </w:pPr>
      <w:r w:rsidRPr="000F7354">
        <w:rPr>
          <w:b/>
          <w:szCs w:val="20"/>
        </w:rPr>
        <w:t>Бюджетното салдо</w:t>
      </w:r>
      <w:r w:rsidRPr="000F7354">
        <w:rPr>
          <w:szCs w:val="20"/>
        </w:rPr>
        <w:t xml:space="preserve"> по консолидираната фискална програма </w:t>
      </w:r>
      <w:r w:rsidR="00974001" w:rsidRPr="000F7354">
        <w:rPr>
          <w:szCs w:val="20"/>
        </w:rPr>
        <w:t>за</w:t>
      </w:r>
      <w:r w:rsidRPr="000F7354">
        <w:rPr>
          <w:bCs/>
          <w:szCs w:val="20"/>
        </w:rPr>
        <w:t xml:space="preserve"> </w:t>
      </w:r>
      <w:r w:rsidRPr="000F7354">
        <w:rPr>
          <w:szCs w:val="20"/>
        </w:rPr>
        <w:t xml:space="preserve">2019 г. е </w:t>
      </w:r>
      <w:r w:rsidR="00974001" w:rsidRPr="000F7354">
        <w:rPr>
          <w:b/>
          <w:bCs/>
        </w:rPr>
        <w:t xml:space="preserve">отрицателно </w:t>
      </w:r>
      <w:r w:rsidR="00974001" w:rsidRPr="000F7354">
        <w:rPr>
          <w:bCs/>
        </w:rPr>
        <w:t xml:space="preserve">в </w:t>
      </w:r>
      <w:r w:rsidR="00974001" w:rsidRPr="00335031">
        <w:rPr>
          <w:bCs/>
        </w:rPr>
        <w:t xml:space="preserve">размер на </w:t>
      </w:r>
      <w:r w:rsidR="00974001" w:rsidRPr="00335031">
        <w:rPr>
          <w:b/>
          <w:bCs/>
        </w:rPr>
        <w:t xml:space="preserve">1 148,3 </w:t>
      </w:r>
      <w:r w:rsidR="00974001" w:rsidRPr="00335031">
        <w:rPr>
          <w:b/>
        </w:rPr>
        <w:t>млн. лв.</w:t>
      </w:r>
      <w:r w:rsidR="00974001" w:rsidRPr="00335031">
        <w:t xml:space="preserve"> (</w:t>
      </w:r>
      <w:r w:rsidR="002A743D">
        <w:t>0,97</w:t>
      </w:r>
      <w:r w:rsidR="00974001" w:rsidRPr="00335031">
        <w:t xml:space="preserve"> % от прогнозния БВП) и </w:t>
      </w:r>
      <w:r w:rsidR="00974001" w:rsidRPr="00335031">
        <w:rPr>
          <w:bCs/>
        </w:rPr>
        <w:t xml:space="preserve">се формира от </w:t>
      </w:r>
      <w:r w:rsidR="00974001" w:rsidRPr="00335031">
        <w:t>дефицит по националния бюджет в размер на 1 040,8 млн.  лв. и дефицит по европейските средства в размер на 107,5 млн. лева.</w:t>
      </w:r>
      <w:r w:rsidR="00974001">
        <w:t xml:space="preserve"> </w:t>
      </w:r>
      <w:r w:rsidR="00D927DF" w:rsidRPr="00D927DF">
        <w:t>Съпоставено с разчетите към Закона за изменение и допълнение на ЗДБРБ за 2019 г. се отчита номинално подобрение на бюджетното салдо с около 1,3 млрд. лева. Отчетеният за годината дефицит се дължи на извършените еднократни разходи във връзка с реализирането на инвестиционния проект за придобиване на нов тип многофункционален боен самолет за българските военновъздушни сили. С разчетите към Актуализираната средносрочна бюджетна прогноза 2020-2022 е предвидено бюджетното салдо да бъде балансирано и да остане на това равнище през целия хоризонт на бюджетната прогноза</w:t>
      </w:r>
      <w:r w:rsidR="00974001">
        <w:t>.</w:t>
      </w:r>
    </w:p>
    <w:p w:rsidR="00B13128" w:rsidRPr="003600F3" w:rsidRDefault="00B13128" w:rsidP="002B6BB4">
      <w:pPr>
        <w:numPr>
          <w:ilvl w:val="0"/>
          <w:numId w:val="9"/>
        </w:numPr>
        <w:tabs>
          <w:tab w:val="num" w:pos="0"/>
          <w:tab w:val="left" w:pos="426"/>
          <w:tab w:val="left" w:pos="720"/>
        </w:tabs>
        <w:spacing w:before="240" w:after="60"/>
        <w:ind w:left="0" w:firstLine="0"/>
        <w:jc w:val="both"/>
      </w:pPr>
      <w:r w:rsidRPr="003600F3">
        <w:rPr>
          <w:b/>
          <w:bCs/>
        </w:rPr>
        <w:t>Общият размер на касовите постъпления от ЕС</w:t>
      </w:r>
      <w:r w:rsidRPr="003600F3">
        <w:rPr>
          <w:bCs/>
        </w:rPr>
        <w:t xml:space="preserve"> (от Структурните и </w:t>
      </w:r>
      <w:proofErr w:type="spellStart"/>
      <w:r w:rsidRPr="003600F3">
        <w:rPr>
          <w:bCs/>
        </w:rPr>
        <w:t>Кохезионния</w:t>
      </w:r>
      <w:proofErr w:type="spellEnd"/>
      <w:r w:rsidRPr="003600F3">
        <w:rPr>
          <w:bCs/>
        </w:rPr>
        <w:t xml:space="preserve"> фондове, от</w:t>
      </w:r>
      <w:r w:rsidRPr="003600F3">
        <w:t xml:space="preserve"> ЕЗФРСР и ЕФР</w:t>
      </w:r>
      <w:r w:rsidRPr="003600F3">
        <w:rPr>
          <w:bCs/>
        </w:rPr>
        <w:t xml:space="preserve">, от средства за директни плащания към земеделските производители и плащания по пазарни мерки и др.) за 2019 г. е </w:t>
      </w:r>
      <w:r w:rsidR="002F6CBB">
        <w:rPr>
          <w:b/>
          <w:bCs/>
        </w:rPr>
        <w:t>4</w:t>
      </w:r>
      <w:r w:rsidR="003600F3" w:rsidRPr="003600F3">
        <w:rPr>
          <w:b/>
          <w:bCs/>
        </w:rPr>
        <w:t> </w:t>
      </w:r>
      <w:r w:rsidR="002F6CBB">
        <w:rPr>
          <w:b/>
          <w:bCs/>
        </w:rPr>
        <w:t>260</w:t>
      </w:r>
      <w:r w:rsidR="003600F3" w:rsidRPr="003600F3">
        <w:rPr>
          <w:b/>
          <w:bCs/>
        </w:rPr>
        <w:t>,</w:t>
      </w:r>
      <w:r w:rsidR="002F6CBB">
        <w:rPr>
          <w:b/>
          <w:bCs/>
        </w:rPr>
        <w:t>9</w:t>
      </w:r>
      <w:r w:rsidRPr="003600F3">
        <w:rPr>
          <w:b/>
          <w:bCs/>
        </w:rPr>
        <w:t xml:space="preserve"> млн. лв.</w:t>
      </w:r>
      <w:r w:rsidRPr="003600F3">
        <w:rPr>
          <w:b/>
        </w:rPr>
        <w:t xml:space="preserve"> </w:t>
      </w:r>
      <w:r w:rsidRPr="003600F3">
        <w:rPr>
          <w:b/>
          <w:bCs/>
        </w:rPr>
        <w:t>Нетните постъпления от ЕС към 3</w:t>
      </w:r>
      <w:r w:rsidR="003600F3" w:rsidRPr="003600F3">
        <w:rPr>
          <w:b/>
          <w:bCs/>
        </w:rPr>
        <w:t>1</w:t>
      </w:r>
      <w:r w:rsidRPr="003600F3">
        <w:rPr>
          <w:b/>
          <w:bCs/>
        </w:rPr>
        <w:t>.</w:t>
      </w:r>
      <w:r w:rsidR="003600F3" w:rsidRPr="003600F3">
        <w:rPr>
          <w:b/>
          <w:bCs/>
        </w:rPr>
        <w:t>12</w:t>
      </w:r>
      <w:r w:rsidRPr="003600F3">
        <w:rPr>
          <w:b/>
          <w:bCs/>
        </w:rPr>
        <w:t xml:space="preserve">.2019 г. </w:t>
      </w:r>
      <w:r w:rsidRPr="003600F3">
        <w:rPr>
          <w:bCs/>
        </w:rPr>
        <w:t xml:space="preserve">(касови постъпления от ЕС, намалени с вноската в общия бюджет на ЕС) са положителни в размер на </w:t>
      </w:r>
      <w:r w:rsidR="002F6CBB">
        <w:rPr>
          <w:b/>
          <w:bCs/>
        </w:rPr>
        <w:t>3</w:t>
      </w:r>
      <w:r w:rsidR="003600F3" w:rsidRPr="003600F3">
        <w:rPr>
          <w:b/>
          <w:bCs/>
        </w:rPr>
        <w:t> </w:t>
      </w:r>
      <w:r w:rsidR="002F6CBB">
        <w:rPr>
          <w:b/>
          <w:bCs/>
        </w:rPr>
        <w:t>067</w:t>
      </w:r>
      <w:r w:rsidR="003600F3" w:rsidRPr="003600F3">
        <w:rPr>
          <w:b/>
          <w:bCs/>
        </w:rPr>
        <w:t>,</w:t>
      </w:r>
      <w:r w:rsidR="002F6CBB">
        <w:rPr>
          <w:b/>
          <w:bCs/>
        </w:rPr>
        <w:t>8</w:t>
      </w:r>
      <w:r w:rsidRPr="003600F3">
        <w:rPr>
          <w:b/>
          <w:bCs/>
        </w:rPr>
        <w:t xml:space="preserve"> млн. лева</w:t>
      </w:r>
      <w:r w:rsidRPr="003600F3">
        <w:t>.</w:t>
      </w:r>
    </w:p>
    <w:p w:rsidR="00B13128" w:rsidRPr="00C85532" w:rsidRDefault="00B13128" w:rsidP="00B13128">
      <w:pPr>
        <w:numPr>
          <w:ilvl w:val="2"/>
          <w:numId w:val="17"/>
        </w:numPr>
        <w:tabs>
          <w:tab w:val="left" w:pos="426"/>
        </w:tabs>
        <w:spacing w:before="120" w:after="120"/>
        <w:ind w:left="0" w:firstLine="0"/>
        <w:jc w:val="both"/>
        <w:rPr>
          <w:color w:val="0070C0"/>
          <w:sz w:val="8"/>
          <w:szCs w:val="8"/>
        </w:rPr>
      </w:pPr>
      <w:r w:rsidRPr="00990354">
        <w:rPr>
          <w:b/>
        </w:rPr>
        <w:lastRenderedPageBreak/>
        <w:t>Фискалният резерв</w:t>
      </w:r>
      <w:r w:rsidRPr="00990354">
        <w:rPr>
          <w:b/>
          <w:bCs/>
          <w:vertAlign w:val="superscript"/>
          <w:lang w:eastAsia="bg-BG"/>
        </w:rPr>
        <w:footnoteReference w:id="7"/>
      </w:r>
      <w:r w:rsidRPr="00990354">
        <w:rPr>
          <w:bCs/>
          <w:lang w:eastAsia="bg-BG"/>
        </w:rPr>
        <w:t xml:space="preserve"> към </w:t>
      </w:r>
      <w:r w:rsidR="000F7354" w:rsidRPr="00990354">
        <w:rPr>
          <w:bCs/>
        </w:rPr>
        <w:t xml:space="preserve">31.12.2019 г. е </w:t>
      </w:r>
      <w:r w:rsidR="000F7354" w:rsidRPr="00990354">
        <w:rPr>
          <w:b/>
          <w:bCs/>
        </w:rPr>
        <w:t>8,</w:t>
      </w:r>
      <w:proofErr w:type="spellStart"/>
      <w:r w:rsidR="000F7354" w:rsidRPr="00990354">
        <w:rPr>
          <w:b/>
          <w:bCs/>
        </w:rPr>
        <w:t>8</w:t>
      </w:r>
      <w:proofErr w:type="spellEnd"/>
      <w:r w:rsidR="000F7354" w:rsidRPr="00990354">
        <w:rPr>
          <w:b/>
          <w:bCs/>
        </w:rPr>
        <w:t xml:space="preserve"> млрд. лв</w:t>
      </w:r>
      <w:r w:rsidR="000F7354" w:rsidRPr="00990354">
        <w:rPr>
          <w:bCs/>
        </w:rPr>
        <w:t>., в т.ч. 8,6 млрд. лв. депозити на</w:t>
      </w:r>
      <w:r w:rsidR="000F7354" w:rsidRPr="000F7354">
        <w:rPr>
          <w:bCs/>
        </w:rPr>
        <w:t xml:space="preserve"> </w:t>
      </w:r>
      <w:r w:rsidR="000F7354" w:rsidRPr="00E12960">
        <w:rPr>
          <w:bCs/>
        </w:rPr>
        <w:t>фискалния резерв в БНБ и банки и 0,2 млрд. лв. вземания от фондовете на Европейския съюз за сертифицирани разходи, аванси и други</w:t>
      </w:r>
      <w:r w:rsidRPr="00C85532">
        <w:rPr>
          <w:bCs/>
          <w:color w:val="0070C0"/>
          <w:lang w:eastAsia="bg-BG"/>
        </w:rPr>
        <w:t>.</w:t>
      </w:r>
      <w:r w:rsidRPr="00C85532">
        <w:rPr>
          <w:bCs/>
          <w:color w:val="0070C0"/>
        </w:rPr>
        <w:t xml:space="preserve"> </w:t>
      </w:r>
    </w:p>
    <w:p w:rsidR="00B13128" w:rsidRPr="008D0437" w:rsidRDefault="00B13128" w:rsidP="00B13128">
      <w:pPr>
        <w:keepNext/>
        <w:numPr>
          <w:ilvl w:val="0"/>
          <w:numId w:val="10"/>
        </w:numPr>
        <w:ind w:right="-108"/>
        <w:jc w:val="both"/>
        <w:outlineLvl w:val="0"/>
        <w:rPr>
          <w:b/>
          <w:bCs/>
        </w:rPr>
      </w:pPr>
      <w:r w:rsidRPr="008D0437">
        <w:rPr>
          <w:b/>
          <w:bCs/>
        </w:rPr>
        <w:t>Изпълнение на държавния бюджет</w:t>
      </w:r>
      <w:r w:rsidRPr="008D0437">
        <w:rPr>
          <w:b/>
          <w:sz w:val="20"/>
          <w:szCs w:val="20"/>
          <w:vertAlign w:val="superscript"/>
        </w:rPr>
        <w:footnoteReference w:id="8"/>
      </w:r>
      <w:r w:rsidRPr="008D0437">
        <w:rPr>
          <w:b/>
          <w:bCs/>
        </w:rPr>
        <w:t xml:space="preserve"> </w:t>
      </w:r>
      <w:r w:rsidR="008D0437" w:rsidRPr="008D0437">
        <w:rPr>
          <w:b/>
          <w:bCs/>
        </w:rPr>
        <w:t>за</w:t>
      </w:r>
      <w:r w:rsidRPr="008D0437">
        <w:rPr>
          <w:b/>
          <w:bCs/>
        </w:rPr>
        <w:t xml:space="preserve"> 201</w:t>
      </w:r>
      <w:r w:rsidRPr="008D0437">
        <w:rPr>
          <w:b/>
          <w:bCs/>
          <w:lang w:val="en-US"/>
        </w:rPr>
        <w:t>9</w:t>
      </w:r>
      <w:r w:rsidRPr="008D0437">
        <w:rPr>
          <w:b/>
          <w:bCs/>
        </w:rPr>
        <w:t xml:space="preserve"> г.</w:t>
      </w:r>
    </w:p>
    <w:p w:rsidR="00B13128" w:rsidRPr="0038191F" w:rsidRDefault="00B13128" w:rsidP="00B13128">
      <w:pPr>
        <w:tabs>
          <w:tab w:val="left" w:pos="1080"/>
        </w:tabs>
        <w:spacing w:before="120"/>
        <w:jc w:val="both"/>
        <w:rPr>
          <w:lang w:val="en-US"/>
        </w:rPr>
      </w:pPr>
      <w:r w:rsidRPr="0038191F">
        <w:t>Изпълнението на основните показатели по държавния бюджет, на база месечните отчети на първостепенните разпоредители с бюджет е, както следва:</w:t>
      </w:r>
    </w:p>
    <w:p w:rsidR="00B13128" w:rsidRPr="00C85532" w:rsidRDefault="00B13128" w:rsidP="00B13128">
      <w:pPr>
        <w:tabs>
          <w:tab w:val="left" w:pos="1080"/>
        </w:tabs>
        <w:spacing w:before="120"/>
        <w:jc w:val="both"/>
        <w:rPr>
          <w:color w:val="0070C0"/>
          <w:sz w:val="2"/>
          <w:szCs w:val="2"/>
        </w:rPr>
      </w:pPr>
    </w:p>
    <w:p w:rsidR="00B13128" w:rsidRPr="00501602" w:rsidRDefault="00B13128" w:rsidP="00B13128">
      <w:pPr>
        <w:ind w:right="-242"/>
        <w:rPr>
          <w:b/>
          <w:bCs/>
          <w:sz w:val="20"/>
          <w:szCs w:val="20"/>
          <w:lang w:eastAsia="bg-BG"/>
        </w:rPr>
      </w:pPr>
      <w:r w:rsidRPr="00501602">
        <w:rPr>
          <w:b/>
          <w:bCs/>
          <w:sz w:val="20"/>
          <w:szCs w:val="20"/>
          <w:lang w:eastAsia="bg-BG"/>
        </w:rPr>
        <w:t xml:space="preserve">            Таблица</w:t>
      </w:r>
      <w:r w:rsidRPr="00501602">
        <w:rPr>
          <w:b/>
          <w:bCs/>
          <w:sz w:val="20"/>
          <w:szCs w:val="20"/>
          <w:vertAlign w:val="superscript"/>
          <w:lang w:eastAsia="bg-BG"/>
        </w:rPr>
        <w:footnoteReference w:id="9"/>
      </w:r>
      <w:r w:rsidRPr="00501602">
        <w:rPr>
          <w:b/>
          <w:bCs/>
          <w:sz w:val="20"/>
          <w:szCs w:val="20"/>
          <w:lang w:eastAsia="bg-BG"/>
        </w:rPr>
        <w:t xml:space="preserve">  №2      </w:t>
      </w:r>
      <w:r w:rsidRPr="00501602">
        <w:rPr>
          <w:b/>
          <w:bCs/>
          <w:sz w:val="20"/>
          <w:szCs w:val="20"/>
          <w:lang w:eastAsia="bg-BG"/>
        </w:rPr>
        <w:tab/>
      </w:r>
      <w:r w:rsidRPr="00501602">
        <w:rPr>
          <w:b/>
          <w:bCs/>
          <w:sz w:val="20"/>
          <w:szCs w:val="20"/>
          <w:lang w:eastAsia="bg-BG"/>
        </w:rPr>
        <w:tab/>
        <w:t xml:space="preserve">                                          </w:t>
      </w:r>
      <w:r w:rsidRPr="00501602">
        <w:rPr>
          <w:b/>
          <w:bCs/>
          <w:sz w:val="20"/>
          <w:szCs w:val="20"/>
          <w:lang w:eastAsia="bg-BG"/>
        </w:rPr>
        <w:tab/>
      </w:r>
      <w:r w:rsidRPr="00501602">
        <w:rPr>
          <w:b/>
          <w:bCs/>
          <w:sz w:val="20"/>
          <w:szCs w:val="20"/>
          <w:lang w:eastAsia="bg-BG"/>
        </w:rPr>
        <w:tab/>
      </w:r>
      <w:r w:rsidRPr="00501602">
        <w:rPr>
          <w:b/>
          <w:bCs/>
          <w:sz w:val="20"/>
          <w:szCs w:val="20"/>
          <w:lang w:eastAsia="bg-BG"/>
        </w:rPr>
        <w:tab/>
      </w:r>
      <w:r w:rsidRPr="00501602">
        <w:rPr>
          <w:b/>
          <w:bCs/>
          <w:sz w:val="20"/>
          <w:szCs w:val="20"/>
          <w:lang w:eastAsia="bg-BG"/>
        </w:rPr>
        <w:tab/>
        <w:t xml:space="preserve">  (млн. лв.)</w:t>
      </w:r>
    </w:p>
    <w:p w:rsidR="00B13128" w:rsidRPr="00C85532" w:rsidRDefault="00B13128" w:rsidP="00B13128">
      <w:pPr>
        <w:ind w:right="-242"/>
        <w:rPr>
          <w:b/>
          <w:bCs/>
          <w:color w:val="0070C0"/>
          <w:sz w:val="6"/>
          <w:szCs w:val="6"/>
          <w:lang w:eastAsia="bg-BG"/>
        </w:rPr>
      </w:pPr>
    </w:p>
    <w:tbl>
      <w:tblPr>
        <w:tblW w:w="8642" w:type="dxa"/>
        <w:jc w:val="center"/>
        <w:tblCellMar>
          <w:left w:w="70" w:type="dxa"/>
          <w:right w:w="70" w:type="dxa"/>
        </w:tblCellMar>
        <w:tblLook w:val="0000" w:firstRow="0" w:lastRow="0" w:firstColumn="0" w:lastColumn="0" w:noHBand="0" w:noVBand="0"/>
      </w:tblPr>
      <w:tblGrid>
        <w:gridCol w:w="4853"/>
        <w:gridCol w:w="1276"/>
        <w:gridCol w:w="1209"/>
        <w:gridCol w:w="1304"/>
      </w:tblGrid>
      <w:tr w:rsidR="002C59E4" w:rsidRPr="002C59E4" w:rsidTr="003F3760">
        <w:trPr>
          <w:trHeight w:val="520"/>
          <w:jc w:val="center"/>
        </w:trPr>
        <w:tc>
          <w:tcPr>
            <w:tcW w:w="4853" w:type="dxa"/>
            <w:tcBorders>
              <w:top w:val="single" w:sz="8" w:space="0" w:color="auto"/>
              <w:left w:val="single" w:sz="8" w:space="0" w:color="auto"/>
              <w:bottom w:val="nil"/>
              <w:right w:val="single" w:sz="8" w:space="0" w:color="auto"/>
            </w:tcBorders>
            <w:shd w:val="clear" w:color="auto" w:fill="auto"/>
            <w:noWrap/>
            <w:vAlign w:val="center"/>
          </w:tcPr>
          <w:p w:rsidR="00B13128" w:rsidRPr="002C59E4" w:rsidRDefault="00B13128" w:rsidP="00B13128">
            <w:pPr>
              <w:jc w:val="center"/>
              <w:rPr>
                <w:b/>
                <w:bCs/>
                <w:sz w:val="18"/>
                <w:szCs w:val="18"/>
              </w:rPr>
            </w:pPr>
            <w:r w:rsidRPr="002C59E4">
              <w:rPr>
                <w:b/>
                <w:bCs/>
                <w:sz w:val="18"/>
                <w:szCs w:val="18"/>
              </w:rPr>
              <w:t>ПОКАЗАТЕЛИ</w:t>
            </w:r>
          </w:p>
        </w:tc>
        <w:tc>
          <w:tcPr>
            <w:tcW w:w="1276" w:type="dxa"/>
            <w:tcBorders>
              <w:top w:val="single" w:sz="8" w:space="0" w:color="auto"/>
              <w:left w:val="nil"/>
              <w:bottom w:val="nil"/>
              <w:right w:val="nil"/>
            </w:tcBorders>
            <w:shd w:val="clear" w:color="auto" w:fill="auto"/>
            <w:vAlign w:val="center"/>
          </w:tcPr>
          <w:p w:rsidR="00B13128" w:rsidRPr="002C59E4" w:rsidRDefault="00B13128" w:rsidP="00B13128">
            <w:pPr>
              <w:jc w:val="center"/>
              <w:rPr>
                <w:b/>
                <w:bCs/>
                <w:sz w:val="18"/>
                <w:szCs w:val="18"/>
              </w:rPr>
            </w:pPr>
            <w:r w:rsidRPr="002C59E4">
              <w:rPr>
                <w:b/>
                <w:bCs/>
                <w:sz w:val="18"/>
                <w:szCs w:val="18"/>
              </w:rPr>
              <w:t>ЗДБРБ     201</w:t>
            </w:r>
            <w:r w:rsidRPr="002C59E4">
              <w:rPr>
                <w:b/>
                <w:bCs/>
                <w:sz w:val="18"/>
                <w:szCs w:val="18"/>
                <w:lang w:val="en-US"/>
              </w:rPr>
              <w:t>9</w:t>
            </w:r>
            <w:r w:rsidRPr="002C59E4">
              <w:rPr>
                <w:b/>
                <w:bCs/>
                <w:sz w:val="18"/>
                <w:szCs w:val="18"/>
              </w:rPr>
              <w:t xml:space="preserve"> г.</w:t>
            </w:r>
            <w:r w:rsidRPr="002C59E4">
              <w:rPr>
                <w:b/>
                <w:bCs/>
                <w:sz w:val="18"/>
                <w:szCs w:val="18"/>
                <w:vertAlign w:val="superscript"/>
              </w:rPr>
              <w:footnoteReference w:id="10"/>
            </w:r>
          </w:p>
        </w:tc>
        <w:tc>
          <w:tcPr>
            <w:tcW w:w="1209" w:type="dxa"/>
            <w:tcBorders>
              <w:top w:val="single" w:sz="8" w:space="0" w:color="auto"/>
              <w:left w:val="nil"/>
              <w:bottom w:val="nil"/>
              <w:right w:val="nil"/>
            </w:tcBorders>
            <w:shd w:val="clear" w:color="auto" w:fill="auto"/>
            <w:vAlign w:val="center"/>
          </w:tcPr>
          <w:p w:rsidR="00B13128" w:rsidRPr="002C59E4" w:rsidRDefault="00B13128" w:rsidP="00B13128">
            <w:pPr>
              <w:jc w:val="center"/>
              <w:rPr>
                <w:b/>
                <w:bCs/>
                <w:sz w:val="18"/>
                <w:szCs w:val="18"/>
              </w:rPr>
            </w:pPr>
            <w:r w:rsidRPr="002C59E4">
              <w:rPr>
                <w:b/>
                <w:bCs/>
                <w:sz w:val="18"/>
                <w:szCs w:val="18"/>
              </w:rPr>
              <w:t xml:space="preserve">Отчет </w:t>
            </w:r>
          </w:p>
          <w:p w:rsidR="00B13128" w:rsidRPr="002C59E4" w:rsidRDefault="00B13128" w:rsidP="00B13128">
            <w:pPr>
              <w:jc w:val="center"/>
              <w:rPr>
                <w:b/>
                <w:bCs/>
                <w:sz w:val="18"/>
                <w:szCs w:val="18"/>
              </w:rPr>
            </w:pPr>
            <w:r w:rsidRPr="002C59E4">
              <w:rPr>
                <w:b/>
                <w:bCs/>
                <w:sz w:val="18"/>
                <w:szCs w:val="18"/>
              </w:rPr>
              <w:t>2019 г.</w:t>
            </w:r>
          </w:p>
        </w:tc>
        <w:tc>
          <w:tcPr>
            <w:tcW w:w="1304" w:type="dxa"/>
            <w:tcBorders>
              <w:top w:val="single" w:sz="8" w:space="0" w:color="auto"/>
              <w:left w:val="nil"/>
              <w:bottom w:val="nil"/>
              <w:right w:val="single" w:sz="8" w:space="0" w:color="auto"/>
            </w:tcBorders>
            <w:shd w:val="clear" w:color="auto" w:fill="auto"/>
            <w:vAlign w:val="center"/>
          </w:tcPr>
          <w:p w:rsidR="00B13128" w:rsidRPr="002C59E4" w:rsidRDefault="00B13128" w:rsidP="00B13128">
            <w:pPr>
              <w:jc w:val="center"/>
              <w:rPr>
                <w:b/>
                <w:bCs/>
                <w:sz w:val="18"/>
                <w:szCs w:val="18"/>
              </w:rPr>
            </w:pPr>
            <w:r w:rsidRPr="002C59E4">
              <w:rPr>
                <w:b/>
                <w:bCs/>
                <w:sz w:val="18"/>
                <w:szCs w:val="18"/>
              </w:rPr>
              <w:t>Изпълнение спрямо    закон 2019 г.</w:t>
            </w:r>
          </w:p>
        </w:tc>
      </w:tr>
      <w:tr w:rsidR="006D7E6D" w:rsidRPr="00C85532" w:rsidTr="003F3760">
        <w:trPr>
          <w:trHeight w:val="92"/>
          <w:jc w:val="center"/>
        </w:trPr>
        <w:tc>
          <w:tcPr>
            <w:tcW w:w="4853" w:type="dxa"/>
            <w:tcBorders>
              <w:top w:val="single" w:sz="4" w:space="0" w:color="auto"/>
              <w:left w:val="single" w:sz="8" w:space="0" w:color="auto"/>
              <w:bottom w:val="single" w:sz="4" w:space="0" w:color="auto"/>
              <w:right w:val="single" w:sz="8" w:space="0" w:color="auto"/>
            </w:tcBorders>
            <w:shd w:val="clear" w:color="auto" w:fill="auto"/>
            <w:noWrap/>
            <w:vAlign w:val="bottom"/>
          </w:tcPr>
          <w:p w:rsidR="006D7E6D" w:rsidRPr="002C59E4" w:rsidRDefault="006D7E6D" w:rsidP="00B13128">
            <w:pPr>
              <w:rPr>
                <w:b/>
                <w:bCs/>
                <w:sz w:val="18"/>
                <w:szCs w:val="18"/>
              </w:rPr>
            </w:pPr>
            <w:r w:rsidRPr="002C59E4">
              <w:rPr>
                <w:b/>
                <w:bCs/>
                <w:sz w:val="18"/>
                <w:szCs w:val="18"/>
              </w:rPr>
              <w:t>Общо приходи,  помощи и дарения</w:t>
            </w:r>
          </w:p>
        </w:tc>
        <w:tc>
          <w:tcPr>
            <w:tcW w:w="1276" w:type="dxa"/>
            <w:tcBorders>
              <w:top w:val="single" w:sz="4" w:space="0" w:color="auto"/>
              <w:left w:val="nil"/>
              <w:bottom w:val="single" w:sz="8" w:space="0" w:color="auto"/>
              <w:right w:val="nil"/>
            </w:tcBorders>
            <w:shd w:val="clear" w:color="auto" w:fill="auto"/>
            <w:noWrap/>
            <w:vAlign w:val="bottom"/>
          </w:tcPr>
          <w:p w:rsidR="006D7E6D" w:rsidRDefault="006D7E6D" w:rsidP="00FB17EB">
            <w:pPr>
              <w:jc w:val="right"/>
              <w:rPr>
                <w:b/>
                <w:bCs/>
                <w:sz w:val="18"/>
                <w:szCs w:val="18"/>
              </w:rPr>
            </w:pPr>
            <w:r>
              <w:rPr>
                <w:b/>
                <w:bCs/>
                <w:sz w:val="18"/>
                <w:szCs w:val="18"/>
              </w:rPr>
              <w:t>25 693,3</w:t>
            </w:r>
          </w:p>
        </w:tc>
        <w:tc>
          <w:tcPr>
            <w:tcW w:w="1209" w:type="dxa"/>
            <w:tcBorders>
              <w:top w:val="single" w:sz="4" w:space="0" w:color="auto"/>
              <w:left w:val="nil"/>
              <w:bottom w:val="single" w:sz="8" w:space="0" w:color="auto"/>
              <w:right w:val="nil"/>
            </w:tcBorders>
            <w:shd w:val="clear" w:color="auto" w:fill="auto"/>
            <w:noWrap/>
            <w:vAlign w:val="bottom"/>
          </w:tcPr>
          <w:p w:rsidR="006D7E6D" w:rsidRDefault="006D7E6D" w:rsidP="00FB17EB">
            <w:pPr>
              <w:jc w:val="right"/>
              <w:rPr>
                <w:b/>
                <w:bCs/>
                <w:sz w:val="18"/>
                <w:szCs w:val="18"/>
              </w:rPr>
            </w:pPr>
            <w:r>
              <w:rPr>
                <w:b/>
                <w:bCs/>
                <w:sz w:val="18"/>
                <w:szCs w:val="18"/>
              </w:rPr>
              <w:t>26 006,6</w:t>
            </w:r>
          </w:p>
        </w:tc>
        <w:tc>
          <w:tcPr>
            <w:tcW w:w="1304" w:type="dxa"/>
            <w:tcBorders>
              <w:top w:val="single" w:sz="4" w:space="0" w:color="auto"/>
              <w:left w:val="nil"/>
              <w:bottom w:val="single" w:sz="8" w:space="0" w:color="auto"/>
              <w:right w:val="single" w:sz="8" w:space="0" w:color="auto"/>
            </w:tcBorders>
            <w:shd w:val="clear" w:color="auto" w:fill="auto"/>
            <w:noWrap/>
            <w:vAlign w:val="bottom"/>
          </w:tcPr>
          <w:p w:rsidR="006D7E6D" w:rsidRDefault="006D7E6D" w:rsidP="00FB17EB">
            <w:pPr>
              <w:jc w:val="right"/>
              <w:rPr>
                <w:b/>
                <w:bCs/>
                <w:sz w:val="18"/>
                <w:szCs w:val="18"/>
              </w:rPr>
            </w:pPr>
            <w:r>
              <w:rPr>
                <w:b/>
                <w:bCs/>
                <w:sz w:val="18"/>
                <w:szCs w:val="18"/>
              </w:rPr>
              <w:t>101,2%</w:t>
            </w:r>
          </w:p>
        </w:tc>
      </w:tr>
      <w:tr w:rsidR="006D7E6D" w:rsidRPr="00C85532" w:rsidTr="003F3760">
        <w:trPr>
          <w:trHeight w:val="80"/>
          <w:jc w:val="center"/>
        </w:trPr>
        <w:tc>
          <w:tcPr>
            <w:tcW w:w="4853" w:type="dxa"/>
            <w:tcBorders>
              <w:top w:val="single" w:sz="4" w:space="0" w:color="auto"/>
              <w:left w:val="single" w:sz="8" w:space="0" w:color="auto"/>
              <w:bottom w:val="nil"/>
              <w:right w:val="single" w:sz="8" w:space="0" w:color="auto"/>
            </w:tcBorders>
            <w:shd w:val="clear" w:color="auto" w:fill="auto"/>
            <w:noWrap/>
            <w:vAlign w:val="bottom"/>
          </w:tcPr>
          <w:p w:rsidR="006D7E6D" w:rsidRPr="002C59E4" w:rsidRDefault="006D7E6D" w:rsidP="00B13128">
            <w:pPr>
              <w:rPr>
                <w:sz w:val="18"/>
                <w:szCs w:val="18"/>
              </w:rPr>
            </w:pPr>
            <w:r w:rsidRPr="002C59E4">
              <w:rPr>
                <w:sz w:val="18"/>
                <w:szCs w:val="18"/>
              </w:rPr>
              <w:t xml:space="preserve">   -Данъчни приходи</w:t>
            </w:r>
          </w:p>
        </w:tc>
        <w:tc>
          <w:tcPr>
            <w:tcW w:w="1276" w:type="dxa"/>
            <w:tcBorders>
              <w:top w:val="single" w:sz="8" w:space="0" w:color="auto"/>
              <w:left w:val="nil"/>
              <w:right w:val="nil"/>
            </w:tcBorders>
            <w:shd w:val="clear" w:color="auto" w:fill="auto"/>
            <w:noWrap/>
            <w:vAlign w:val="bottom"/>
          </w:tcPr>
          <w:p w:rsidR="006D7E6D" w:rsidRDefault="006D7E6D" w:rsidP="00FB17EB">
            <w:pPr>
              <w:jc w:val="right"/>
              <w:rPr>
                <w:sz w:val="18"/>
                <w:szCs w:val="18"/>
              </w:rPr>
            </w:pPr>
            <w:r>
              <w:rPr>
                <w:sz w:val="18"/>
                <w:szCs w:val="18"/>
              </w:rPr>
              <w:t>23 133,2</w:t>
            </w:r>
          </w:p>
        </w:tc>
        <w:tc>
          <w:tcPr>
            <w:tcW w:w="1209" w:type="dxa"/>
            <w:tcBorders>
              <w:top w:val="single" w:sz="8" w:space="0" w:color="auto"/>
              <w:left w:val="nil"/>
              <w:right w:val="nil"/>
            </w:tcBorders>
            <w:shd w:val="clear" w:color="auto" w:fill="auto"/>
            <w:noWrap/>
            <w:vAlign w:val="bottom"/>
          </w:tcPr>
          <w:p w:rsidR="006D7E6D" w:rsidRDefault="006D7E6D" w:rsidP="00FB17EB">
            <w:pPr>
              <w:jc w:val="right"/>
              <w:rPr>
                <w:sz w:val="18"/>
                <w:szCs w:val="18"/>
              </w:rPr>
            </w:pPr>
            <w:r>
              <w:rPr>
                <w:sz w:val="18"/>
                <w:szCs w:val="18"/>
              </w:rPr>
              <w:t>23 692,7</w:t>
            </w:r>
          </w:p>
        </w:tc>
        <w:tc>
          <w:tcPr>
            <w:tcW w:w="1304" w:type="dxa"/>
            <w:tcBorders>
              <w:top w:val="single" w:sz="8" w:space="0" w:color="auto"/>
              <w:left w:val="nil"/>
              <w:right w:val="single" w:sz="8" w:space="0" w:color="auto"/>
            </w:tcBorders>
            <w:shd w:val="clear" w:color="auto" w:fill="auto"/>
            <w:noWrap/>
            <w:vAlign w:val="bottom"/>
          </w:tcPr>
          <w:p w:rsidR="006D7E6D" w:rsidRDefault="006D7E6D" w:rsidP="00FB17EB">
            <w:pPr>
              <w:jc w:val="right"/>
              <w:rPr>
                <w:sz w:val="18"/>
                <w:szCs w:val="18"/>
              </w:rPr>
            </w:pPr>
            <w:r>
              <w:rPr>
                <w:sz w:val="18"/>
                <w:szCs w:val="18"/>
              </w:rPr>
              <w:t>102,4%</w:t>
            </w:r>
          </w:p>
        </w:tc>
      </w:tr>
      <w:tr w:rsidR="006D7E6D" w:rsidRPr="00C85532" w:rsidTr="003F3760">
        <w:trPr>
          <w:trHeight w:val="80"/>
          <w:jc w:val="center"/>
        </w:trPr>
        <w:tc>
          <w:tcPr>
            <w:tcW w:w="4853" w:type="dxa"/>
            <w:tcBorders>
              <w:left w:val="single" w:sz="8" w:space="0" w:color="auto"/>
              <w:right w:val="single" w:sz="8" w:space="0" w:color="auto"/>
            </w:tcBorders>
            <w:shd w:val="clear" w:color="auto" w:fill="auto"/>
            <w:noWrap/>
            <w:vAlign w:val="bottom"/>
          </w:tcPr>
          <w:p w:rsidR="006D7E6D" w:rsidRPr="002C59E4" w:rsidRDefault="006D7E6D" w:rsidP="00B13128">
            <w:pPr>
              <w:rPr>
                <w:sz w:val="18"/>
                <w:szCs w:val="18"/>
              </w:rPr>
            </w:pPr>
            <w:r w:rsidRPr="002C59E4">
              <w:rPr>
                <w:sz w:val="18"/>
                <w:szCs w:val="18"/>
              </w:rPr>
              <w:t xml:space="preserve">       Корпоративни данъци</w:t>
            </w:r>
          </w:p>
        </w:tc>
        <w:tc>
          <w:tcPr>
            <w:tcW w:w="1276" w:type="dxa"/>
            <w:tcBorders>
              <w:left w:val="nil"/>
              <w:bottom w:val="nil"/>
              <w:right w:val="nil"/>
            </w:tcBorders>
            <w:shd w:val="clear" w:color="auto" w:fill="auto"/>
            <w:noWrap/>
            <w:vAlign w:val="bottom"/>
          </w:tcPr>
          <w:p w:rsidR="006D7E6D" w:rsidRPr="008505DC" w:rsidRDefault="006D7E6D" w:rsidP="00FB17EB">
            <w:pPr>
              <w:jc w:val="right"/>
              <w:rPr>
                <w:sz w:val="18"/>
                <w:szCs w:val="18"/>
              </w:rPr>
            </w:pPr>
            <w:r w:rsidRPr="008505DC">
              <w:rPr>
                <w:sz w:val="18"/>
                <w:szCs w:val="18"/>
              </w:rPr>
              <w:t>2 675,9</w:t>
            </w:r>
          </w:p>
        </w:tc>
        <w:tc>
          <w:tcPr>
            <w:tcW w:w="1209" w:type="dxa"/>
            <w:tcBorders>
              <w:left w:val="nil"/>
              <w:bottom w:val="nil"/>
              <w:right w:val="nil"/>
            </w:tcBorders>
            <w:shd w:val="clear" w:color="auto" w:fill="auto"/>
            <w:noWrap/>
            <w:vAlign w:val="bottom"/>
          </w:tcPr>
          <w:p w:rsidR="006D7E6D" w:rsidRPr="00796FDF" w:rsidRDefault="006D7E6D" w:rsidP="00FB17EB">
            <w:pPr>
              <w:jc w:val="right"/>
              <w:rPr>
                <w:sz w:val="18"/>
                <w:szCs w:val="18"/>
                <w:lang w:val="en-US"/>
              </w:rPr>
            </w:pPr>
            <w:r w:rsidRPr="00796FDF">
              <w:rPr>
                <w:sz w:val="18"/>
                <w:szCs w:val="18"/>
                <w:lang w:val="en-US"/>
              </w:rPr>
              <w:t>2 695,2</w:t>
            </w:r>
          </w:p>
        </w:tc>
        <w:tc>
          <w:tcPr>
            <w:tcW w:w="1304" w:type="dxa"/>
            <w:tcBorders>
              <w:left w:val="nil"/>
              <w:bottom w:val="nil"/>
              <w:right w:val="single" w:sz="8" w:space="0" w:color="auto"/>
            </w:tcBorders>
            <w:shd w:val="clear" w:color="auto" w:fill="auto"/>
            <w:noWrap/>
            <w:vAlign w:val="bottom"/>
          </w:tcPr>
          <w:p w:rsidR="006D7E6D" w:rsidRPr="00796FDF" w:rsidRDefault="006D7E6D" w:rsidP="00FB17EB">
            <w:pPr>
              <w:jc w:val="right"/>
              <w:rPr>
                <w:sz w:val="18"/>
                <w:szCs w:val="18"/>
              </w:rPr>
            </w:pPr>
            <w:r w:rsidRPr="00796FDF">
              <w:rPr>
                <w:sz w:val="18"/>
                <w:szCs w:val="18"/>
              </w:rPr>
              <w:t>100,7%</w:t>
            </w:r>
          </w:p>
        </w:tc>
      </w:tr>
      <w:tr w:rsidR="006D7E6D" w:rsidRPr="00C85532" w:rsidTr="003F3760">
        <w:trPr>
          <w:trHeight w:val="165"/>
          <w:jc w:val="center"/>
        </w:trPr>
        <w:tc>
          <w:tcPr>
            <w:tcW w:w="4853" w:type="dxa"/>
            <w:tcBorders>
              <w:left w:val="single" w:sz="8" w:space="0" w:color="auto"/>
              <w:right w:val="single" w:sz="8" w:space="0" w:color="auto"/>
            </w:tcBorders>
            <w:shd w:val="clear" w:color="auto" w:fill="auto"/>
            <w:noWrap/>
            <w:vAlign w:val="bottom"/>
          </w:tcPr>
          <w:p w:rsidR="006D7E6D" w:rsidRPr="002C59E4" w:rsidRDefault="006D7E6D" w:rsidP="00B13128">
            <w:pPr>
              <w:rPr>
                <w:sz w:val="18"/>
                <w:szCs w:val="18"/>
              </w:rPr>
            </w:pPr>
            <w:r w:rsidRPr="002C59E4">
              <w:rPr>
                <w:sz w:val="18"/>
                <w:szCs w:val="18"/>
              </w:rPr>
              <w:t xml:space="preserve">       ДДФЛ</w:t>
            </w:r>
          </w:p>
        </w:tc>
        <w:tc>
          <w:tcPr>
            <w:tcW w:w="1276" w:type="dxa"/>
            <w:tcBorders>
              <w:left w:val="nil"/>
              <w:bottom w:val="nil"/>
              <w:right w:val="nil"/>
            </w:tcBorders>
            <w:shd w:val="clear" w:color="auto" w:fill="auto"/>
            <w:noWrap/>
            <w:vAlign w:val="bottom"/>
          </w:tcPr>
          <w:p w:rsidR="006D7E6D" w:rsidRPr="008505DC" w:rsidRDefault="006D7E6D" w:rsidP="00FB17EB">
            <w:pPr>
              <w:jc w:val="right"/>
              <w:rPr>
                <w:sz w:val="18"/>
                <w:szCs w:val="18"/>
              </w:rPr>
            </w:pPr>
            <w:r w:rsidRPr="008505DC">
              <w:rPr>
                <w:sz w:val="18"/>
                <w:szCs w:val="18"/>
              </w:rPr>
              <w:t>3 861,0</w:t>
            </w:r>
          </w:p>
        </w:tc>
        <w:tc>
          <w:tcPr>
            <w:tcW w:w="1209" w:type="dxa"/>
            <w:tcBorders>
              <w:left w:val="nil"/>
              <w:bottom w:val="nil"/>
              <w:right w:val="nil"/>
            </w:tcBorders>
            <w:shd w:val="clear" w:color="auto" w:fill="auto"/>
            <w:noWrap/>
            <w:vAlign w:val="bottom"/>
          </w:tcPr>
          <w:p w:rsidR="006D7E6D" w:rsidRPr="00023BD6" w:rsidRDefault="006D7E6D" w:rsidP="00FB17EB">
            <w:pPr>
              <w:jc w:val="right"/>
              <w:rPr>
                <w:sz w:val="18"/>
                <w:szCs w:val="18"/>
              </w:rPr>
            </w:pPr>
            <w:r w:rsidRPr="00023BD6">
              <w:rPr>
                <w:sz w:val="18"/>
                <w:szCs w:val="18"/>
              </w:rPr>
              <w:t>3 998,9</w:t>
            </w:r>
          </w:p>
        </w:tc>
        <w:tc>
          <w:tcPr>
            <w:tcW w:w="1304" w:type="dxa"/>
            <w:tcBorders>
              <w:left w:val="nil"/>
              <w:bottom w:val="nil"/>
              <w:right w:val="single" w:sz="8" w:space="0" w:color="auto"/>
            </w:tcBorders>
            <w:shd w:val="clear" w:color="auto" w:fill="auto"/>
            <w:noWrap/>
            <w:vAlign w:val="bottom"/>
          </w:tcPr>
          <w:p w:rsidR="006D7E6D" w:rsidRPr="00023BD6" w:rsidRDefault="006D7E6D" w:rsidP="00FB17EB">
            <w:pPr>
              <w:jc w:val="right"/>
              <w:rPr>
                <w:sz w:val="18"/>
                <w:szCs w:val="18"/>
              </w:rPr>
            </w:pPr>
            <w:r w:rsidRPr="00023BD6">
              <w:rPr>
                <w:sz w:val="18"/>
                <w:szCs w:val="18"/>
              </w:rPr>
              <w:t>103,6%</w:t>
            </w:r>
          </w:p>
        </w:tc>
      </w:tr>
      <w:tr w:rsidR="006D7E6D" w:rsidRPr="00C85532" w:rsidTr="003F3760">
        <w:trPr>
          <w:trHeight w:val="165"/>
          <w:jc w:val="center"/>
        </w:trPr>
        <w:tc>
          <w:tcPr>
            <w:tcW w:w="4853" w:type="dxa"/>
            <w:tcBorders>
              <w:left w:val="single" w:sz="8" w:space="0" w:color="auto"/>
              <w:right w:val="single" w:sz="8" w:space="0" w:color="auto"/>
            </w:tcBorders>
            <w:shd w:val="clear" w:color="auto" w:fill="auto"/>
            <w:noWrap/>
            <w:vAlign w:val="bottom"/>
          </w:tcPr>
          <w:p w:rsidR="006D7E6D" w:rsidRPr="002C59E4" w:rsidRDefault="006D7E6D" w:rsidP="00B13128">
            <w:pPr>
              <w:rPr>
                <w:sz w:val="18"/>
                <w:szCs w:val="18"/>
              </w:rPr>
            </w:pPr>
            <w:r w:rsidRPr="002C59E4">
              <w:rPr>
                <w:sz w:val="18"/>
                <w:szCs w:val="18"/>
              </w:rPr>
              <w:t xml:space="preserve">       ДДС</w:t>
            </w:r>
          </w:p>
        </w:tc>
        <w:tc>
          <w:tcPr>
            <w:tcW w:w="1276" w:type="dxa"/>
            <w:tcBorders>
              <w:left w:val="nil"/>
              <w:bottom w:val="nil"/>
              <w:right w:val="nil"/>
            </w:tcBorders>
            <w:shd w:val="clear" w:color="auto" w:fill="auto"/>
            <w:noWrap/>
            <w:vAlign w:val="bottom"/>
          </w:tcPr>
          <w:p w:rsidR="006D7E6D" w:rsidRPr="008505DC" w:rsidRDefault="006D7E6D" w:rsidP="00FB17EB">
            <w:pPr>
              <w:jc w:val="right"/>
              <w:rPr>
                <w:sz w:val="18"/>
                <w:szCs w:val="18"/>
              </w:rPr>
            </w:pPr>
            <w:r w:rsidRPr="008505DC">
              <w:rPr>
                <w:sz w:val="18"/>
                <w:szCs w:val="18"/>
              </w:rPr>
              <w:t>10 830,0</w:t>
            </w:r>
          </w:p>
        </w:tc>
        <w:tc>
          <w:tcPr>
            <w:tcW w:w="1209" w:type="dxa"/>
            <w:tcBorders>
              <w:left w:val="nil"/>
              <w:bottom w:val="nil"/>
              <w:right w:val="nil"/>
            </w:tcBorders>
            <w:shd w:val="clear" w:color="auto" w:fill="auto"/>
            <w:noWrap/>
            <w:vAlign w:val="bottom"/>
          </w:tcPr>
          <w:p w:rsidR="006D7E6D" w:rsidRPr="001D47FA" w:rsidRDefault="006D7E6D" w:rsidP="00FB17EB">
            <w:pPr>
              <w:jc w:val="right"/>
              <w:rPr>
                <w:sz w:val="18"/>
                <w:szCs w:val="18"/>
              </w:rPr>
            </w:pPr>
            <w:r w:rsidRPr="001D47FA">
              <w:rPr>
                <w:sz w:val="18"/>
                <w:szCs w:val="18"/>
              </w:rPr>
              <w:t>11 086,1</w:t>
            </w:r>
          </w:p>
        </w:tc>
        <w:tc>
          <w:tcPr>
            <w:tcW w:w="1304" w:type="dxa"/>
            <w:tcBorders>
              <w:left w:val="nil"/>
              <w:bottom w:val="nil"/>
              <w:right w:val="single" w:sz="8" w:space="0" w:color="auto"/>
            </w:tcBorders>
            <w:shd w:val="clear" w:color="auto" w:fill="auto"/>
            <w:noWrap/>
            <w:vAlign w:val="bottom"/>
          </w:tcPr>
          <w:p w:rsidR="006D7E6D" w:rsidRPr="001D47FA" w:rsidRDefault="006D7E6D" w:rsidP="00FB17EB">
            <w:pPr>
              <w:jc w:val="right"/>
              <w:rPr>
                <w:sz w:val="18"/>
                <w:szCs w:val="18"/>
              </w:rPr>
            </w:pPr>
            <w:r w:rsidRPr="001D47FA">
              <w:rPr>
                <w:sz w:val="18"/>
                <w:szCs w:val="18"/>
              </w:rPr>
              <w:t>102,4%</w:t>
            </w:r>
          </w:p>
        </w:tc>
      </w:tr>
      <w:tr w:rsidR="006D7E6D" w:rsidRPr="00C85532" w:rsidTr="003F3760">
        <w:trPr>
          <w:trHeight w:val="165"/>
          <w:jc w:val="center"/>
        </w:trPr>
        <w:tc>
          <w:tcPr>
            <w:tcW w:w="4853" w:type="dxa"/>
            <w:tcBorders>
              <w:left w:val="single" w:sz="8" w:space="0" w:color="auto"/>
              <w:right w:val="single" w:sz="8" w:space="0" w:color="auto"/>
            </w:tcBorders>
            <w:shd w:val="clear" w:color="auto" w:fill="auto"/>
            <w:noWrap/>
            <w:vAlign w:val="bottom"/>
          </w:tcPr>
          <w:p w:rsidR="006D7E6D" w:rsidRPr="002C59E4" w:rsidRDefault="006D7E6D" w:rsidP="00B13128">
            <w:pPr>
              <w:rPr>
                <w:sz w:val="18"/>
                <w:szCs w:val="18"/>
              </w:rPr>
            </w:pPr>
            <w:r w:rsidRPr="002C59E4">
              <w:rPr>
                <w:sz w:val="18"/>
                <w:szCs w:val="18"/>
              </w:rPr>
              <w:t xml:space="preserve">       Акцизи </w:t>
            </w:r>
          </w:p>
        </w:tc>
        <w:tc>
          <w:tcPr>
            <w:tcW w:w="1276" w:type="dxa"/>
            <w:tcBorders>
              <w:left w:val="nil"/>
              <w:bottom w:val="nil"/>
              <w:right w:val="nil"/>
            </w:tcBorders>
            <w:shd w:val="clear" w:color="auto" w:fill="auto"/>
            <w:noWrap/>
            <w:vAlign w:val="bottom"/>
          </w:tcPr>
          <w:p w:rsidR="006D7E6D" w:rsidRPr="008505DC" w:rsidRDefault="006D7E6D" w:rsidP="00FB17EB">
            <w:pPr>
              <w:jc w:val="right"/>
              <w:rPr>
                <w:sz w:val="18"/>
                <w:szCs w:val="18"/>
              </w:rPr>
            </w:pPr>
            <w:r w:rsidRPr="008505DC">
              <w:rPr>
                <w:sz w:val="18"/>
                <w:szCs w:val="18"/>
              </w:rPr>
              <w:t>5 330,7</w:t>
            </w:r>
          </w:p>
        </w:tc>
        <w:tc>
          <w:tcPr>
            <w:tcW w:w="1209" w:type="dxa"/>
            <w:tcBorders>
              <w:left w:val="nil"/>
              <w:bottom w:val="nil"/>
              <w:right w:val="nil"/>
            </w:tcBorders>
            <w:shd w:val="clear" w:color="auto" w:fill="auto"/>
            <w:noWrap/>
            <w:vAlign w:val="bottom"/>
          </w:tcPr>
          <w:p w:rsidR="006D7E6D" w:rsidRPr="001D47FA" w:rsidRDefault="006D7E6D" w:rsidP="00FB17EB">
            <w:pPr>
              <w:jc w:val="right"/>
              <w:rPr>
                <w:sz w:val="18"/>
                <w:szCs w:val="18"/>
                <w:lang w:val="en-US"/>
              </w:rPr>
            </w:pPr>
            <w:r w:rsidRPr="001D47FA">
              <w:rPr>
                <w:sz w:val="18"/>
                <w:szCs w:val="18"/>
                <w:lang w:val="en-US"/>
              </w:rPr>
              <w:t>5 486,0</w:t>
            </w:r>
          </w:p>
        </w:tc>
        <w:tc>
          <w:tcPr>
            <w:tcW w:w="1304" w:type="dxa"/>
            <w:tcBorders>
              <w:left w:val="nil"/>
              <w:bottom w:val="nil"/>
              <w:right w:val="single" w:sz="8" w:space="0" w:color="auto"/>
            </w:tcBorders>
            <w:shd w:val="clear" w:color="auto" w:fill="auto"/>
            <w:noWrap/>
            <w:vAlign w:val="bottom"/>
          </w:tcPr>
          <w:p w:rsidR="006D7E6D" w:rsidRPr="001D47FA" w:rsidRDefault="006D7E6D" w:rsidP="00FB17EB">
            <w:pPr>
              <w:jc w:val="right"/>
              <w:rPr>
                <w:sz w:val="18"/>
                <w:szCs w:val="18"/>
                <w:lang w:val="en-US"/>
              </w:rPr>
            </w:pPr>
            <w:r w:rsidRPr="001D47FA">
              <w:rPr>
                <w:sz w:val="18"/>
                <w:szCs w:val="18"/>
                <w:lang w:val="en-US"/>
              </w:rPr>
              <w:t>102,9%</w:t>
            </w:r>
          </w:p>
        </w:tc>
      </w:tr>
      <w:tr w:rsidR="006D7E6D" w:rsidRPr="00C85532" w:rsidTr="003F3760">
        <w:trPr>
          <w:trHeight w:val="165"/>
          <w:jc w:val="center"/>
        </w:trPr>
        <w:tc>
          <w:tcPr>
            <w:tcW w:w="4853" w:type="dxa"/>
            <w:tcBorders>
              <w:left w:val="single" w:sz="8" w:space="0" w:color="auto"/>
              <w:right w:val="single" w:sz="8" w:space="0" w:color="auto"/>
            </w:tcBorders>
            <w:shd w:val="clear" w:color="auto" w:fill="auto"/>
            <w:noWrap/>
            <w:vAlign w:val="bottom"/>
          </w:tcPr>
          <w:p w:rsidR="006D7E6D" w:rsidRPr="002C59E4" w:rsidRDefault="006D7E6D" w:rsidP="00B13128">
            <w:pPr>
              <w:rPr>
                <w:sz w:val="18"/>
                <w:szCs w:val="18"/>
              </w:rPr>
            </w:pPr>
            <w:r w:rsidRPr="002C59E4">
              <w:rPr>
                <w:sz w:val="18"/>
                <w:szCs w:val="18"/>
              </w:rPr>
              <w:t xml:space="preserve">       Данък в/у застрахователните премии</w:t>
            </w:r>
          </w:p>
        </w:tc>
        <w:tc>
          <w:tcPr>
            <w:tcW w:w="1276" w:type="dxa"/>
            <w:tcBorders>
              <w:left w:val="nil"/>
              <w:bottom w:val="nil"/>
              <w:right w:val="nil"/>
            </w:tcBorders>
            <w:shd w:val="clear" w:color="auto" w:fill="auto"/>
            <w:noWrap/>
            <w:vAlign w:val="bottom"/>
          </w:tcPr>
          <w:p w:rsidR="006D7E6D" w:rsidRPr="008505DC" w:rsidRDefault="006D7E6D" w:rsidP="00FB17EB">
            <w:pPr>
              <w:jc w:val="right"/>
              <w:rPr>
                <w:sz w:val="18"/>
                <w:szCs w:val="18"/>
              </w:rPr>
            </w:pPr>
            <w:r w:rsidRPr="008505DC">
              <w:rPr>
                <w:sz w:val="18"/>
                <w:szCs w:val="18"/>
              </w:rPr>
              <w:t>39,7</w:t>
            </w:r>
          </w:p>
        </w:tc>
        <w:tc>
          <w:tcPr>
            <w:tcW w:w="1209" w:type="dxa"/>
            <w:tcBorders>
              <w:left w:val="nil"/>
              <w:bottom w:val="nil"/>
              <w:right w:val="nil"/>
            </w:tcBorders>
            <w:shd w:val="clear" w:color="auto" w:fill="auto"/>
            <w:noWrap/>
            <w:vAlign w:val="bottom"/>
          </w:tcPr>
          <w:p w:rsidR="006D7E6D" w:rsidRPr="007E7A66" w:rsidRDefault="006D7E6D" w:rsidP="00FB17EB">
            <w:pPr>
              <w:jc w:val="right"/>
              <w:rPr>
                <w:sz w:val="18"/>
                <w:szCs w:val="18"/>
              </w:rPr>
            </w:pPr>
            <w:r w:rsidRPr="007E7A66">
              <w:rPr>
                <w:sz w:val="18"/>
                <w:szCs w:val="18"/>
                <w:lang w:val="en-US"/>
              </w:rPr>
              <w:t>44,7</w:t>
            </w:r>
          </w:p>
        </w:tc>
        <w:tc>
          <w:tcPr>
            <w:tcW w:w="1304" w:type="dxa"/>
            <w:tcBorders>
              <w:left w:val="nil"/>
              <w:bottom w:val="nil"/>
              <w:right w:val="single" w:sz="8" w:space="0" w:color="auto"/>
            </w:tcBorders>
            <w:shd w:val="clear" w:color="auto" w:fill="auto"/>
            <w:noWrap/>
            <w:vAlign w:val="bottom"/>
          </w:tcPr>
          <w:p w:rsidR="006D7E6D" w:rsidRPr="007E7A66" w:rsidRDefault="006D7E6D" w:rsidP="00FB17EB">
            <w:pPr>
              <w:jc w:val="right"/>
              <w:rPr>
                <w:sz w:val="18"/>
                <w:szCs w:val="18"/>
                <w:lang w:val="en-US"/>
              </w:rPr>
            </w:pPr>
            <w:r w:rsidRPr="007E7A66">
              <w:rPr>
                <w:sz w:val="18"/>
                <w:szCs w:val="18"/>
                <w:lang w:val="en-US"/>
              </w:rPr>
              <w:t>112,7%</w:t>
            </w:r>
          </w:p>
        </w:tc>
      </w:tr>
      <w:tr w:rsidR="006D7E6D" w:rsidRPr="00C85532" w:rsidTr="003F3760">
        <w:trPr>
          <w:trHeight w:val="165"/>
          <w:jc w:val="center"/>
        </w:trPr>
        <w:tc>
          <w:tcPr>
            <w:tcW w:w="4853" w:type="dxa"/>
            <w:tcBorders>
              <w:left w:val="single" w:sz="8" w:space="0" w:color="auto"/>
              <w:right w:val="single" w:sz="8" w:space="0" w:color="auto"/>
            </w:tcBorders>
            <w:shd w:val="clear" w:color="auto" w:fill="auto"/>
            <w:noWrap/>
            <w:vAlign w:val="bottom"/>
          </w:tcPr>
          <w:p w:rsidR="006D7E6D" w:rsidRPr="002C59E4" w:rsidRDefault="006D7E6D" w:rsidP="00B13128">
            <w:pPr>
              <w:rPr>
                <w:sz w:val="18"/>
                <w:szCs w:val="18"/>
              </w:rPr>
            </w:pPr>
            <w:r w:rsidRPr="002C59E4">
              <w:rPr>
                <w:sz w:val="18"/>
                <w:szCs w:val="18"/>
              </w:rPr>
              <w:t xml:space="preserve">       Мита и митнически такси</w:t>
            </w:r>
          </w:p>
        </w:tc>
        <w:tc>
          <w:tcPr>
            <w:tcW w:w="1276" w:type="dxa"/>
            <w:tcBorders>
              <w:left w:val="nil"/>
              <w:bottom w:val="nil"/>
              <w:right w:val="nil"/>
            </w:tcBorders>
            <w:shd w:val="clear" w:color="auto" w:fill="auto"/>
            <w:noWrap/>
            <w:vAlign w:val="bottom"/>
          </w:tcPr>
          <w:p w:rsidR="006D7E6D" w:rsidRPr="008505DC" w:rsidRDefault="006D7E6D" w:rsidP="00FB17EB">
            <w:pPr>
              <w:jc w:val="right"/>
              <w:rPr>
                <w:sz w:val="18"/>
                <w:szCs w:val="18"/>
              </w:rPr>
            </w:pPr>
            <w:r w:rsidRPr="008505DC">
              <w:rPr>
                <w:sz w:val="18"/>
                <w:szCs w:val="18"/>
              </w:rPr>
              <w:t>236,9</w:t>
            </w:r>
          </w:p>
        </w:tc>
        <w:tc>
          <w:tcPr>
            <w:tcW w:w="1209" w:type="dxa"/>
            <w:tcBorders>
              <w:left w:val="nil"/>
              <w:bottom w:val="nil"/>
              <w:right w:val="nil"/>
            </w:tcBorders>
            <w:shd w:val="clear" w:color="auto" w:fill="auto"/>
            <w:noWrap/>
            <w:vAlign w:val="bottom"/>
          </w:tcPr>
          <w:p w:rsidR="006D7E6D" w:rsidRPr="007E7A66" w:rsidRDefault="006D7E6D" w:rsidP="00FB17EB">
            <w:pPr>
              <w:jc w:val="right"/>
              <w:rPr>
                <w:sz w:val="18"/>
                <w:szCs w:val="18"/>
              </w:rPr>
            </w:pPr>
            <w:r w:rsidRPr="007E7A66">
              <w:rPr>
                <w:sz w:val="18"/>
                <w:szCs w:val="18"/>
              </w:rPr>
              <w:t>230,9</w:t>
            </w:r>
          </w:p>
        </w:tc>
        <w:tc>
          <w:tcPr>
            <w:tcW w:w="1304" w:type="dxa"/>
            <w:tcBorders>
              <w:left w:val="nil"/>
              <w:bottom w:val="nil"/>
              <w:right w:val="single" w:sz="8" w:space="0" w:color="auto"/>
            </w:tcBorders>
            <w:shd w:val="clear" w:color="auto" w:fill="auto"/>
            <w:noWrap/>
            <w:vAlign w:val="bottom"/>
          </w:tcPr>
          <w:p w:rsidR="006D7E6D" w:rsidRPr="007E7A66" w:rsidRDefault="006D7E6D" w:rsidP="00FB17EB">
            <w:pPr>
              <w:jc w:val="right"/>
              <w:rPr>
                <w:sz w:val="18"/>
                <w:szCs w:val="18"/>
                <w:lang w:val="en-US"/>
              </w:rPr>
            </w:pPr>
            <w:r w:rsidRPr="007E7A66">
              <w:rPr>
                <w:sz w:val="18"/>
                <w:szCs w:val="18"/>
              </w:rPr>
              <w:t>97,5%</w:t>
            </w:r>
          </w:p>
        </w:tc>
      </w:tr>
      <w:tr w:rsidR="006D7E6D" w:rsidRPr="00C85532" w:rsidTr="003F3760">
        <w:trPr>
          <w:trHeight w:val="165"/>
          <w:jc w:val="center"/>
        </w:trPr>
        <w:tc>
          <w:tcPr>
            <w:tcW w:w="4853" w:type="dxa"/>
            <w:tcBorders>
              <w:left w:val="single" w:sz="8" w:space="0" w:color="auto"/>
              <w:right w:val="single" w:sz="8" w:space="0" w:color="auto"/>
            </w:tcBorders>
            <w:shd w:val="clear" w:color="auto" w:fill="auto"/>
            <w:noWrap/>
            <w:vAlign w:val="bottom"/>
          </w:tcPr>
          <w:p w:rsidR="006D7E6D" w:rsidRPr="002C59E4" w:rsidRDefault="006D7E6D" w:rsidP="00B13128">
            <w:pPr>
              <w:rPr>
                <w:sz w:val="18"/>
                <w:szCs w:val="18"/>
              </w:rPr>
            </w:pPr>
            <w:r w:rsidRPr="002C59E4">
              <w:rPr>
                <w:sz w:val="18"/>
                <w:szCs w:val="18"/>
              </w:rPr>
              <w:t xml:space="preserve">       Други данъци</w:t>
            </w:r>
          </w:p>
        </w:tc>
        <w:tc>
          <w:tcPr>
            <w:tcW w:w="1276" w:type="dxa"/>
            <w:tcBorders>
              <w:left w:val="nil"/>
              <w:bottom w:val="nil"/>
              <w:right w:val="nil"/>
            </w:tcBorders>
            <w:shd w:val="clear" w:color="auto" w:fill="auto"/>
            <w:noWrap/>
            <w:vAlign w:val="bottom"/>
          </w:tcPr>
          <w:p w:rsidR="006D7E6D" w:rsidRDefault="006D7E6D" w:rsidP="00FB17EB">
            <w:pPr>
              <w:jc w:val="right"/>
              <w:rPr>
                <w:sz w:val="18"/>
                <w:szCs w:val="18"/>
              </w:rPr>
            </w:pPr>
            <w:r>
              <w:rPr>
                <w:sz w:val="18"/>
                <w:szCs w:val="18"/>
              </w:rPr>
              <w:t>159,0</w:t>
            </w:r>
          </w:p>
        </w:tc>
        <w:tc>
          <w:tcPr>
            <w:tcW w:w="1209" w:type="dxa"/>
            <w:tcBorders>
              <w:left w:val="nil"/>
              <w:bottom w:val="nil"/>
              <w:right w:val="nil"/>
            </w:tcBorders>
            <w:shd w:val="clear" w:color="auto" w:fill="auto"/>
            <w:noWrap/>
            <w:vAlign w:val="bottom"/>
          </w:tcPr>
          <w:p w:rsidR="006D7E6D" w:rsidRDefault="006D7E6D" w:rsidP="00FB17EB">
            <w:pPr>
              <w:jc w:val="right"/>
              <w:rPr>
                <w:sz w:val="18"/>
                <w:szCs w:val="18"/>
              </w:rPr>
            </w:pPr>
            <w:r>
              <w:rPr>
                <w:sz w:val="18"/>
                <w:szCs w:val="18"/>
              </w:rPr>
              <w:t>150,9</w:t>
            </w:r>
          </w:p>
        </w:tc>
        <w:tc>
          <w:tcPr>
            <w:tcW w:w="1304" w:type="dxa"/>
            <w:tcBorders>
              <w:left w:val="nil"/>
              <w:bottom w:val="nil"/>
              <w:right w:val="single" w:sz="8" w:space="0" w:color="auto"/>
            </w:tcBorders>
            <w:shd w:val="clear" w:color="auto" w:fill="auto"/>
            <w:noWrap/>
            <w:vAlign w:val="bottom"/>
          </w:tcPr>
          <w:p w:rsidR="006D7E6D" w:rsidRDefault="006D7E6D" w:rsidP="00FB17EB">
            <w:pPr>
              <w:jc w:val="right"/>
              <w:rPr>
                <w:sz w:val="18"/>
                <w:szCs w:val="18"/>
              </w:rPr>
            </w:pPr>
            <w:r>
              <w:rPr>
                <w:sz w:val="18"/>
                <w:szCs w:val="18"/>
              </w:rPr>
              <w:t>94,9%</w:t>
            </w:r>
          </w:p>
        </w:tc>
      </w:tr>
      <w:tr w:rsidR="006D7E6D" w:rsidRPr="00C85532" w:rsidTr="003F3760">
        <w:trPr>
          <w:trHeight w:val="165"/>
          <w:jc w:val="center"/>
        </w:trPr>
        <w:tc>
          <w:tcPr>
            <w:tcW w:w="4853" w:type="dxa"/>
            <w:tcBorders>
              <w:left w:val="single" w:sz="8" w:space="0" w:color="auto"/>
              <w:right w:val="single" w:sz="8" w:space="0" w:color="auto"/>
            </w:tcBorders>
            <w:shd w:val="clear" w:color="auto" w:fill="auto"/>
            <w:noWrap/>
            <w:vAlign w:val="bottom"/>
          </w:tcPr>
          <w:p w:rsidR="006D7E6D" w:rsidRPr="002C59E4" w:rsidRDefault="006D7E6D" w:rsidP="00B13128">
            <w:pPr>
              <w:rPr>
                <w:sz w:val="18"/>
                <w:szCs w:val="18"/>
              </w:rPr>
            </w:pPr>
            <w:r w:rsidRPr="002C59E4">
              <w:rPr>
                <w:sz w:val="18"/>
                <w:szCs w:val="18"/>
              </w:rPr>
              <w:t xml:space="preserve">   -Неданъчни приходи</w:t>
            </w:r>
          </w:p>
        </w:tc>
        <w:tc>
          <w:tcPr>
            <w:tcW w:w="1276" w:type="dxa"/>
            <w:tcBorders>
              <w:left w:val="nil"/>
              <w:bottom w:val="nil"/>
              <w:right w:val="nil"/>
            </w:tcBorders>
            <w:shd w:val="clear" w:color="auto" w:fill="auto"/>
            <w:noWrap/>
            <w:vAlign w:val="bottom"/>
          </w:tcPr>
          <w:p w:rsidR="006D7E6D" w:rsidRDefault="006D7E6D" w:rsidP="00FB17EB">
            <w:pPr>
              <w:jc w:val="right"/>
              <w:rPr>
                <w:sz w:val="18"/>
                <w:szCs w:val="18"/>
              </w:rPr>
            </w:pPr>
            <w:r>
              <w:rPr>
                <w:sz w:val="18"/>
                <w:szCs w:val="18"/>
              </w:rPr>
              <w:t>2 560,1</w:t>
            </w:r>
          </w:p>
        </w:tc>
        <w:tc>
          <w:tcPr>
            <w:tcW w:w="1209" w:type="dxa"/>
            <w:tcBorders>
              <w:left w:val="nil"/>
              <w:bottom w:val="nil"/>
              <w:right w:val="nil"/>
            </w:tcBorders>
            <w:shd w:val="clear" w:color="auto" w:fill="auto"/>
            <w:noWrap/>
            <w:vAlign w:val="bottom"/>
          </w:tcPr>
          <w:p w:rsidR="006D7E6D" w:rsidRDefault="006D7E6D" w:rsidP="00FB17EB">
            <w:pPr>
              <w:jc w:val="right"/>
              <w:rPr>
                <w:sz w:val="18"/>
                <w:szCs w:val="18"/>
              </w:rPr>
            </w:pPr>
            <w:r>
              <w:rPr>
                <w:sz w:val="18"/>
                <w:szCs w:val="18"/>
              </w:rPr>
              <w:t>2 218,1</w:t>
            </w:r>
          </w:p>
        </w:tc>
        <w:tc>
          <w:tcPr>
            <w:tcW w:w="1304" w:type="dxa"/>
            <w:tcBorders>
              <w:left w:val="nil"/>
              <w:bottom w:val="nil"/>
              <w:right w:val="single" w:sz="8" w:space="0" w:color="auto"/>
            </w:tcBorders>
            <w:shd w:val="clear" w:color="auto" w:fill="auto"/>
            <w:noWrap/>
            <w:vAlign w:val="bottom"/>
          </w:tcPr>
          <w:p w:rsidR="006D7E6D" w:rsidRDefault="006D7E6D" w:rsidP="00FB17EB">
            <w:pPr>
              <w:jc w:val="right"/>
              <w:rPr>
                <w:sz w:val="18"/>
                <w:szCs w:val="18"/>
              </w:rPr>
            </w:pPr>
            <w:r>
              <w:rPr>
                <w:sz w:val="18"/>
                <w:szCs w:val="18"/>
              </w:rPr>
              <w:t>86,6%</w:t>
            </w:r>
          </w:p>
        </w:tc>
      </w:tr>
      <w:tr w:rsidR="006D7E6D" w:rsidRPr="00C85532" w:rsidTr="003F3760">
        <w:trPr>
          <w:trHeight w:val="165"/>
          <w:jc w:val="center"/>
        </w:trPr>
        <w:tc>
          <w:tcPr>
            <w:tcW w:w="4853" w:type="dxa"/>
            <w:tcBorders>
              <w:left w:val="single" w:sz="8" w:space="0" w:color="auto"/>
              <w:right w:val="single" w:sz="8" w:space="0" w:color="auto"/>
            </w:tcBorders>
            <w:shd w:val="clear" w:color="auto" w:fill="auto"/>
            <w:noWrap/>
            <w:vAlign w:val="bottom"/>
          </w:tcPr>
          <w:p w:rsidR="006D7E6D" w:rsidRPr="002C59E4" w:rsidRDefault="006D7E6D" w:rsidP="00B13128">
            <w:pPr>
              <w:rPr>
                <w:sz w:val="18"/>
                <w:szCs w:val="18"/>
              </w:rPr>
            </w:pPr>
            <w:r w:rsidRPr="002C59E4">
              <w:rPr>
                <w:sz w:val="18"/>
                <w:szCs w:val="18"/>
              </w:rPr>
              <w:t xml:space="preserve">   -Помощи и дарения</w:t>
            </w:r>
          </w:p>
        </w:tc>
        <w:tc>
          <w:tcPr>
            <w:tcW w:w="1276" w:type="dxa"/>
            <w:tcBorders>
              <w:left w:val="nil"/>
              <w:bottom w:val="nil"/>
              <w:right w:val="nil"/>
            </w:tcBorders>
            <w:shd w:val="clear" w:color="auto" w:fill="auto"/>
            <w:noWrap/>
            <w:vAlign w:val="bottom"/>
          </w:tcPr>
          <w:p w:rsidR="006D7E6D" w:rsidRDefault="006D7E6D" w:rsidP="00FB17EB">
            <w:pPr>
              <w:jc w:val="right"/>
              <w:rPr>
                <w:sz w:val="18"/>
                <w:szCs w:val="18"/>
              </w:rPr>
            </w:pPr>
            <w:r>
              <w:rPr>
                <w:sz w:val="18"/>
                <w:szCs w:val="18"/>
              </w:rPr>
              <w:t>0,</w:t>
            </w:r>
            <w:proofErr w:type="spellStart"/>
            <w:r>
              <w:rPr>
                <w:sz w:val="18"/>
                <w:szCs w:val="18"/>
              </w:rPr>
              <w:t>0</w:t>
            </w:r>
            <w:proofErr w:type="spellEnd"/>
          </w:p>
        </w:tc>
        <w:tc>
          <w:tcPr>
            <w:tcW w:w="1209" w:type="dxa"/>
            <w:tcBorders>
              <w:left w:val="nil"/>
              <w:bottom w:val="nil"/>
              <w:right w:val="nil"/>
            </w:tcBorders>
            <w:shd w:val="clear" w:color="auto" w:fill="auto"/>
            <w:noWrap/>
            <w:vAlign w:val="bottom"/>
          </w:tcPr>
          <w:p w:rsidR="006D7E6D" w:rsidRDefault="006D7E6D" w:rsidP="00FB17EB">
            <w:pPr>
              <w:jc w:val="right"/>
              <w:rPr>
                <w:sz w:val="18"/>
                <w:szCs w:val="18"/>
              </w:rPr>
            </w:pPr>
            <w:r>
              <w:rPr>
                <w:sz w:val="18"/>
                <w:szCs w:val="18"/>
              </w:rPr>
              <w:t>95,8</w:t>
            </w:r>
          </w:p>
        </w:tc>
        <w:tc>
          <w:tcPr>
            <w:tcW w:w="1304" w:type="dxa"/>
            <w:tcBorders>
              <w:left w:val="nil"/>
              <w:bottom w:val="nil"/>
              <w:right w:val="single" w:sz="8" w:space="0" w:color="auto"/>
            </w:tcBorders>
            <w:shd w:val="clear" w:color="auto" w:fill="auto"/>
            <w:noWrap/>
            <w:vAlign w:val="bottom"/>
          </w:tcPr>
          <w:p w:rsidR="006D7E6D" w:rsidRPr="0016035E" w:rsidRDefault="006D7E6D" w:rsidP="00FB17EB">
            <w:pPr>
              <w:jc w:val="center"/>
              <w:rPr>
                <w:color w:val="0070C0"/>
                <w:sz w:val="18"/>
                <w:szCs w:val="18"/>
              </w:rPr>
            </w:pPr>
          </w:p>
        </w:tc>
      </w:tr>
      <w:tr w:rsidR="006D7E6D" w:rsidRPr="00C85532" w:rsidTr="003F3760">
        <w:trPr>
          <w:trHeight w:val="199"/>
          <w:jc w:val="center"/>
        </w:trPr>
        <w:tc>
          <w:tcPr>
            <w:tcW w:w="4853" w:type="dxa"/>
            <w:tcBorders>
              <w:top w:val="single" w:sz="4" w:space="0" w:color="auto"/>
              <w:left w:val="single" w:sz="4" w:space="0" w:color="auto"/>
              <w:bottom w:val="nil"/>
              <w:right w:val="single" w:sz="4" w:space="0" w:color="auto"/>
            </w:tcBorders>
            <w:shd w:val="clear" w:color="auto" w:fill="auto"/>
            <w:noWrap/>
            <w:vAlign w:val="bottom"/>
          </w:tcPr>
          <w:p w:rsidR="006D7E6D" w:rsidRPr="002C59E4" w:rsidRDefault="006D7E6D" w:rsidP="00B13128">
            <w:pPr>
              <w:rPr>
                <w:b/>
                <w:bCs/>
                <w:sz w:val="18"/>
                <w:szCs w:val="18"/>
              </w:rPr>
            </w:pPr>
            <w:r w:rsidRPr="002C59E4">
              <w:rPr>
                <w:b/>
                <w:bCs/>
                <w:sz w:val="18"/>
                <w:szCs w:val="18"/>
              </w:rPr>
              <w:t xml:space="preserve"> Разходи,трансфери и вноска в бюджета на ЕС</w:t>
            </w:r>
          </w:p>
        </w:tc>
        <w:tc>
          <w:tcPr>
            <w:tcW w:w="1276" w:type="dxa"/>
            <w:tcBorders>
              <w:top w:val="single" w:sz="4" w:space="0" w:color="auto"/>
              <w:left w:val="nil"/>
              <w:bottom w:val="nil"/>
              <w:right w:val="nil"/>
            </w:tcBorders>
            <w:shd w:val="clear" w:color="auto" w:fill="auto"/>
            <w:noWrap/>
            <w:vAlign w:val="bottom"/>
          </w:tcPr>
          <w:p w:rsidR="006D7E6D" w:rsidRDefault="006D7E6D" w:rsidP="00FB17EB">
            <w:pPr>
              <w:jc w:val="right"/>
              <w:rPr>
                <w:b/>
                <w:bCs/>
                <w:sz w:val="18"/>
                <w:szCs w:val="18"/>
              </w:rPr>
            </w:pPr>
            <w:r>
              <w:rPr>
                <w:b/>
                <w:bCs/>
                <w:sz w:val="18"/>
                <w:szCs w:val="18"/>
              </w:rPr>
              <w:t>27 925,2</w:t>
            </w:r>
          </w:p>
        </w:tc>
        <w:tc>
          <w:tcPr>
            <w:tcW w:w="1209" w:type="dxa"/>
            <w:tcBorders>
              <w:top w:val="single" w:sz="4" w:space="0" w:color="auto"/>
              <w:left w:val="nil"/>
              <w:bottom w:val="nil"/>
              <w:right w:val="nil"/>
            </w:tcBorders>
            <w:shd w:val="clear" w:color="auto" w:fill="auto"/>
            <w:noWrap/>
            <w:vAlign w:val="bottom"/>
          </w:tcPr>
          <w:p w:rsidR="006D7E6D" w:rsidRDefault="006D7E6D" w:rsidP="00FB17EB">
            <w:pPr>
              <w:jc w:val="right"/>
              <w:rPr>
                <w:b/>
                <w:bCs/>
                <w:sz w:val="18"/>
                <w:szCs w:val="18"/>
              </w:rPr>
            </w:pPr>
            <w:r>
              <w:rPr>
                <w:b/>
                <w:bCs/>
                <w:sz w:val="18"/>
                <w:szCs w:val="18"/>
              </w:rPr>
              <w:t>26 919,0</w:t>
            </w:r>
          </w:p>
        </w:tc>
        <w:tc>
          <w:tcPr>
            <w:tcW w:w="1304" w:type="dxa"/>
            <w:tcBorders>
              <w:top w:val="single" w:sz="4" w:space="0" w:color="auto"/>
              <w:left w:val="nil"/>
              <w:bottom w:val="nil"/>
              <w:right w:val="single" w:sz="8" w:space="0" w:color="auto"/>
            </w:tcBorders>
            <w:shd w:val="clear" w:color="auto" w:fill="auto"/>
            <w:noWrap/>
            <w:vAlign w:val="bottom"/>
          </w:tcPr>
          <w:p w:rsidR="006D7E6D" w:rsidRDefault="006D7E6D" w:rsidP="00FB17EB">
            <w:pPr>
              <w:jc w:val="right"/>
              <w:rPr>
                <w:b/>
                <w:bCs/>
                <w:sz w:val="18"/>
                <w:szCs w:val="18"/>
              </w:rPr>
            </w:pPr>
            <w:r>
              <w:rPr>
                <w:b/>
                <w:bCs/>
                <w:sz w:val="18"/>
                <w:szCs w:val="18"/>
              </w:rPr>
              <w:t>96,4%</w:t>
            </w:r>
          </w:p>
        </w:tc>
      </w:tr>
      <w:tr w:rsidR="006D7E6D" w:rsidRPr="00C85532" w:rsidTr="003F3760">
        <w:trPr>
          <w:trHeight w:val="101"/>
          <w:jc w:val="center"/>
        </w:trPr>
        <w:tc>
          <w:tcPr>
            <w:tcW w:w="4853" w:type="dxa"/>
            <w:tcBorders>
              <w:top w:val="nil"/>
              <w:left w:val="single" w:sz="4" w:space="0" w:color="auto"/>
              <w:bottom w:val="nil"/>
              <w:right w:val="single" w:sz="4" w:space="0" w:color="auto"/>
            </w:tcBorders>
            <w:shd w:val="clear" w:color="auto" w:fill="auto"/>
            <w:noWrap/>
            <w:vAlign w:val="bottom"/>
          </w:tcPr>
          <w:p w:rsidR="006D7E6D" w:rsidRPr="002C59E4" w:rsidRDefault="006D7E6D" w:rsidP="00B13128">
            <w:pPr>
              <w:rPr>
                <w:b/>
                <w:i/>
                <w:sz w:val="18"/>
                <w:szCs w:val="18"/>
              </w:rPr>
            </w:pPr>
            <w:r w:rsidRPr="002C59E4">
              <w:rPr>
                <w:b/>
                <w:i/>
                <w:sz w:val="18"/>
                <w:szCs w:val="18"/>
              </w:rPr>
              <w:t xml:space="preserve">   -Нелихвени разходи</w:t>
            </w:r>
          </w:p>
        </w:tc>
        <w:tc>
          <w:tcPr>
            <w:tcW w:w="1276" w:type="dxa"/>
            <w:tcBorders>
              <w:top w:val="nil"/>
              <w:left w:val="nil"/>
              <w:bottom w:val="nil"/>
              <w:right w:val="nil"/>
            </w:tcBorders>
            <w:shd w:val="clear" w:color="auto" w:fill="auto"/>
            <w:noWrap/>
            <w:vAlign w:val="bottom"/>
          </w:tcPr>
          <w:p w:rsidR="006D7E6D" w:rsidRDefault="006D7E6D" w:rsidP="00FB17EB">
            <w:pPr>
              <w:jc w:val="right"/>
              <w:rPr>
                <w:sz w:val="18"/>
                <w:szCs w:val="18"/>
              </w:rPr>
            </w:pPr>
            <w:r>
              <w:rPr>
                <w:sz w:val="18"/>
                <w:szCs w:val="18"/>
              </w:rPr>
              <w:t>14 441,9</w:t>
            </w:r>
          </w:p>
        </w:tc>
        <w:tc>
          <w:tcPr>
            <w:tcW w:w="1209" w:type="dxa"/>
            <w:tcBorders>
              <w:top w:val="nil"/>
              <w:left w:val="nil"/>
              <w:bottom w:val="nil"/>
              <w:right w:val="nil"/>
            </w:tcBorders>
            <w:shd w:val="clear" w:color="auto" w:fill="auto"/>
            <w:noWrap/>
            <w:vAlign w:val="bottom"/>
          </w:tcPr>
          <w:p w:rsidR="006D7E6D" w:rsidRDefault="006D7E6D" w:rsidP="00FB17EB">
            <w:pPr>
              <w:jc w:val="right"/>
              <w:rPr>
                <w:sz w:val="18"/>
                <w:szCs w:val="18"/>
              </w:rPr>
            </w:pPr>
            <w:r>
              <w:rPr>
                <w:sz w:val="18"/>
                <w:szCs w:val="18"/>
              </w:rPr>
              <w:t>13 865,2</w:t>
            </w:r>
          </w:p>
        </w:tc>
        <w:tc>
          <w:tcPr>
            <w:tcW w:w="1304" w:type="dxa"/>
            <w:tcBorders>
              <w:top w:val="nil"/>
              <w:left w:val="nil"/>
              <w:bottom w:val="nil"/>
              <w:right w:val="single" w:sz="8" w:space="0" w:color="auto"/>
            </w:tcBorders>
            <w:shd w:val="clear" w:color="auto" w:fill="auto"/>
            <w:noWrap/>
            <w:vAlign w:val="bottom"/>
          </w:tcPr>
          <w:p w:rsidR="006D7E6D" w:rsidRDefault="006D7E6D" w:rsidP="00FB17EB">
            <w:pPr>
              <w:jc w:val="right"/>
              <w:rPr>
                <w:sz w:val="18"/>
                <w:szCs w:val="18"/>
              </w:rPr>
            </w:pPr>
            <w:r>
              <w:rPr>
                <w:sz w:val="18"/>
                <w:szCs w:val="18"/>
              </w:rPr>
              <w:t>96,0%</w:t>
            </w:r>
          </w:p>
        </w:tc>
      </w:tr>
      <w:tr w:rsidR="006D7E6D" w:rsidRPr="00C85532" w:rsidTr="003F3760">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6D7E6D" w:rsidRPr="002C59E4" w:rsidRDefault="006D7E6D" w:rsidP="00B13128">
            <w:pPr>
              <w:rPr>
                <w:sz w:val="18"/>
                <w:szCs w:val="18"/>
              </w:rPr>
            </w:pPr>
            <w:r w:rsidRPr="002C59E4">
              <w:rPr>
                <w:sz w:val="18"/>
                <w:szCs w:val="18"/>
              </w:rPr>
              <w:t xml:space="preserve">      Текущи </w:t>
            </w:r>
          </w:p>
        </w:tc>
        <w:tc>
          <w:tcPr>
            <w:tcW w:w="1276" w:type="dxa"/>
            <w:tcBorders>
              <w:top w:val="nil"/>
              <w:left w:val="nil"/>
              <w:bottom w:val="nil"/>
              <w:right w:val="nil"/>
            </w:tcBorders>
            <w:shd w:val="clear" w:color="auto" w:fill="auto"/>
            <w:noWrap/>
            <w:vAlign w:val="bottom"/>
          </w:tcPr>
          <w:p w:rsidR="006D7E6D" w:rsidRDefault="006D7E6D" w:rsidP="00FB17EB">
            <w:pPr>
              <w:jc w:val="right"/>
              <w:rPr>
                <w:sz w:val="18"/>
                <w:szCs w:val="18"/>
              </w:rPr>
            </w:pPr>
            <w:r>
              <w:rPr>
                <w:sz w:val="18"/>
                <w:szCs w:val="18"/>
              </w:rPr>
              <w:t>9 815,1</w:t>
            </w:r>
          </w:p>
        </w:tc>
        <w:tc>
          <w:tcPr>
            <w:tcW w:w="1209" w:type="dxa"/>
            <w:tcBorders>
              <w:top w:val="nil"/>
              <w:left w:val="nil"/>
              <w:bottom w:val="nil"/>
              <w:right w:val="nil"/>
            </w:tcBorders>
            <w:shd w:val="clear" w:color="auto" w:fill="auto"/>
            <w:noWrap/>
            <w:vAlign w:val="bottom"/>
          </w:tcPr>
          <w:p w:rsidR="006D7E6D" w:rsidRDefault="006D7E6D" w:rsidP="00FB17EB">
            <w:pPr>
              <w:jc w:val="right"/>
              <w:rPr>
                <w:sz w:val="18"/>
                <w:szCs w:val="18"/>
              </w:rPr>
            </w:pPr>
            <w:r>
              <w:rPr>
                <w:sz w:val="18"/>
                <w:szCs w:val="18"/>
              </w:rPr>
              <w:t>9 480,8</w:t>
            </w:r>
          </w:p>
        </w:tc>
        <w:tc>
          <w:tcPr>
            <w:tcW w:w="1304" w:type="dxa"/>
            <w:tcBorders>
              <w:top w:val="nil"/>
              <w:left w:val="nil"/>
              <w:bottom w:val="nil"/>
              <w:right w:val="single" w:sz="8" w:space="0" w:color="auto"/>
            </w:tcBorders>
            <w:shd w:val="clear" w:color="auto" w:fill="auto"/>
            <w:noWrap/>
            <w:vAlign w:val="bottom"/>
          </w:tcPr>
          <w:p w:rsidR="006D7E6D" w:rsidRDefault="006D7E6D" w:rsidP="00FB17EB">
            <w:pPr>
              <w:jc w:val="right"/>
              <w:rPr>
                <w:sz w:val="18"/>
                <w:szCs w:val="18"/>
              </w:rPr>
            </w:pPr>
            <w:r>
              <w:rPr>
                <w:sz w:val="18"/>
                <w:szCs w:val="18"/>
              </w:rPr>
              <w:t>96,6%</w:t>
            </w:r>
          </w:p>
        </w:tc>
      </w:tr>
      <w:tr w:rsidR="006D7E6D" w:rsidRPr="00C85532" w:rsidTr="003F3760">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6D7E6D" w:rsidRPr="002C59E4" w:rsidRDefault="006D7E6D" w:rsidP="00B13128">
            <w:pPr>
              <w:rPr>
                <w:sz w:val="18"/>
                <w:szCs w:val="18"/>
              </w:rPr>
            </w:pPr>
            <w:r w:rsidRPr="002C59E4">
              <w:rPr>
                <w:sz w:val="18"/>
                <w:szCs w:val="18"/>
              </w:rPr>
              <w:t xml:space="preserve">      Предоставени </w:t>
            </w:r>
            <w:proofErr w:type="spellStart"/>
            <w:r w:rsidRPr="002C59E4">
              <w:rPr>
                <w:sz w:val="18"/>
                <w:szCs w:val="18"/>
              </w:rPr>
              <w:t>тек</w:t>
            </w:r>
            <w:proofErr w:type="spellEnd"/>
            <w:r w:rsidRPr="002C59E4">
              <w:rPr>
                <w:sz w:val="18"/>
                <w:szCs w:val="18"/>
              </w:rPr>
              <w:t xml:space="preserve">. и </w:t>
            </w:r>
            <w:proofErr w:type="spellStart"/>
            <w:r w:rsidRPr="002C59E4">
              <w:rPr>
                <w:sz w:val="18"/>
                <w:szCs w:val="18"/>
              </w:rPr>
              <w:t>капит</w:t>
            </w:r>
            <w:proofErr w:type="spellEnd"/>
            <w:r w:rsidRPr="002C59E4">
              <w:rPr>
                <w:sz w:val="18"/>
                <w:szCs w:val="18"/>
              </w:rPr>
              <w:t>. трансфери за чужбина</w:t>
            </w:r>
          </w:p>
        </w:tc>
        <w:tc>
          <w:tcPr>
            <w:tcW w:w="1276" w:type="dxa"/>
            <w:tcBorders>
              <w:top w:val="nil"/>
              <w:left w:val="nil"/>
              <w:bottom w:val="nil"/>
              <w:right w:val="nil"/>
            </w:tcBorders>
            <w:shd w:val="clear" w:color="auto" w:fill="auto"/>
            <w:noWrap/>
            <w:vAlign w:val="bottom"/>
          </w:tcPr>
          <w:p w:rsidR="006D7E6D" w:rsidRDefault="006D7E6D" w:rsidP="00FB17EB">
            <w:pPr>
              <w:jc w:val="right"/>
              <w:rPr>
                <w:sz w:val="18"/>
                <w:szCs w:val="18"/>
              </w:rPr>
            </w:pPr>
            <w:r>
              <w:rPr>
                <w:sz w:val="18"/>
                <w:szCs w:val="18"/>
              </w:rPr>
              <w:t>14,4</w:t>
            </w:r>
          </w:p>
        </w:tc>
        <w:tc>
          <w:tcPr>
            <w:tcW w:w="1209" w:type="dxa"/>
            <w:tcBorders>
              <w:top w:val="nil"/>
              <w:left w:val="nil"/>
              <w:bottom w:val="nil"/>
              <w:right w:val="nil"/>
            </w:tcBorders>
            <w:shd w:val="clear" w:color="auto" w:fill="auto"/>
            <w:noWrap/>
            <w:vAlign w:val="bottom"/>
          </w:tcPr>
          <w:p w:rsidR="006D7E6D" w:rsidRDefault="006D7E6D" w:rsidP="00FB17EB">
            <w:pPr>
              <w:jc w:val="right"/>
              <w:rPr>
                <w:sz w:val="18"/>
                <w:szCs w:val="18"/>
              </w:rPr>
            </w:pPr>
            <w:r>
              <w:rPr>
                <w:sz w:val="18"/>
                <w:szCs w:val="18"/>
              </w:rPr>
              <w:t>20,1</w:t>
            </w:r>
          </w:p>
        </w:tc>
        <w:tc>
          <w:tcPr>
            <w:tcW w:w="1304" w:type="dxa"/>
            <w:tcBorders>
              <w:top w:val="nil"/>
              <w:left w:val="nil"/>
              <w:bottom w:val="nil"/>
              <w:right w:val="single" w:sz="8" w:space="0" w:color="auto"/>
            </w:tcBorders>
            <w:shd w:val="clear" w:color="auto" w:fill="auto"/>
            <w:noWrap/>
            <w:vAlign w:val="bottom"/>
          </w:tcPr>
          <w:p w:rsidR="006D7E6D" w:rsidRDefault="006D7E6D" w:rsidP="00FB17EB">
            <w:pPr>
              <w:jc w:val="right"/>
              <w:rPr>
                <w:sz w:val="18"/>
                <w:szCs w:val="18"/>
              </w:rPr>
            </w:pPr>
            <w:r>
              <w:rPr>
                <w:sz w:val="18"/>
                <w:szCs w:val="18"/>
              </w:rPr>
              <w:t>140,1%</w:t>
            </w:r>
          </w:p>
        </w:tc>
      </w:tr>
      <w:tr w:rsidR="006D7E6D" w:rsidRPr="00C85532" w:rsidTr="003F3760">
        <w:trPr>
          <w:trHeight w:val="179"/>
          <w:jc w:val="center"/>
        </w:trPr>
        <w:tc>
          <w:tcPr>
            <w:tcW w:w="4853" w:type="dxa"/>
            <w:tcBorders>
              <w:top w:val="nil"/>
              <w:left w:val="single" w:sz="4" w:space="0" w:color="auto"/>
              <w:bottom w:val="nil"/>
              <w:right w:val="single" w:sz="4" w:space="0" w:color="auto"/>
            </w:tcBorders>
            <w:shd w:val="clear" w:color="auto" w:fill="auto"/>
            <w:noWrap/>
            <w:vAlign w:val="bottom"/>
          </w:tcPr>
          <w:p w:rsidR="006D7E6D" w:rsidRPr="002C59E4" w:rsidRDefault="006D7E6D" w:rsidP="00B13128">
            <w:pPr>
              <w:rPr>
                <w:sz w:val="18"/>
                <w:szCs w:val="18"/>
              </w:rPr>
            </w:pPr>
            <w:r w:rsidRPr="002C59E4">
              <w:rPr>
                <w:sz w:val="18"/>
                <w:szCs w:val="18"/>
              </w:rPr>
              <w:t xml:space="preserve">      Капиталови</w:t>
            </w:r>
          </w:p>
        </w:tc>
        <w:tc>
          <w:tcPr>
            <w:tcW w:w="1276" w:type="dxa"/>
            <w:tcBorders>
              <w:top w:val="nil"/>
              <w:left w:val="nil"/>
              <w:bottom w:val="nil"/>
              <w:right w:val="nil"/>
            </w:tcBorders>
            <w:shd w:val="clear" w:color="auto" w:fill="auto"/>
            <w:noWrap/>
            <w:vAlign w:val="bottom"/>
          </w:tcPr>
          <w:p w:rsidR="006D7E6D" w:rsidRDefault="006D7E6D" w:rsidP="00FB17EB">
            <w:pPr>
              <w:jc w:val="right"/>
              <w:rPr>
                <w:sz w:val="18"/>
                <w:szCs w:val="18"/>
              </w:rPr>
            </w:pPr>
            <w:r>
              <w:rPr>
                <w:sz w:val="18"/>
                <w:szCs w:val="18"/>
              </w:rPr>
              <w:t>4 612,5</w:t>
            </w:r>
          </w:p>
        </w:tc>
        <w:tc>
          <w:tcPr>
            <w:tcW w:w="1209" w:type="dxa"/>
            <w:tcBorders>
              <w:top w:val="nil"/>
              <w:left w:val="nil"/>
              <w:bottom w:val="nil"/>
              <w:right w:val="nil"/>
            </w:tcBorders>
            <w:shd w:val="clear" w:color="auto" w:fill="auto"/>
            <w:noWrap/>
            <w:vAlign w:val="bottom"/>
          </w:tcPr>
          <w:p w:rsidR="006D7E6D" w:rsidRDefault="006D7E6D" w:rsidP="00FB17EB">
            <w:pPr>
              <w:jc w:val="right"/>
              <w:rPr>
                <w:sz w:val="18"/>
                <w:szCs w:val="18"/>
              </w:rPr>
            </w:pPr>
            <w:r>
              <w:rPr>
                <w:sz w:val="18"/>
                <w:szCs w:val="18"/>
              </w:rPr>
              <w:t>4 364,3</w:t>
            </w:r>
          </w:p>
        </w:tc>
        <w:tc>
          <w:tcPr>
            <w:tcW w:w="1304" w:type="dxa"/>
            <w:tcBorders>
              <w:top w:val="nil"/>
              <w:left w:val="nil"/>
              <w:bottom w:val="nil"/>
              <w:right w:val="single" w:sz="8" w:space="0" w:color="auto"/>
            </w:tcBorders>
            <w:shd w:val="clear" w:color="auto" w:fill="auto"/>
            <w:noWrap/>
            <w:vAlign w:val="bottom"/>
          </w:tcPr>
          <w:p w:rsidR="006D7E6D" w:rsidRDefault="006D7E6D" w:rsidP="00FB17EB">
            <w:pPr>
              <w:jc w:val="right"/>
              <w:rPr>
                <w:sz w:val="18"/>
                <w:szCs w:val="18"/>
              </w:rPr>
            </w:pPr>
            <w:r>
              <w:rPr>
                <w:sz w:val="18"/>
                <w:szCs w:val="18"/>
              </w:rPr>
              <w:t>94,6%</w:t>
            </w:r>
          </w:p>
        </w:tc>
      </w:tr>
      <w:tr w:rsidR="006D7E6D" w:rsidRPr="00C85532" w:rsidTr="003F3760">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6D7E6D" w:rsidRPr="002C59E4" w:rsidRDefault="006D7E6D" w:rsidP="00B13128">
            <w:pPr>
              <w:rPr>
                <w:b/>
                <w:i/>
                <w:sz w:val="18"/>
                <w:szCs w:val="18"/>
              </w:rPr>
            </w:pPr>
            <w:r w:rsidRPr="002C59E4">
              <w:rPr>
                <w:b/>
                <w:i/>
                <w:sz w:val="18"/>
                <w:szCs w:val="18"/>
              </w:rPr>
              <w:t xml:space="preserve">   -Лихви</w:t>
            </w:r>
          </w:p>
        </w:tc>
        <w:tc>
          <w:tcPr>
            <w:tcW w:w="1276" w:type="dxa"/>
            <w:tcBorders>
              <w:top w:val="nil"/>
              <w:left w:val="nil"/>
              <w:bottom w:val="nil"/>
              <w:right w:val="nil"/>
            </w:tcBorders>
            <w:shd w:val="clear" w:color="auto" w:fill="auto"/>
            <w:noWrap/>
            <w:vAlign w:val="bottom"/>
          </w:tcPr>
          <w:p w:rsidR="006D7E6D" w:rsidRDefault="006D7E6D" w:rsidP="00FB17EB">
            <w:pPr>
              <w:jc w:val="right"/>
              <w:rPr>
                <w:sz w:val="18"/>
                <w:szCs w:val="18"/>
              </w:rPr>
            </w:pPr>
            <w:r>
              <w:rPr>
                <w:sz w:val="18"/>
                <w:szCs w:val="18"/>
              </w:rPr>
              <w:t>633,3</w:t>
            </w:r>
          </w:p>
        </w:tc>
        <w:tc>
          <w:tcPr>
            <w:tcW w:w="1209" w:type="dxa"/>
            <w:tcBorders>
              <w:top w:val="nil"/>
              <w:left w:val="nil"/>
              <w:bottom w:val="nil"/>
              <w:right w:val="nil"/>
            </w:tcBorders>
            <w:shd w:val="clear" w:color="auto" w:fill="auto"/>
            <w:noWrap/>
            <w:vAlign w:val="bottom"/>
          </w:tcPr>
          <w:p w:rsidR="006D7E6D" w:rsidRDefault="006D7E6D" w:rsidP="00FB17EB">
            <w:pPr>
              <w:jc w:val="right"/>
              <w:rPr>
                <w:sz w:val="18"/>
                <w:szCs w:val="18"/>
              </w:rPr>
            </w:pPr>
            <w:r>
              <w:rPr>
                <w:sz w:val="18"/>
                <w:szCs w:val="18"/>
              </w:rPr>
              <w:t>609,5</w:t>
            </w:r>
          </w:p>
        </w:tc>
        <w:tc>
          <w:tcPr>
            <w:tcW w:w="1304" w:type="dxa"/>
            <w:tcBorders>
              <w:top w:val="nil"/>
              <w:left w:val="nil"/>
              <w:bottom w:val="nil"/>
              <w:right w:val="single" w:sz="8" w:space="0" w:color="auto"/>
            </w:tcBorders>
            <w:shd w:val="clear" w:color="auto" w:fill="auto"/>
            <w:noWrap/>
            <w:vAlign w:val="bottom"/>
          </w:tcPr>
          <w:p w:rsidR="006D7E6D" w:rsidRDefault="006D7E6D" w:rsidP="00FB17EB">
            <w:pPr>
              <w:jc w:val="right"/>
              <w:rPr>
                <w:sz w:val="18"/>
                <w:szCs w:val="18"/>
              </w:rPr>
            </w:pPr>
            <w:r>
              <w:rPr>
                <w:sz w:val="18"/>
                <w:szCs w:val="18"/>
              </w:rPr>
              <w:t>96,2%</w:t>
            </w:r>
          </w:p>
        </w:tc>
      </w:tr>
      <w:tr w:rsidR="006D7E6D" w:rsidRPr="00C85532" w:rsidTr="003F3760">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6D7E6D" w:rsidRPr="002C59E4" w:rsidRDefault="006D7E6D" w:rsidP="00B13128">
            <w:pPr>
              <w:rPr>
                <w:sz w:val="18"/>
                <w:szCs w:val="18"/>
              </w:rPr>
            </w:pPr>
            <w:r w:rsidRPr="002C59E4">
              <w:rPr>
                <w:sz w:val="18"/>
                <w:szCs w:val="18"/>
              </w:rPr>
              <w:t xml:space="preserve">      По външни заеми</w:t>
            </w:r>
          </w:p>
        </w:tc>
        <w:tc>
          <w:tcPr>
            <w:tcW w:w="1276" w:type="dxa"/>
            <w:tcBorders>
              <w:top w:val="nil"/>
              <w:left w:val="nil"/>
              <w:bottom w:val="nil"/>
              <w:right w:val="nil"/>
            </w:tcBorders>
            <w:shd w:val="clear" w:color="auto" w:fill="auto"/>
            <w:noWrap/>
            <w:vAlign w:val="bottom"/>
          </w:tcPr>
          <w:p w:rsidR="006D7E6D" w:rsidRDefault="006D7E6D" w:rsidP="00FB17EB">
            <w:pPr>
              <w:jc w:val="right"/>
              <w:rPr>
                <w:sz w:val="18"/>
                <w:szCs w:val="18"/>
              </w:rPr>
            </w:pPr>
            <w:r>
              <w:rPr>
                <w:sz w:val="18"/>
                <w:szCs w:val="18"/>
              </w:rPr>
              <w:t>436,3</w:t>
            </w:r>
          </w:p>
        </w:tc>
        <w:tc>
          <w:tcPr>
            <w:tcW w:w="1209" w:type="dxa"/>
            <w:tcBorders>
              <w:top w:val="nil"/>
              <w:left w:val="nil"/>
              <w:bottom w:val="nil"/>
              <w:right w:val="nil"/>
            </w:tcBorders>
            <w:shd w:val="clear" w:color="auto" w:fill="auto"/>
            <w:noWrap/>
            <w:vAlign w:val="bottom"/>
          </w:tcPr>
          <w:p w:rsidR="006D7E6D" w:rsidRDefault="006D7E6D" w:rsidP="00FB17EB">
            <w:pPr>
              <w:jc w:val="right"/>
              <w:rPr>
                <w:sz w:val="18"/>
                <w:szCs w:val="18"/>
              </w:rPr>
            </w:pPr>
            <w:r>
              <w:rPr>
                <w:sz w:val="18"/>
                <w:szCs w:val="18"/>
              </w:rPr>
              <w:t>423,6</w:t>
            </w:r>
          </w:p>
        </w:tc>
        <w:tc>
          <w:tcPr>
            <w:tcW w:w="1304" w:type="dxa"/>
            <w:tcBorders>
              <w:top w:val="nil"/>
              <w:left w:val="nil"/>
              <w:bottom w:val="nil"/>
              <w:right w:val="single" w:sz="8" w:space="0" w:color="auto"/>
            </w:tcBorders>
            <w:shd w:val="clear" w:color="auto" w:fill="auto"/>
            <w:noWrap/>
            <w:vAlign w:val="bottom"/>
          </w:tcPr>
          <w:p w:rsidR="006D7E6D" w:rsidRDefault="006D7E6D" w:rsidP="00FB17EB">
            <w:pPr>
              <w:jc w:val="right"/>
              <w:rPr>
                <w:sz w:val="18"/>
                <w:szCs w:val="18"/>
              </w:rPr>
            </w:pPr>
            <w:r>
              <w:rPr>
                <w:sz w:val="18"/>
                <w:szCs w:val="18"/>
              </w:rPr>
              <w:t>97,1%</w:t>
            </w:r>
          </w:p>
        </w:tc>
      </w:tr>
      <w:tr w:rsidR="006D7E6D" w:rsidRPr="00C85532" w:rsidTr="003F3760">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6D7E6D" w:rsidRPr="002C59E4" w:rsidRDefault="006D7E6D" w:rsidP="00B13128">
            <w:pPr>
              <w:rPr>
                <w:sz w:val="18"/>
                <w:szCs w:val="18"/>
              </w:rPr>
            </w:pPr>
            <w:r w:rsidRPr="002C59E4">
              <w:rPr>
                <w:sz w:val="18"/>
                <w:szCs w:val="18"/>
              </w:rPr>
              <w:t xml:space="preserve">      По вътрешни заеми</w:t>
            </w:r>
          </w:p>
        </w:tc>
        <w:tc>
          <w:tcPr>
            <w:tcW w:w="1276" w:type="dxa"/>
            <w:tcBorders>
              <w:top w:val="nil"/>
              <w:left w:val="nil"/>
              <w:bottom w:val="nil"/>
              <w:right w:val="nil"/>
            </w:tcBorders>
            <w:shd w:val="clear" w:color="auto" w:fill="auto"/>
            <w:noWrap/>
            <w:vAlign w:val="bottom"/>
          </w:tcPr>
          <w:p w:rsidR="006D7E6D" w:rsidRDefault="006D7E6D" w:rsidP="00FB17EB">
            <w:pPr>
              <w:jc w:val="right"/>
              <w:rPr>
                <w:sz w:val="18"/>
                <w:szCs w:val="18"/>
              </w:rPr>
            </w:pPr>
            <w:r>
              <w:rPr>
                <w:sz w:val="18"/>
                <w:szCs w:val="18"/>
              </w:rPr>
              <w:t>197,0</w:t>
            </w:r>
          </w:p>
        </w:tc>
        <w:tc>
          <w:tcPr>
            <w:tcW w:w="1209" w:type="dxa"/>
            <w:tcBorders>
              <w:top w:val="nil"/>
              <w:left w:val="nil"/>
              <w:bottom w:val="nil"/>
              <w:right w:val="nil"/>
            </w:tcBorders>
            <w:shd w:val="clear" w:color="auto" w:fill="auto"/>
            <w:noWrap/>
            <w:vAlign w:val="bottom"/>
          </w:tcPr>
          <w:p w:rsidR="006D7E6D" w:rsidRDefault="006D7E6D" w:rsidP="00FB17EB">
            <w:pPr>
              <w:jc w:val="right"/>
              <w:rPr>
                <w:sz w:val="18"/>
                <w:szCs w:val="18"/>
              </w:rPr>
            </w:pPr>
            <w:r>
              <w:rPr>
                <w:sz w:val="18"/>
                <w:szCs w:val="18"/>
              </w:rPr>
              <w:t>185,9</w:t>
            </w:r>
          </w:p>
        </w:tc>
        <w:tc>
          <w:tcPr>
            <w:tcW w:w="1304" w:type="dxa"/>
            <w:tcBorders>
              <w:top w:val="nil"/>
              <w:left w:val="nil"/>
              <w:bottom w:val="nil"/>
              <w:right w:val="single" w:sz="8" w:space="0" w:color="auto"/>
            </w:tcBorders>
            <w:shd w:val="clear" w:color="auto" w:fill="auto"/>
            <w:noWrap/>
            <w:vAlign w:val="bottom"/>
          </w:tcPr>
          <w:p w:rsidR="006D7E6D" w:rsidRDefault="006D7E6D" w:rsidP="00FB17EB">
            <w:pPr>
              <w:jc w:val="right"/>
              <w:rPr>
                <w:sz w:val="18"/>
                <w:szCs w:val="18"/>
              </w:rPr>
            </w:pPr>
            <w:r>
              <w:rPr>
                <w:sz w:val="18"/>
                <w:szCs w:val="18"/>
              </w:rPr>
              <w:t>94,4%</w:t>
            </w:r>
          </w:p>
        </w:tc>
      </w:tr>
      <w:tr w:rsidR="006D7E6D" w:rsidRPr="00C85532" w:rsidTr="003F3760">
        <w:trPr>
          <w:trHeight w:val="85"/>
          <w:jc w:val="center"/>
        </w:trPr>
        <w:tc>
          <w:tcPr>
            <w:tcW w:w="4853" w:type="dxa"/>
            <w:tcBorders>
              <w:top w:val="nil"/>
              <w:left w:val="single" w:sz="4" w:space="0" w:color="auto"/>
              <w:bottom w:val="nil"/>
              <w:right w:val="single" w:sz="4" w:space="0" w:color="auto"/>
            </w:tcBorders>
            <w:shd w:val="clear" w:color="auto" w:fill="auto"/>
            <w:noWrap/>
            <w:vAlign w:val="bottom"/>
          </w:tcPr>
          <w:p w:rsidR="006D7E6D" w:rsidRPr="002C59E4" w:rsidRDefault="006D7E6D" w:rsidP="00B13128">
            <w:pPr>
              <w:rPr>
                <w:b/>
                <w:i/>
                <w:sz w:val="18"/>
                <w:szCs w:val="18"/>
              </w:rPr>
            </w:pPr>
            <w:r w:rsidRPr="002C59E4">
              <w:rPr>
                <w:b/>
                <w:i/>
                <w:sz w:val="18"/>
                <w:szCs w:val="18"/>
              </w:rPr>
              <w:t xml:space="preserve"> - Резерв за непредвидени и неотложни разходи</w:t>
            </w:r>
            <w:r w:rsidRPr="002C59E4">
              <w:rPr>
                <w:b/>
                <w:bCs/>
                <w:sz w:val="20"/>
                <w:szCs w:val="20"/>
                <w:vertAlign w:val="superscript"/>
              </w:rPr>
              <w:footnoteReference w:id="11"/>
            </w:r>
            <w:r w:rsidRPr="002C59E4">
              <w:rPr>
                <w:b/>
                <w:i/>
                <w:sz w:val="18"/>
                <w:szCs w:val="18"/>
              </w:rPr>
              <w:tab/>
            </w:r>
          </w:p>
        </w:tc>
        <w:tc>
          <w:tcPr>
            <w:tcW w:w="1276" w:type="dxa"/>
            <w:tcBorders>
              <w:top w:val="nil"/>
              <w:left w:val="nil"/>
              <w:bottom w:val="nil"/>
              <w:right w:val="nil"/>
            </w:tcBorders>
            <w:shd w:val="clear" w:color="auto" w:fill="auto"/>
            <w:noWrap/>
            <w:vAlign w:val="bottom"/>
          </w:tcPr>
          <w:p w:rsidR="006D7E6D" w:rsidRDefault="006D7E6D" w:rsidP="00FB17EB">
            <w:pPr>
              <w:jc w:val="right"/>
              <w:rPr>
                <w:sz w:val="18"/>
                <w:szCs w:val="18"/>
              </w:rPr>
            </w:pPr>
            <w:r>
              <w:rPr>
                <w:sz w:val="18"/>
                <w:szCs w:val="18"/>
              </w:rPr>
              <w:t>81,1</w:t>
            </w:r>
          </w:p>
        </w:tc>
        <w:tc>
          <w:tcPr>
            <w:tcW w:w="1209" w:type="dxa"/>
            <w:tcBorders>
              <w:top w:val="nil"/>
              <w:left w:val="nil"/>
              <w:bottom w:val="nil"/>
              <w:right w:val="nil"/>
            </w:tcBorders>
            <w:shd w:val="clear" w:color="auto" w:fill="auto"/>
            <w:noWrap/>
            <w:vAlign w:val="bottom"/>
          </w:tcPr>
          <w:p w:rsidR="006D7E6D" w:rsidRDefault="006D7E6D" w:rsidP="00FB17EB">
            <w:pPr>
              <w:jc w:val="right"/>
              <w:rPr>
                <w:sz w:val="18"/>
                <w:szCs w:val="18"/>
              </w:rPr>
            </w:pPr>
          </w:p>
        </w:tc>
        <w:tc>
          <w:tcPr>
            <w:tcW w:w="1304" w:type="dxa"/>
            <w:tcBorders>
              <w:top w:val="nil"/>
              <w:left w:val="nil"/>
              <w:bottom w:val="nil"/>
              <w:right w:val="single" w:sz="8" w:space="0" w:color="auto"/>
            </w:tcBorders>
            <w:shd w:val="clear" w:color="auto" w:fill="auto"/>
            <w:noWrap/>
            <w:vAlign w:val="bottom"/>
          </w:tcPr>
          <w:p w:rsidR="006D7E6D" w:rsidRDefault="006D7E6D" w:rsidP="00FB17EB">
            <w:pPr>
              <w:jc w:val="right"/>
              <w:rPr>
                <w:sz w:val="18"/>
                <w:szCs w:val="18"/>
              </w:rPr>
            </w:pPr>
          </w:p>
        </w:tc>
      </w:tr>
      <w:tr w:rsidR="006D7E6D" w:rsidRPr="00C85532" w:rsidTr="003F3760">
        <w:trPr>
          <w:trHeight w:val="85"/>
          <w:jc w:val="center"/>
        </w:trPr>
        <w:tc>
          <w:tcPr>
            <w:tcW w:w="4853" w:type="dxa"/>
            <w:tcBorders>
              <w:top w:val="nil"/>
              <w:left w:val="single" w:sz="4" w:space="0" w:color="auto"/>
              <w:bottom w:val="nil"/>
              <w:right w:val="single" w:sz="4" w:space="0" w:color="auto"/>
            </w:tcBorders>
            <w:shd w:val="clear" w:color="auto" w:fill="auto"/>
            <w:noWrap/>
            <w:vAlign w:val="bottom"/>
          </w:tcPr>
          <w:p w:rsidR="006D7E6D" w:rsidRPr="002C59E4" w:rsidRDefault="006D7E6D" w:rsidP="00B13128">
            <w:pPr>
              <w:rPr>
                <w:b/>
                <w:i/>
                <w:sz w:val="18"/>
                <w:szCs w:val="18"/>
              </w:rPr>
            </w:pPr>
            <w:r w:rsidRPr="002C59E4">
              <w:rPr>
                <w:b/>
                <w:i/>
                <w:sz w:val="18"/>
                <w:szCs w:val="18"/>
              </w:rPr>
              <w:t xml:space="preserve"> -Трансфери за  др. бюджети - нето</w:t>
            </w:r>
          </w:p>
        </w:tc>
        <w:tc>
          <w:tcPr>
            <w:tcW w:w="1276" w:type="dxa"/>
            <w:tcBorders>
              <w:top w:val="nil"/>
              <w:left w:val="nil"/>
              <w:bottom w:val="nil"/>
              <w:right w:val="nil"/>
            </w:tcBorders>
            <w:shd w:val="clear" w:color="auto" w:fill="auto"/>
            <w:noWrap/>
            <w:vAlign w:val="bottom"/>
          </w:tcPr>
          <w:p w:rsidR="006D7E6D" w:rsidRDefault="006D7E6D" w:rsidP="00FB17EB">
            <w:pPr>
              <w:jc w:val="right"/>
              <w:rPr>
                <w:sz w:val="18"/>
                <w:szCs w:val="18"/>
              </w:rPr>
            </w:pPr>
            <w:r>
              <w:rPr>
                <w:sz w:val="18"/>
                <w:szCs w:val="18"/>
              </w:rPr>
              <w:t>11 486,8</w:t>
            </w:r>
          </w:p>
        </w:tc>
        <w:tc>
          <w:tcPr>
            <w:tcW w:w="1209" w:type="dxa"/>
            <w:tcBorders>
              <w:top w:val="nil"/>
              <w:left w:val="nil"/>
              <w:bottom w:val="nil"/>
              <w:right w:val="nil"/>
            </w:tcBorders>
            <w:shd w:val="clear" w:color="auto" w:fill="auto"/>
            <w:noWrap/>
            <w:vAlign w:val="bottom"/>
          </w:tcPr>
          <w:p w:rsidR="006D7E6D" w:rsidRDefault="006D7E6D" w:rsidP="00FB17EB">
            <w:pPr>
              <w:jc w:val="right"/>
              <w:rPr>
                <w:sz w:val="18"/>
                <w:szCs w:val="18"/>
              </w:rPr>
            </w:pPr>
            <w:r>
              <w:rPr>
                <w:sz w:val="18"/>
                <w:szCs w:val="18"/>
              </w:rPr>
              <w:t>11 251,1</w:t>
            </w:r>
          </w:p>
        </w:tc>
        <w:tc>
          <w:tcPr>
            <w:tcW w:w="1304" w:type="dxa"/>
            <w:tcBorders>
              <w:top w:val="nil"/>
              <w:left w:val="nil"/>
              <w:bottom w:val="nil"/>
              <w:right w:val="single" w:sz="8" w:space="0" w:color="auto"/>
            </w:tcBorders>
            <w:shd w:val="clear" w:color="auto" w:fill="auto"/>
            <w:noWrap/>
            <w:vAlign w:val="bottom"/>
          </w:tcPr>
          <w:p w:rsidR="006D7E6D" w:rsidRDefault="006D7E6D" w:rsidP="00FB17EB">
            <w:pPr>
              <w:jc w:val="right"/>
              <w:rPr>
                <w:sz w:val="18"/>
                <w:szCs w:val="18"/>
              </w:rPr>
            </w:pPr>
            <w:r>
              <w:rPr>
                <w:sz w:val="18"/>
                <w:szCs w:val="18"/>
              </w:rPr>
              <w:t>97,9%</w:t>
            </w:r>
          </w:p>
        </w:tc>
      </w:tr>
      <w:tr w:rsidR="006D7E6D" w:rsidRPr="00C85532" w:rsidTr="003F3760">
        <w:trPr>
          <w:trHeight w:val="80"/>
          <w:jc w:val="center"/>
        </w:trPr>
        <w:tc>
          <w:tcPr>
            <w:tcW w:w="4853" w:type="dxa"/>
            <w:tcBorders>
              <w:top w:val="nil"/>
              <w:left w:val="single" w:sz="4" w:space="0" w:color="auto"/>
              <w:bottom w:val="single" w:sz="4" w:space="0" w:color="auto"/>
              <w:right w:val="single" w:sz="4" w:space="0" w:color="auto"/>
            </w:tcBorders>
            <w:shd w:val="clear" w:color="auto" w:fill="auto"/>
            <w:noWrap/>
            <w:vAlign w:val="bottom"/>
          </w:tcPr>
          <w:p w:rsidR="006D7E6D" w:rsidRPr="002C59E4" w:rsidRDefault="006D7E6D" w:rsidP="00B13128">
            <w:pPr>
              <w:rPr>
                <w:b/>
                <w:bCs/>
                <w:i/>
                <w:sz w:val="18"/>
                <w:szCs w:val="18"/>
              </w:rPr>
            </w:pPr>
            <w:r w:rsidRPr="002C59E4">
              <w:rPr>
                <w:b/>
                <w:bCs/>
                <w:i/>
                <w:sz w:val="18"/>
                <w:szCs w:val="18"/>
              </w:rPr>
              <w:t xml:space="preserve"> - Вноска в бюджета на ЕС</w:t>
            </w:r>
          </w:p>
        </w:tc>
        <w:tc>
          <w:tcPr>
            <w:tcW w:w="1276" w:type="dxa"/>
            <w:tcBorders>
              <w:top w:val="nil"/>
              <w:left w:val="nil"/>
              <w:bottom w:val="single" w:sz="4" w:space="0" w:color="auto"/>
              <w:right w:val="nil"/>
            </w:tcBorders>
            <w:shd w:val="clear" w:color="auto" w:fill="auto"/>
            <w:noWrap/>
            <w:vAlign w:val="bottom"/>
          </w:tcPr>
          <w:p w:rsidR="006D7E6D" w:rsidRDefault="006D7E6D" w:rsidP="00FB17EB">
            <w:pPr>
              <w:jc w:val="right"/>
              <w:rPr>
                <w:sz w:val="18"/>
                <w:szCs w:val="18"/>
              </w:rPr>
            </w:pPr>
            <w:r>
              <w:rPr>
                <w:sz w:val="18"/>
                <w:szCs w:val="18"/>
              </w:rPr>
              <w:t>1 282,1</w:t>
            </w:r>
          </w:p>
        </w:tc>
        <w:tc>
          <w:tcPr>
            <w:tcW w:w="1209" w:type="dxa"/>
            <w:tcBorders>
              <w:top w:val="nil"/>
              <w:left w:val="nil"/>
              <w:bottom w:val="single" w:sz="4" w:space="0" w:color="auto"/>
              <w:right w:val="nil"/>
            </w:tcBorders>
            <w:shd w:val="clear" w:color="auto" w:fill="auto"/>
            <w:noWrap/>
            <w:vAlign w:val="bottom"/>
          </w:tcPr>
          <w:p w:rsidR="006D7E6D" w:rsidRDefault="006D7E6D" w:rsidP="00FB17EB">
            <w:pPr>
              <w:jc w:val="right"/>
              <w:rPr>
                <w:sz w:val="18"/>
                <w:szCs w:val="18"/>
              </w:rPr>
            </w:pPr>
            <w:r>
              <w:rPr>
                <w:sz w:val="18"/>
                <w:szCs w:val="18"/>
              </w:rPr>
              <w:t>1 193,1</w:t>
            </w:r>
          </w:p>
        </w:tc>
        <w:tc>
          <w:tcPr>
            <w:tcW w:w="1304" w:type="dxa"/>
            <w:tcBorders>
              <w:top w:val="nil"/>
              <w:left w:val="nil"/>
              <w:bottom w:val="single" w:sz="4" w:space="0" w:color="auto"/>
              <w:right w:val="single" w:sz="8" w:space="0" w:color="auto"/>
            </w:tcBorders>
            <w:shd w:val="clear" w:color="auto" w:fill="auto"/>
            <w:noWrap/>
            <w:vAlign w:val="bottom"/>
          </w:tcPr>
          <w:p w:rsidR="006D7E6D" w:rsidRDefault="006D7E6D" w:rsidP="00FB17EB">
            <w:pPr>
              <w:jc w:val="right"/>
              <w:rPr>
                <w:sz w:val="18"/>
                <w:szCs w:val="18"/>
              </w:rPr>
            </w:pPr>
            <w:r>
              <w:rPr>
                <w:sz w:val="18"/>
                <w:szCs w:val="18"/>
              </w:rPr>
              <w:t>93,1%</w:t>
            </w:r>
          </w:p>
        </w:tc>
      </w:tr>
      <w:tr w:rsidR="006D7E6D" w:rsidRPr="00C85532" w:rsidTr="003F3760">
        <w:trPr>
          <w:trHeight w:val="70"/>
          <w:jc w:val="center"/>
        </w:trPr>
        <w:tc>
          <w:tcPr>
            <w:tcW w:w="4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7E6D" w:rsidRPr="002C59E4" w:rsidRDefault="006D7E6D" w:rsidP="00B13128">
            <w:pPr>
              <w:rPr>
                <w:b/>
                <w:bCs/>
                <w:sz w:val="18"/>
                <w:szCs w:val="18"/>
              </w:rPr>
            </w:pPr>
            <w:r w:rsidRPr="002C59E4">
              <w:rPr>
                <w:b/>
                <w:bCs/>
                <w:sz w:val="18"/>
                <w:szCs w:val="18"/>
              </w:rPr>
              <w:t>Бюджетен баланс</w:t>
            </w:r>
          </w:p>
        </w:tc>
        <w:tc>
          <w:tcPr>
            <w:tcW w:w="1276" w:type="dxa"/>
            <w:tcBorders>
              <w:top w:val="single" w:sz="4" w:space="0" w:color="auto"/>
              <w:left w:val="nil"/>
              <w:bottom w:val="single" w:sz="8" w:space="0" w:color="auto"/>
              <w:right w:val="nil"/>
            </w:tcBorders>
            <w:shd w:val="clear" w:color="auto" w:fill="auto"/>
            <w:noWrap/>
            <w:vAlign w:val="bottom"/>
          </w:tcPr>
          <w:p w:rsidR="006D7E6D" w:rsidRDefault="006D7E6D" w:rsidP="00FB17EB">
            <w:pPr>
              <w:jc w:val="right"/>
              <w:rPr>
                <w:b/>
                <w:bCs/>
                <w:sz w:val="18"/>
                <w:szCs w:val="18"/>
              </w:rPr>
            </w:pPr>
            <w:r>
              <w:rPr>
                <w:b/>
                <w:bCs/>
                <w:sz w:val="18"/>
                <w:szCs w:val="18"/>
              </w:rPr>
              <w:t>-2 231,9</w:t>
            </w:r>
          </w:p>
        </w:tc>
        <w:tc>
          <w:tcPr>
            <w:tcW w:w="1209" w:type="dxa"/>
            <w:tcBorders>
              <w:top w:val="single" w:sz="4" w:space="0" w:color="auto"/>
              <w:left w:val="nil"/>
              <w:bottom w:val="single" w:sz="8" w:space="0" w:color="auto"/>
              <w:right w:val="nil"/>
            </w:tcBorders>
            <w:shd w:val="clear" w:color="auto" w:fill="auto"/>
            <w:noWrap/>
            <w:vAlign w:val="bottom"/>
          </w:tcPr>
          <w:p w:rsidR="006D7E6D" w:rsidRDefault="006D7E6D" w:rsidP="00FB17EB">
            <w:pPr>
              <w:jc w:val="right"/>
              <w:rPr>
                <w:b/>
                <w:bCs/>
                <w:sz w:val="18"/>
                <w:szCs w:val="18"/>
              </w:rPr>
            </w:pPr>
            <w:r>
              <w:rPr>
                <w:b/>
                <w:bCs/>
                <w:sz w:val="18"/>
                <w:szCs w:val="18"/>
              </w:rPr>
              <w:t>-912,3</w:t>
            </w:r>
          </w:p>
        </w:tc>
        <w:tc>
          <w:tcPr>
            <w:tcW w:w="1304" w:type="dxa"/>
            <w:tcBorders>
              <w:top w:val="single" w:sz="4" w:space="0" w:color="auto"/>
              <w:left w:val="nil"/>
              <w:bottom w:val="single" w:sz="8" w:space="0" w:color="auto"/>
              <w:right w:val="single" w:sz="8" w:space="0" w:color="auto"/>
            </w:tcBorders>
            <w:shd w:val="clear" w:color="auto" w:fill="auto"/>
            <w:noWrap/>
            <w:vAlign w:val="bottom"/>
          </w:tcPr>
          <w:p w:rsidR="006D7E6D" w:rsidRDefault="006D7E6D" w:rsidP="00FB17EB">
            <w:pPr>
              <w:jc w:val="right"/>
              <w:rPr>
                <w:b/>
                <w:bCs/>
                <w:sz w:val="18"/>
                <w:szCs w:val="18"/>
              </w:rPr>
            </w:pPr>
          </w:p>
        </w:tc>
      </w:tr>
    </w:tbl>
    <w:p w:rsidR="00B13128" w:rsidRPr="00C85532" w:rsidRDefault="00B13128" w:rsidP="00B13128">
      <w:pPr>
        <w:spacing w:after="120"/>
        <w:ind w:left="360"/>
        <w:jc w:val="both"/>
        <w:rPr>
          <w:b/>
          <w:color w:val="0070C0"/>
          <w:sz w:val="6"/>
          <w:lang w:val="en-US"/>
        </w:rPr>
      </w:pPr>
    </w:p>
    <w:p w:rsidR="00B13128" w:rsidRPr="00C85532" w:rsidRDefault="00B13128" w:rsidP="00B13128">
      <w:pPr>
        <w:spacing w:after="120"/>
        <w:ind w:left="360"/>
        <w:jc w:val="both"/>
        <w:rPr>
          <w:b/>
          <w:color w:val="0070C0"/>
          <w:sz w:val="6"/>
          <w:lang w:val="en-US"/>
        </w:rPr>
      </w:pPr>
    </w:p>
    <w:p w:rsidR="00FC635C" w:rsidRPr="00FC635C" w:rsidRDefault="00FC635C" w:rsidP="00FC635C">
      <w:pPr>
        <w:numPr>
          <w:ilvl w:val="0"/>
          <w:numId w:val="2"/>
        </w:numPr>
        <w:spacing w:after="120"/>
        <w:jc w:val="both"/>
        <w:rPr>
          <w:b/>
        </w:rPr>
      </w:pPr>
      <w:r w:rsidRPr="00FC635C">
        <w:rPr>
          <w:b/>
          <w:bCs/>
        </w:rPr>
        <w:t xml:space="preserve">Приходи по държавния бюджет </w:t>
      </w:r>
    </w:p>
    <w:p w:rsidR="00FC635C" w:rsidRPr="00FC635C" w:rsidRDefault="00FC635C" w:rsidP="00FC635C">
      <w:pPr>
        <w:spacing w:after="120"/>
        <w:jc w:val="both"/>
        <w:rPr>
          <w:bCs/>
          <w:lang w:eastAsia="bg-BG"/>
        </w:rPr>
      </w:pPr>
      <w:r w:rsidRPr="00FC635C">
        <w:rPr>
          <w:bCs/>
          <w:lang w:eastAsia="bg-BG"/>
        </w:rPr>
        <w:t>Общият размер на</w:t>
      </w:r>
      <w:r w:rsidRPr="00FC635C">
        <w:rPr>
          <w:b/>
          <w:bCs/>
          <w:lang w:eastAsia="bg-BG"/>
        </w:rPr>
        <w:t xml:space="preserve"> приходите, помощите и даренията по държавния бюджет</w:t>
      </w:r>
      <w:r w:rsidRPr="00FC635C">
        <w:rPr>
          <w:bCs/>
          <w:lang w:eastAsia="bg-BG"/>
        </w:rPr>
        <w:t xml:space="preserve"> за</w:t>
      </w:r>
      <w:r w:rsidRPr="00FC635C">
        <w:rPr>
          <w:lang w:eastAsia="bg-BG"/>
        </w:rPr>
        <w:t xml:space="preserve"> </w:t>
      </w:r>
      <w:r w:rsidRPr="00FC635C">
        <w:rPr>
          <w:bCs/>
          <w:lang w:eastAsia="bg-BG"/>
        </w:rPr>
        <w:t>2019 г. е</w:t>
      </w:r>
      <w:r w:rsidRPr="00FC635C">
        <w:rPr>
          <w:b/>
          <w:bCs/>
          <w:lang w:eastAsia="bg-BG"/>
        </w:rPr>
        <w:t xml:space="preserve"> 26 006,6</w:t>
      </w:r>
      <w:r w:rsidRPr="00FC635C">
        <w:rPr>
          <w:b/>
          <w:bCs/>
          <w:lang w:val="en-US" w:eastAsia="bg-BG"/>
        </w:rPr>
        <w:t xml:space="preserve"> </w:t>
      </w:r>
      <w:r w:rsidRPr="00FC635C">
        <w:rPr>
          <w:b/>
          <w:bCs/>
          <w:lang w:eastAsia="bg-BG"/>
        </w:rPr>
        <w:t>млн. лв.</w:t>
      </w:r>
      <w:r w:rsidRPr="00FC635C">
        <w:rPr>
          <w:bCs/>
          <w:lang w:eastAsia="bg-BG"/>
        </w:rPr>
        <w:t>, което представлява 101,2 % изпълнение на разчетите по ЗДБРБ за 2019 година.</w:t>
      </w:r>
    </w:p>
    <w:p w:rsidR="00FC635C" w:rsidRPr="00FC635C" w:rsidRDefault="00FC635C" w:rsidP="00FC635C">
      <w:pPr>
        <w:numPr>
          <w:ilvl w:val="0"/>
          <w:numId w:val="3"/>
        </w:numPr>
        <w:tabs>
          <w:tab w:val="num" w:pos="720"/>
        </w:tabs>
        <w:ind w:left="0" w:firstLine="180"/>
        <w:jc w:val="both"/>
        <w:rPr>
          <w:b/>
          <w:bCs/>
          <w:lang w:eastAsia="bg-BG"/>
        </w:rPr>
      </w:pPr>
      <w:r w:rsidRPr="00FC635C">
        <w:rPr>
          <w:bCs/>
          <w:lang w:eastAsia="bg-BG"/>
        </w:rPr>
        <w:t xml:space="preserve"> </w:t>
      </w:r>
      <w:r w:rsidRPr="00FC635C">
        <w:rPr>
          <w:b/>
          <w:bCs/>
          <w:lang w:eastAsia="bg-BG"/>
        </w:rPr>
        <w:t>Данъчни приходи</w:t>
      </w:r>
    </w:p>
    <w:p w:rsidR="00FC635C" w:rsidRPr="00FC635C" w:rsidRDefault="00FC635C" w:rsidP="00FC635C">
      <w:pPr>
        <w:jc w:val="both"/>
        <w:rPr>
          <w:bCs/>
          <w:color w:val="0070C0"/>
          <w:sz w:val="4"/>
          <w:szCs w:val="4"/>
          <w:lang w:eastAsia="bg-BG"/>
        </w:rPr>
      </w:pPr>
    </w:p>
    <w:p w:rsidR="00FC635C" w:rsidRPr="00FC635C" w:rsidRDefault="00FC635C" w:rsidP="00FC635C">
      <w:pPr>
        <w:jc w:val="both"/>
        <w:rPr>
          <w:lang w:eastAsia="bg-BG"/>
        </w:rPr>
      </w:pPr>
      <w:r w:rsidRPr="00FC635C">
        <w:rPr>
          <w:bCs/>
          <w:lang w:eastAsia="bg-BG"/>
        </w:rPr>
        <w:t>Размерът на</w:t>
      </w:r>
      <w:r w:rsidRPr="00FC635C">
        <w:rPr>
          <w:b/>
          <w:bCs/>
          <w:lang w:eastAsia="bg-BG"/>
        </w:rPr>
        <w:t xml:space="preserve"> данъчните постъпления по държавния бюджет</w:t>
      </w:r>
      <w:r w:rsidRPr="00FC635C">
        <w:rPr>
          <w:bCs/>
          <w:lang w:eastAsia="bg-BG"/>
        </w:rPr>
        <w:t xml:space="preserve"> за</w:t>
      </w:r>
      <w:r w:rsidRPr="00FC635C">
        <w:rPr>
          <w:lang w:eastAsia="bg-BG"/>
        </w:rPr>
        <w:t xml:space="preserve"> </w:t>
      </w:r>
      <w:r w:rsidRPr="00FC635C">
        <w:rPr>
          <w:bCs/>
          <w:lang w:eastAsia="bg-BG"/>
        </w:rPr>
        <w:t xml:space="preserve">2019 г. </w:t>
      </w:r>
      <w:r w:rsidRPr="00FC635C">
        <w:rPr>
          <w:lang w:eastAsia="bg-BG"/>
        </w:rPr>
        <w:t xml:space="preserve">е </w:t>
      </w:r>
      <w:r w:rsidRPr="00FC635C">
        <w:rPr>
          <w:b/>
          <w:lang w:eastAsia="bg-BG"/>
        </w:rPr>
        <w:t>23 692,7 млн. лв</w:t>
      </w:r>
      <w:r w:rsidRPr="00FC635C">
        <w:rPr>
          <w:lang w:eastAsia="bg-BG"/>
        </w:rPr>
        <w:t>., което представлява 102,4 % изпълнение на годишните разчети. В сравнение с 2018 г. постъпленията в групата се повишават с 1 904,5 млн. лв. (8,7</w:t>
      </w:r>
      <w:r w:rsidRPr="00FC635C">
        <w:rPr>
          <w:b/>
          <w:bCs/>
          <w:lang w:eastAsia="bg-BG"/>
        </w:rPr>
        <w:t> </w:t>
      </w:r>
      <w:r w:rsidRPr="00FC635C">
        <w:rPr>
          <w:lang w:eastAsia="bg-BG"/>
        </w:rPr>
        <w:t xml:space="preserve">%). </w:t>
      </w:r>
    </w:p>
    <w:p w:rsidR="00FC635C" w:rsidRPr="00FC635C" w:rsidRDefault="00FC635C" w:rsidP="00FC635C">
      <w:pPr>
        <w:jc w:val="both"/>
        <w:rPr>
          <w:color w:val="0070C0"/>
          <w:lang w:val="en-US" w:eastAsia="bg-BG"/>
        </w:rPr>
      </w:pPr>
    </w:p>
    <w:p w:rsidR="00FC635C" w:rsidRPr="00FC635C" w:rsidRDefault="00FC635C" w:rsidP="00FC635C">
      <w:pPr>
        <w:numPr>
          <w:ilvl w:val="0"/>
          <w:numId w:val="4"/>
        </w:numPr>
        <w:tabs>
          <w:tab w:val="clear" w:pos="1440"/>
          <w:tab w:val="num" w:pos="540"/>
        </w:tabs>
        <w:spacing w:after="120"/>
        <w:ind w:left="0" w:firstLine="181"/>
        <w:jc w:val="both"/>
        <w:rPr>
          <w:b/>
          <w:bCs/>
          <w:lang w:eastAsia="bg-BG"/>
        </w:rPr>
      </w:pPr>
      <w:r w:rsidRPr="00FC635C">
        <w:rPr>
          <w:b/>
          <w:bCs/>
          <w:lang w:eastAsia="bg-BG"/>
        </w:rPr>
        <w:t>Преки данъци</w:t>
      </w:r>
    </w:p>
    <w:p w:rsidR="00FC635C" w:rsidRPr="00FC635C" w:rsidRDefault="00FC635C" w:rsidP="00FC635C">
      <w:pPr>
        <w:spacing w:after="120"/>
        <w:jc w:val="both"/>
        <w:rPr>
          <w:lang w:eastAsia="bg-BG"/>
        </w:rPr>
      </w:pPr>
      <w:r w:rsidRPr="00FC635C">
        <w:rPr>
          <w:lang w:eastAsia="bg-BG"/>
        </w:rPr>
        <w:t>Приходите в групата на</w:t>
      </w:r>
      <w:r w:rsidRPr="00FC635C">
        <w:rPr>
          <w:b/>
          <w:lang w:eastAsia="bg-BG"/>
        </w:rPr>
        <w:t xml:space="preserve"> преките данъци</w:t>
      </w:r>
      <w:r w:rsidRPr="00FC635C">
        <w:rPr>
          <w:lang w:eastAsia="bg-BG"/>
        </w:rPr>
        <w:t xml:space="preserve"> са в размер на</w:t>
      </w:r>
      <w:r w:rsidRPr="00FC635C">
        <w:rPr>
          <w:b/>
          <w:lang w:eastAsia="bg-BG"/>
        </w:rPr>
        <w:t> 6 694,1</w:t>
      </w:r>
      <w:r w:rsidRPr="00FC635C">
        <w:rPr>
          <w:b/>
          <w:lang w:val="en-US" w:eastAsia="bg-BG"/>
        </w:rPr>
        <w:t xml:space="preserve"> </w:t>
      </w:r>
      <w:r w:rsidRPr="00FC635C">
        <w:rPr>
          <w:b/>
          <w:lang w:eastAsia="bg-BG"/>
        </w:rPr>
        <w:t>млн. лв</w:t>
      </w:r>
      <w:r w:rsidRPr="00FC635C">
        <w:rPr>
          <w:lang w:eastAsia="bg-BG"/>
        </w:rPr>
        <w:t>. или 102,4 % спрямо планираните за годината, като съпоставени с предходната година нарастват с 582,2 млн. лв. (9,5 %). Приходите от</w:t>
      </w:r>
      <w:r w:rsidRPr="00FC635C">
        <w:rPr>
          <w:b/>
          <w:lang w:eastAsia="bg-BG"/>
        </w:rPr>
        <w:t xml:space="preserve"> </w:t>
      </w:r>
      <w:r w:rsidRPr="00FC635C">
        <w:rPr>
          <w:b/>
          <w:bCs/>
          <w:lang w:eastAsia="bg-BG"/>
        </w:rPr>
        <w:t>корпоративни данъци</w:t>
      </w:r>
      <w:r w:rsidRPr="00FC635C">
        <w:rPr>
          <w:lang w:eastAsia="bg-BG"/>
        </w:rPr>
        <w:t xml:space="preserve"> </w:t>
      </w:r>
      <w:r w:rsidRPr="00FC635C">
        <w:rPr>
          <w:bCs/>
          <w:lang w:eastAsia="bg-BG"/>
        </w:rPr>
        <w:t xml:space="preserve">за </w:t>
      </w:r>
      <w:r w:rsidRPr="00FC635C">
        <w:rPr>
          <w:lang w:eastAsia="bg-BG"/>
        </w:rPr>
        <w:t>2019</w:t>
      </w:r>
      <w:r w:rsidRPr="00FC635C">
        <w:rPr>
          <w:b/>
          <w:lang w:eastAsia="bg-BG"/>
        </w:rPr>
        <w:t> </w:t>
      </w:r>
      <w:r w:rsidRPr="00FC635C">
        <w:rPr>
          <w:lang w:eastAsia="bg-BG"/>
        </w:rPr>
        <w:t xml:space="preserve">г. са в размер на </w:t>
      </w:r>
      <w:r w:rsidRPr="00FC635C">
        <w:rPr>
          <w:b/>
          <w:lang w:eastAsia="bg-BG"/>
        </w:rPr>
        <w:t>2 695,2 млн. лв.</w:t>
      </w:r>
      <w:r w:rsidRPr="00FC635C">
        <w:rPr>
          <w:lang w:eastAsia="bg-BG"/>
        </w:rPr>
        <w:t xml:space="preserve"> или </w:t>
      </w:r>
      <w:r w:rsidRPr="00FC635C">
        <w:rPr>
          <w:lang w:eastAsia="bg-BG"/>
        </w:rPr>
        <w:lastRenderedPageBreak/>
        <w:t xml:space="preserve">100,7 % спрямо годишния план. Приходите от </w:t>
      </w:r>
      <w:r w:rsidRPr="00FC635C">
        <w:rPr>
          <w:b/>
          <w:i/>
          <w:lang w:eastAsia="bg-BG"/>
        </w:rPr>
        <w:t>нефинансови предприятия</w:t>
      </w:r>
      <w:r w:rsidRPr="00FC635C">
        <w:rPr>
          <w:lang w:eastAsia="bg-BG"/>
        </w:rPr>
        <w:t xml:space="preserve"> формират основната част от постъпленията от корпоративен данък.</w:t>
      </w:r>
      <w:r w:rsidRPr="00FC635C">
        <w:rPr>
          <w:lang w:val="en-US" w:eastAsia="bg-BG"/>
        </w:rPr>
        <w:t xml:space="preserve"> </w:t>
      </w:r>
    </w:p>
    <w:p w:rsidR="00FC635C" w:rsidRPr="00FC635C" w:rsidRDefault="00FC635C" w:rsidP="00FC635C">
      <w:pPr>
        <w:spacing w:after="120"/>
        <w:jc w:val="both"/>
        <w:rPr>
          <w:lang w:eastAsia="bg-BG"/>
        </w:rPr>
      </w:pPr>
      <w:r w:rsidRPr="00FC635C">
        <w:rPr>
          <w:lang w:eastAsia="bg-BG"/>
        </w:rPr>
        <w:t>Приходите от</w:t>
      </w:r>
      <w:r w:rsidRPr="00FC635C">
        <w:rPr>
          <w:b/>
          <w:lang w:eastAsia="bg-BG"/>
        </w:rPr>
        <w:t xml:space="preserve"> данъци върху доходите на физически лица </w:t>
      </w:r>
      <w:r w:rsidRPr="00FC635C">
        <w:rPr>
          <w:lang w:eastAsia="bg-BG"/>
        </w:rPr>
        <w:t xml:space="preserve">са в размер на </w:t>
      </w:r>
      <w:r w:rsidRPr="00FC635C">
        <w:rPr>
          <w:b/>
          <w:lang w:eastAsia="bg-BG"/>
        </w:rPr>
        <w:t>3 998,9 млн. лв.</w:t>
      </w:r>
      <w:r w:rsidRPr="00FC635C">
        <w:rPr>
          <w:lang w:eastAsia="bg-BG"/>
        </w:rPr>
        <w:t xml:space="preserve"> или 103,6 % спрямо заложените в разчета за годината и нарастват с 351,5 млн. лв. (9,6 %) спрямо декември 2018 година. Върху размера на данъчните постъпления от ДДФЛ основно влияние имат положителното развитие на пазара на труда и предприетите законодателни и административни мерки в областта на трудовото, социалното и данъчното законодателство. За повишаване на приходите от ДДФЛ влияние оказват и предприетите мерки за намаляване на недекларирания труд, мерките за повишаване на събираемостта на задължения за минали периоди и информационните кампании, провеждани от НАП за стимулиране на доброволното изпълнение.      </w:t>
      </w:r>
    </w:p>
    <w:p w:rsidR="00FC635C" w:rsidRPr="00FC635C" w:rsidRDefault="00FC635C" w:rsidP="00FC635C">
      <w:pPr>
        <w:spacing w:after="120"/>
        <w:jc w:val="both"/>
        <w:rPr>
          <w:lang w:eastAsia="bg-BG"/>
        </w:rPr>
      </w:pPr>
      <w:r w:rsidRPr="00FC635C">
        <w:rPr>
          <w:i/>
          <w:lang w:eastAsia="bg-BG"/>
        </w:rPr>
        <w:t>По трудови правоотношения</w:t>
      </w:r>
      <w:r w:rsidRPr="00FC635C">
        <w:rPr>
          <w:lang w:eastAsia="bg-BG"/>
        </w:rPr>
        <w:t xml:space="preserve"> приходите от данъка </w:t>
      </w:r>
      <w:r w:rsidRPr="00FC635C">
        <w:rPr>
          <w:bCs/>
          <w:lang w:eastAsia="bg-BG"/>
        </w:rPr>
        <w:t xml:space="preserve">за </w:t>
      </w:r>
      <w:r w:rsidRPr="00FC635C">
        <w:rPr>
          <w:lang w:eastAsia="bg-BG"/>
        </w:rPr>
        <w:t>2019 г. са 3 287,9 млн. лв., 105,3 % спрямо годишните разчети. Върху размера на постъпленията влияние оказват</w:t>
      </w:r>
      <w:r w:rsidRPr="00FC635C">
        <w:rPr>
          <w:lang w:val="en-US" w:eastAsia="bg-BG"/>
        </w:rPr>
        <w:t xml:space="preserve">: </w:t>
      </w:r>
      <w:r w:rsidRPr="00FC635C">
        <w:rPr>
          <w:lang w:eastAsia="bg-BG"/>
        </w:rPr>
        <w:t xml:space="preserve">увеличението на минималната работна заплата за страната </w:t>
      </w:r>
      <w:r w:rsidRPr="00FC635C">
        <w:t>от 01.</w:t>
      </w:r>
      <w:proofErr w:type="spellStart"/>
      <w:r w:rsidRPr="00FC635C">
        <w:t>01</w:t>
      </w:r>
      <w:proofErr w:type="spellEnd"/>
      <w:r w:rsidRPr="00FC635C">
        <w:t>.2019 г.</w:t>
      </w:r>
      <w:r w:rsidRPr="00FC635C">
        <w:rPr>
          <w:lang w:val="en-US"/>
        </w:rPr>
        <w:t xml:space="preserve">; </w:t>
      </w:r>
      <w:r w:rsidRPr="00FC635C">
        <w:rPr>
          <w:lang w:eastAsia="bg-BG"/>
        </w:rPr>
        <w:t>увеличението на минималните осигурителни прагове за 2019 г.</w:t>
      </w:r>
      <w:r w:rsidRPr="00FC635C">
        <w:rPr>
          <w:lang w:val="en-US" w:eastAsia="bg-BG"/>
        </w:rPr>
        <w:t xml:space="preserve">; </w:t>
      </w:r>
      <w:r w:rsidRPr="00FC635C">
        <w:t>промените в броя на наетите лица и заплащането на труда,</w:t>
      </w:r>
      <w:r w:rsidRPr="00FC635C">
        <w:rPr>
          <w:lang w:val="en-US" w:eastAsia="bg-BG"/>
        </w:rPr>
        <w:t xml:space="preserve"> </w:t>
      </w:r>
      <w:r w:rsidRPr="00FC635C">
        <w:rPr>
          <w:lang w:eastAsia="bg-BG"/>
        </w:rPr>
        <w:t>и промените в нивото на безработица.</w:t>
      </w:r>
    </w:p>
    <w:p w:rsidR="00FC635C" w:rsidRPr="00FC635C" w:rsidRDefault="00FC635C" w:rsidP="00FC635C">
      <w:pPr>
        <w:spacing w:after="120"/>
        <w:jc w:val="both"/>
        <w:rPr>
          <w:lang w:eastAsia="bg-BG"/>
        </w:rPr>
      </w:pPr>
      <w:r w:rsidRPr="00FC635C">
        <w:rPr>
          <w:i/>
          <w:lang w:eastAsia="bg-BG"/>
        </w:rPr>
        <w:t xml:space="preserve">По </w:t>
      </w:r>
      <w:proofErr w:type="spellStart"/>
      <w:r w:rsidRPr="00FC635C">
        <w:rPr>
          <w:i/>
          <w:lang w:eastAsia="bg-BG"/>
        </w:rPr>
        <w:t>извънтрудови</w:t>
      </w:r>
      <w:proofErr w:type="spellEnd"/>
      <w:r w:rsidRPr="00FC635C">
        <w:rPr>
          <w:i/>
          <w:lang w:eastAsia="bg-BG"/>
        </w:rPr>
        <w:t xml:space="preserve"> правоотношения (свободни професии, граждански договори и др.)</w:t>
      </w:r>
      <w:r w:rsidRPr="00FC635C">
        <w:rPr>
          <w:lang w:eastAsia="bg-BG"/>
        </w:rPr>
        <w:t xml:space="preserve"> приходите от данъка </w:t>
      </w:r>
      <w:r w:rsidRPr="00FC635C">
        <w:rPr>
          <w:bCs/>
          <w:lang w:eastAsia="bg-BG"/>
        </w:rPr>
        <w:t xml:space="preserve">за </w:t>
      </w:r>
      <w:r w:rsidRPr="00FC635C">
        <w:rPr>
          <w:lang w:eastAsia="bg-BG"/>
        </w:rPr>
        <w:t xml:space="preserve">2019 г. са в размер на 375,4 млн. лв., което е 102,0 % спрямо годишния разчет. Основно влияние върху тези приходи оказват резултатите от годишните данъчни декларации по чл. 50 от ЗДДФЛ (дължим данък за довнасяне или надвнесен данък) и дължимите авансови вноски. Значителен принос за данъчните приходи от </w:t>
      </w:r>
      <w:proofErr w:type="spellStart"/>
      <w:r w:rsidRPr="00FC635C">
        <w:rPr>
          <w:lang w:eastAsia="bg-BG"/>
        </w:rPr>
        <w:t>извънтрудови</w:t>
      </w:r>
      <w:proofErr w:type="spellEnd"/>
      <w:r w:rsidRPr="00FC635C">
        <w:rPr>
          <w:lang w:eastAsia="bg-BG"/>
        </w:rPr>
        <w:t xml:space="preserve"> правоотношения имат и плащанията за минали години, които нарастват с 6,</w:t>
      </w:r>
      <w:proofErr w:type="spellStart"/>
      <w:r w:rsidRPr="00FC635C">
        <w:rPr>
          <w:lang w:eastAsia="bg-BG"/>
        </w:rPr>
        <w:t>6</w:t>
      </w:r>
      <w:proofErr w:type="spellEnd"/>
      <w:r w:rsidRPr="00FC635C">
        <w:rPr>
          <w:lang w:eastAsia="bg-BG"/>
        </w:rPr>
        <w:t> % на годишна основа.</w:t>
      </w:r>
    </w:p>
    <w:p w:rsidR="00FC635C" w:rsidRPr="00FC635C" w:rsidRDefault="00FC635C" w:rsidP="00FC635C">
      <w:pPr>
        <w:spacing w:after="120"/>
        <w:jc w:val="both"/>
        <w:rPr>
          <w:lang w:eastAsia="bg-BG"/>
        </w:rPr>
      </w:pPr>
      <w:r w:rsidRPr="00FC635C">
        <w:rPr>
          <w:i/>
          <w:lang w:eastAsia="bg-BG"/>
        </w:rPr>
        <w:t xml:space="preserve">Окончателен данък на местните и чуждестранни физически лица по чл. 37 и 38 от ЗДДФЛ </w:t>
      </w:r>
      <w:r w:rsidRPr="00FC635C">
        <w:rPr>
          <w:lang w:eastAsia="bg-BG"/>
        </w:rPr>
        <w:t xml:space="preserve">и </w:t>
      </w:r>
      <w:r w:rsidRPr="00FC635C">
        <w:rPr>
          <w:i/>
          <w:lang w:eastAsia="bg-BG"/>
        </w:rPr>
        <w:t>данък върху дивидентите и ликвидационните дялове на физически лица</w:t>
      </w:r>
      <w:r w:rsidRPr="00FC635C">
        <w:rPr>
          <w:lang w:eastAsia="bg-BG"/>
        </w:rPr>
        <w:t xml:space="preserve"> - постъпленията от тези данъци са в размер на 329,2 млн. лв., 92,1 % от годишния разчет. </w:t>
      </w:r>
    </w:p>
    <w:p w:rsidR="00FC635C" w:rsidRPr="00FC635C" w:rsidRDefault="00FC635C" w:rsidP="00FC635C">
      <w:pPr>
        <w:spacing w:after="120"/>
        <w:jc w:val="both"/>
        <w:rPr>
          <w:lang w:eastAsia="bg-BG"/>
        </w:rPr>
      </w:pPr>
      <w:r w:rsidRPr="00FC635C">
        <w:rPr>
          <w:lang w:eastAsia="bg-BG"/>
        </w:rPr>
        <w:t xml:space="preserve"> Постъпленията от </w:t>
      </w:r>
      <w:r w:rsidRPr="00FC635C">
        <w:rPr>
          <w:i/>
          <w:lang w:eastAsia="bg-BG"/>
        </w:rPr>
        <w:t xml:space="preserve">окончателния данък върху приходите от лихви от депозити на физическите лица </w:t>
      </w:r>
      <w:r w:rsidRPr="00FC635C">
        <w:rPr>
          <w:lang w:eastAsia="bg-BG"/>
        </w:rPr>
        <w:t>са в размер на 6,4 млн. лева.</w:t>
      </w:r>
    </w:p>
    <w:p w:rsidR="00FC635C" w:rsidRPr="00FC635C" w:rsidRDefault="00FC635C" w:rsidP="00FC635C">
      <w:pPr>
        <w:jc w:val="both"/>
        <w:rPr>
          <w:color w:val="0070C0"/>
          <w:sz w:val="8"/>
          <w:szCs w:val="8"/>
          <w:lang w:eastAsia="bg-BG"/>
        </w:rPr>
      </w:pPr>
    </w:p>
    <w:p w:rsidR="00FC635C" w:rsidRPr="00FC635C" w:rsidRDefault="00FC635C" w:rsidP="00FC635C">
      <w:pPr>
        <w:numPr>
          <w:ilvl w:val="0"/>
          <w:numId w:val="4"/>
        </w:numPr>
        <w:tabs>
          <w:tab w:val="clear" w:pos="1440"/>
          <w:tab w:val="num" w:pos="540"/>
        </w:tabs>
        <w:ind w:left="0" w:firstLine="180"/>
        <w:jc w:val="both"/>
        <w:rPr>
          <w:b/>
          <w:bCs/>
          <w:lang w:eastAsia="bg-BG"/>
        </w:rPr>
      </w:pPr>
      <w:r w:rsidRPr="00FC635C">
        <w:rPr>
          <w:b/>
          <w:bCs/>
          <w:lang w:eastAsia="bg-BG"/>
        </w:rPr>
        <w:t>Косвени данъци</w:t>
      </w:r>
    </w:p>
    <w:p w:rsidR="00FC635C" w:rsidRPr="00FC635C" w:rsidRDefault="00FC635C" w:rsidP="00FC635C">
      <w:pPr>
        <w:jc w:val="both"/>
        <w:rPr>
          <w:b/>
          <w:bCs/>
          <w:color w:val="0070C0"/>
          <w:sz w:val="4"/>
          <w:szCs w:val="4"/>
          <w:lang w:eastAsia="bg-BG"/>
        </w:rPr>
      </w:pPr>
    </w:p>
    <w:p w:rsidR="00FC635C" w:rsidRPr="00FC635C" w:rsidRDefault="00FC635C" w:rsidP="00FC635C">
      <w:pPr>
        <w:spacing w:after="120"/>
        <w:jc w:val="both"/>
        <w:rPr>
          <w:lang w:eastAsia="bg-BG"/>
        </w:rPr>
      </w:pPr>
      <w:r w:rsidRPr="00FC635C">
        <w:rPr>
          <w:lang w:eastAsia="bg-BG"/>
        </w:rPr>
        <w:t xml:space="preserve">Приходите от </w:t>
      </w:r>
      <w:r w:rsidRPr="00FC635C">
        <w:rPr>
          <w:b/>
          <w:lang w:eastAsia="bg-BG"/>
        </w:rPr>
        <w:t>косвени данъци</w:t>
      </w:r>
      <w:r w:rsidRPr="00FC635C">
        <w:rPr>
          <w:lang w:eastAsia="bg-BG"/>
        </w:rPr>
        <w:t xml:space="preserve"> </w:t>
      </w:r>
      <w:r w:rsidRPr="00FC635C">
        <w:rPr>
          <w:bCs/>
          <w:lang w:eastAsia="bg-BG"/>
        </w:rPr>
        <w:t xml:space="preserve">за </w:t>
      </w:r>
      <w:r w:rsidRPr="00FC635C">
        <w:rPr>
          <w:lang w:eastAsia="bg-BG"/>
        </w:rPr>
        <w:t xml:space="preserve">2019 г. са в размер на </w:t>
      </w:r>
      <w:r w:rsidRPr="00FC635C">
        <w:rPr>
          <w:b/>
          <w:lang w:eastAsia="bg-BG"/>
        </w:rPr>
        <w:t>16 847,7 млн. лв</w:t>
      </w:r>
      <w:r w:rsidRPr="00FC635C">
        <w:rPr>
          <w:lang w:eastAsia="bg-BG"/>
        </w:rPr>
        <w:t xml:space="preserve">. или 102,5 % спрямо годишния разчет. </w:t>
      </w:r>
    </w:p>
    <w:p w:rsidR="00FC635C" w:rsidRPr="00FC635C" w:rsidRDefault="00FC635C" w:rsidP="00FC635C">
      <w:pPr>
        <w:spacing w:after="120"/>
        <w:jc w:val="both"/>
        <w:rPr>
          <w:color w:val="0070C0"/>
          <w:lang w:val="en-US" w:eastAsia="bg-BG"/>
        </w:rPr>
      </w:pPr>
      <w:r w:rsidRPr="00FC635C">
        <w:rPr>
          <w:b/>
          <w:lang w:eastAsia="bg-BG"/>
        </w:rPr>
        <w:t>Приходите от ДДС</w:t>
      </w:r>
      <w:r w:rsidRPr="00FC635C">
        <w:rPr>
          <w:lang w:eastAsia="bg-BG"/>
        </w:rPr>
        <w:t xml:space="preserve"> са в размер на </w:t>
      </w:r>
      <w:r w:rsidRPr="00FC635C">
        <w:rPr>
          <w:b/>
          <w:lang w:eastAsia="bg-BG"/>
        </w:rPr>
        <w:t>11 086,1</w:t>
      </w:r>
      <w:r w:rsidRPr="00FC635C">
        <w:rPr>
          <w:lang w:eastAsia="bg-BG"/>
        </w:rPr>
        <w:t xml:space="preserve"> </w:t>
      </w:r>
      <w:r w:rsidRPr="00FC635C">
        <w:rPr>
          <w:b/>
          <w:lang w:eastAsia="bg-BG"/>
        </w:rPr>
        <w:t>млн. лв.,</w:t>
      </w:r>
      <w:r w:rsidRPr="00FC635C">
        <w:rPr>
          <w:lang w:eastAsia="bg-BG"/>
        </w:rPr>
        <w:t xml:space="preserve"> което представлява 102,4 % спрямо планираните със ЗДБРБ за 2019 година. Постъпленията от ДДС нарастват с 1 022,1 млн. лв. (10,2 %) спрямо отчетените за предходната година. </w:t>
      </w:r>
    </w:p>
    <w:p w:rsidR="00FC635C" w:rsidRPr="00FC635C" w:rsidRDefault="00FC635C" w:rsidP="00FC635C">
      <w:pPr>
        <w:spacing w:after="120"/>
        <w:jc w:val="both"/>
        <w:rPr>
          <w:color w:val="0070C0"/>
          <w:lang w:eastAsia="bg-BG"/>
        </w:rPr>
      </w:pPr>
      <w:r w:rsidRPr="00FC635C">
        <w:rPr>
          <w:lang w:eastAsia="bg-BG"/>
        </w:rPr>
        <w:t xml:space="preserve">Нетният размер на приходите от </w:t>
      </w:r>
      <w:r w:rsidRPr="00FC635C">
        <w:rPr>
          <w:i/>
          <w:lang w:eastAsia="bg-BG"/>
        </w:rPr>
        <w:t>ДДС от внос</w:t>
      </w:r>
      <w:r w:rsidRPr="00FC635C">
        <w:rPr>
          <w:lang w:eastAsia="bg-BG"/>
        </w:rPr>
        <w:t xml:space="preserve"> </w:t>
      </w:r>
      <w:r w:rsidRPr="00FC635C">
        <w:rPr>
          <w:bCs/>
          <w:lang w:eastAsia="bg-BG"/>
        </w:rPr>
        <w:t xml:space="preserve">за </w:t>
      </w:r>
      <w:r w:rsidRPr="00FC635C">
        <w:rPr>
          <w:lang w:eastAsia="bg-BG"/>
        </w:rPr>
        <w:t>2019 г. е 4 263,0 млн. лева. Влияние върху постъпленията от ДДС от внос оказват цената на суровия петрол, количествата на внасяните стоки за междинно потребление (черни, цветни метали и др.), курса на щатския долар спрямо еврото и други</w:t>
      </w:r>
      <w:r w:rsidRPr="00FC635C">
        <w:rPr>
          <w:color w:val="0070C0"/>
          <w:lang w:eastAsia="bg-BG"/>
        </w:rPr>
        <w:t xml:space="preserve">. </w:t>
      </w:r>
    </w:p>
    <w:p w:rsidR="00FC635C" w:rsidRPr="00FC635C" w:rsidRDefault="00FC635C" w:rsidP="00FC635C">
      <w:pPr>
        <w:spacing w:after="120"/>
        <w:jc w:val="both"/>
        <w:rPr>
          <w:b/>
          <w:lang w:eastAsia="bg-BG"/>
        </w:rPr>
      </w:pPr>
      <w:r w:rsidRPr="00FC635C">
        <w:rPr>
          <w:lang w:eastAsia="bg-BG"/>
        </w:rPr>
        <w:t>Постъпленията от</w:t>
      </w:r>
      <w:r w:rsidRPr="00FC635C">
        <w:rPr>
          <w:i/>
          <w:lang w:eastAsia="bg-BG"/>
        </w:rPr>
        <w:t xml:space="preserve"> ДДС при сделки в страната (нето)</w:t>
      </w:r>
      <w:r w:rsidRPr="00FC635C">
        <w:rPr>
          <w:lang w:eastAsia="bg-BG"/>
        </w:rPr>
        <w:t xml:space="preserve"> </w:t>
      </w:r>
      <w:r w:rsidRPr="00FC635C">
        <w:rPr>
          <w:bCs/>
          <w:lang w:eastAsia="bg-BG"/>
        </w:rPr>
        <w:t xml:space="preserve">за </w:t>
      </w:r>
      <w:r w:rsidRPr="00FC635C">
        <w:rPr>
          <w:lang w:eastAsia="bg-BG"/>
        </w:rPr>
        <w:t>2019 г. възлизат на 6 823,2</w:t>
      </w:r>
      <w:r w:rsidRPr="00FC635C">
        <w:rPr>
          <w:rFonts w:eastAsia="Calibri"/>
          <w:b/>
        </w:rPr>
        <w:t> </w:t>
      </w:r>
      <w:r w:rsidRPr="00FC635C">
        <w:rPr>
          <w:lang w:eastAsia="bg-BG"/>
        </w:rPr>
        <w:t xml:space="preserve">млн. лева. </w:t>
      </w:r>
      <w:r w:rsidRPr="00FC635C">
        <w:rPr>
          <w:bCs/>
          <w:lang w:eastAsia="bg-BG"/>
        </w:rPr>
        <w:t>Невъзстановеният данъчен кредит на фирми към 31.12.2019 г. е в размер на 107,8 млн. лева.</w:t>
      </w:r>
    </w:p>
    <w:p w:rsidR="00FC635C" w:rsidRPr="00FC635C" w:rsidRDefault="00FC635C" w:rsidP="00FC635C">
      <w:pPr>
        <w:spacing w:after="120"/>
        <w:jc w:val="both"/>
        <w:rPr>
          <w:bCs/>
        </w:rPr>
      </w:pPr>
      <w:r w:rsidRPr="00FC635C">
        <w:rPr>
          <w:b/>
          <w:lang w:eastAsia="bg-BG"/>
        </w:rPr>
        <w:t xml:space="preserve">Приходите от акцизи (нето) </w:t>
      </w:r>
      <w:r w:rsidRPr="00FC635C">
        <w:rPr>
          <w:lang w:eastAsia="bg-BG"/>
        </w:rPr>
        <w:t xml:space="preserve">от внос, вътрешно производство и въведени в страната от други държави-членки на ЕС акцизни стоки са в размер на </w:t>
      </w:r>
      <w:r w:rsidRPr="00FC635C">
        <w:rPr>
          <w:b/>
          <w:lang w:eastAsia="bg-BG"/>
        </w:rPr>
        <w:t>5 486,0 млн. лв</w:t>
      </w:r>
      <w:r w:rsidRPr="00FC635C">
        <w:rPr>
          <w:lang w:eastAsia="bg-BG"/>
        </w:rPr>
        <w:t xml:space="preserve">., което е 102,9 % спрямо планираните със ЗДБРБ за 2019 г. Съпоставено с 2018 г. постъпленията се увеличават с 282,7 млн. лева. </w:t>
      </w:r>
    </w:p>
    <w:p w:rsidR="00FC635C" w:rsidRPr="00FC635C" w:rsidRDefault="00FC635C" w:rsidP="00FC635C">
      <w:pPr>
        <w:spacing w:after="120"/>
        <w:jc w:val="both"/>
        <w:rPr>
          <w:lang w:val="en-US" w:eastAsia="bg-BG"/>
        </w:rPr>
      </w:pPr>
      <w:r w:rsidRPr="00FC635C">
        <w:rPr>
          <w:lang w:eastAsia="bg-BG"/>
        </w:rPr>
        <w:t>Нетните постъпления от акциз са от следните основни стокови групи: тютюневи изделия (49,9 %);</w:t>
      </w:r>
      <w:r w:rsidRPr="00FC635C">
        <w:rPr>
          <w:lang w:val="en-US" w:eastAsia="bg-BG"/>
        </w:rPr>
        <w:t xml:space="preserve"> </w:t>
      </w:r>
      <w:r w:rsidRPr="00FC635C">
        <w:rPr>
          <w:lang w:eastAsia="bg-BG"/>
        </w:rPr>
        <w:t>горива (43,6 %); алкохолни напитки и пиво (5,7 %) и други акцизни стоки – електрическа енергия, въглища и кокс (0,8 %). Постъпления от акциз за 2019 г. по основни стокови групи, са както следва:</w:t>
      </w:r>
    </w:p>
    <w:p w:rsidR="00FC635C" w:rsidRPr="00FC635C" w:rsidRDefault="00FC635C" w:rsidP="00FC635C">
      <w:pPr>
        <w:numPr>
          <w:ilvl w:val="0"/>
          <w:numId w:val="19"/>
        </w:numPr>
        <w:jc w:val="both"/>
        <w:rPr>
          <w:lang w:eastAsia="bg-BG"/>
        </w:rPr>
      </w:pPr>
      <w:r w:rsidRPr="00FC635C">
        <w:rPr>
          <w:i/>
          <w:lang w:eastAsia="bg-BG"/>
        </w:rPr>
        <w:lastRenderedPageBreak/>
        <w:t>Акцизите от тютюневи изделия</w:t>
      </w:r>
      <w:r w:rsidRPr="00FC635C">
        <w:rPr>
          <w:lang w:eastAsia="bg-BG"/>
        </w:rPr>
        <w:t xml:space="preserve">  възлизат на 2 735,4 млн. лева; </w:t>
      </w:r>
    </w:p>
    <w:p w:rsidR="00FC635C" w:rsidRPr="00FC635C" w:rsidRDefault="00FC635C" w:rsidP="00FC635C">
      <w:pPr>
        <w:numPr>
          <w:ilvl w:val="0"/>
          <w:numId w:val="19"/>
        </w:numPr>
        <w:jc w:val="both"/>
        <w:rPr>
          <w:lang w:eastAsia="bg-BG"/>
        </w:rPr>
      </w:pPr>
      <w:r w:rsidRPr="00FC635C">
        <w:rPr>
          <w:i/>
          <w:lang w:eastAsia="bg-BG"/>
        </w:rPr>
        <w:t>Акцизите от горив</w:t>
      </w:r>
      <w:r w:rsidRPr="00FC635C">
        <w:rPr>
          <w:lang w:eastAsia="bg-BG"/>
        </w:rPr>
        <w:t xml:space="preserve">а са в размер на 2 393,4 млн. лева; </w:t>
      </w:r>
    </w:p>
    <w:p w:rsidR="00FC635C" w:rsidRPr="00FC635C" w:rsidRDefault="00FC635C" w:rsidP="00FC635C">
      <w:pPr>
        <w:numPr>
          <w:ilvl w:val="0"/>
          <w:numId w:val="19"/>
        </w:numPr>
        <w:jc w:val="both"/>
        <w:rPr>
          <w:lang w:eastAsia="bg-BG"/>
        </w:rPr>
      </w:pPr>
      <w:r w:rsidRPr="00FC635C">
        <w:rPr>
          <w:i/>
          <w:lang w:eastAsia="bg-BG"/>
        </w:rPr>
        <w:t xml:space="preserve">Акцизите от алкохолни напитки и пиво </w:t>
      </w:r>
      <w:r w:rsidRPr="00FC635C">
        <w:rPr>
          <w:lang w:eastAsia="bg-BG"/>
        </w:rPr>
        <w:t xml:space="preserve"> възлизат на 310,9 млн. лева; </w:t>
      </w:r>
    </w:p>
    <w:p w:rsidR="00FC635C" w:rsidRPr="00FC635C" w:rsidRDefault="00FC635C" w:rsidP="00FC635C">
      <w:pPr>
        <w:numPr>
          <w:ilvl w:val="0"/>
          <w:numId w:val="19"/>
        </w:numPr>
        <w:jc w:val="both"/>
        <w:rPr>
          <w:lang w:eastAsia="bg-BG"/>
        </w:rPr>
      </w:pPr>
      <w:r w:rsidRPr="00FC635C">
        <w:rPr>
          <w:i/>
          <w:lang w:eastAsia="bg-BG"/>
        </w:rPr>
        <w:t xml:space="preserve">Приходите от други акцизни стоки - електрическа енергия, въглища и кокс </w:t>
      </w:r>
      <w:r w:rsidRPr="00FC635C">
        <w:rPr>
          <w:lang w:eastAsia="bg-BG"/>
        </w:rPr>
        <w:t>– възлизат на 46,3 млн. лева.</w:t>
      </w:r>
    </w:p>
    <w:p w:rsidR="00FC635C" w:rsidRPr="00FC635C" w:rsidRDefault="00FC635C" w:rsidP="00FC635C">
      <w:pPr>
        <w:ind w:left="360"/>
        <w:jc w:val="both"/>
        <w:rPr>
          <w:color w:val="0070C0"/>
          <w:sz w:val="8"/>
          <w:szCs w:val="8"/>
          <w:lang w:eastAsia="bg-BG"/>
        </w:rPr>
      </w:pPr>
    </w:p>
    <w:p w:rsidR="00FC635C" w:rsidRPr="00FC635C" w:rsidRDefault="00FC635C" w:rsidP="00FC635C">
      <w:pPr>
        <w:spacing w:after="120"/>
        <w:jc w:val="both"/>
        <w:rPr>
          <w:lang w:eastAsia="bg-BG"/>
        </w:rPr>
      </w:pPr>
      <w:r w:rsidRPr="00FC635C">
        <w:rPr>
          <w:b/>
          <w:lang w:eastAsia="bg-BG"/>
        </w:rPr>
        <w:t>Приходите от данък върху застрахователните премии</w:t>
      </w:r>
      <w:r w:rsidRPr="00FC635C">
        <w:rPr>
          <w:lang w:eastAsia="bg-BG"/>
        </w:rPr>
        <w:t xml:space="preserve"> са в размер на </w:t>
      </w:r>
      <w:r w:rsidRPr="00FC635C">
        <w:rPr>
          <w:b/>
          <w:lang w:eastAsia="bg-BG"/>
        </w:rPr>
        <w:t>44,7 млн. лв</w:t>
      </w:r>
      <w:r w:rsidRPr="00FC635C">
        <w:rPr>
          <w:lang w:eastAsia="bg-BG"/>
        </w:rPr>
        <w:t>., при планирани за годината 39,7 млн. лева.</w:t>
      </w:r>
    </w:p>
    <w:p w:rsidR="00FC635C" w:rsidRPr="00FC635C" w:rsidRDefault="00FC635C" w:rsidP="00FC635C">
      <w:pPr>
        <w:tabs>
          <w:tab w:val="right" w:pos="9072"/>
        </w:tabs>
        <w:ind w:right="-2"/>
        <w:jc w:val="both"/>
        <w:rPr>
          <w:lang w:eastAsia="bg-BG"/>
        </w:rPr>
      </w:pPr>
      <w:r w:rsidRPr="00FC635C">
        <w:rPr>
          <w:b/>
          <w:lang w:eastAsia="bg-BG"/>
        </w:rPr>
        <w:t>Постъпленията от</w:t>
      </w:r>
      <w:r w:rsidRPr="00FC635C">
        <w:rPr>
          <w:lang w:eastAsia="bg-BG"/>
        </w:rPr>
        <w:t xml:space="preserve"> </w:t>
      </w:r>
      <w:r w:rsidRPr="00FC635C">
        <w:rPr>
          <w:b/>
          <w:bCs/>
          <w:lang w:eastAsia="bg-BG"/>
        </w:rPr>
        <w:t xml:space="preserve">мита </w:t>
      </w:r>
      <w:r w:rsidRPr="00FC635C">
        <w:rPr>
          <w:lang w:eastAsia="bg-BG"/>
        </w:rPr>
        <w:t xml:space="preserve">възлизат на </w:t>
      </w:r>
      <w:r w:rsidRPr="00FC635C">
        <w:rPr>
          <w:b/>
          <w:lang w:eastAsia="bg-BG"/>
        </w:rPr>
        <w:t>230,9 млн. лв</w:t>
      </w:r>
      <w:r w:rsidRPr="00FC635C">
        <w:rPr>
          <w:lang w:eastAsia="bg-BG"/>
        </w:rPr>
        <w:t xml:space="preserve">. или 97,5 % от планираните със ЗДБРБ за 2019 г., като заемат 1,0 % относителен дял в общия размер на данъчните приходи по държавния бюджет. В сравнение с предходната година събраните мита са с 4,7 млн. лв. (2,1 %) повече. </w:t>
      </w:r>
      <w:r w:rsidRPr="00FC635C">
        <w:rPr>
          <w:b/>
          <w:i/>
          <w:lang w:eastAsia="bg-BG"/>
        </w:rPr>
        <w:t>По-високи постъпления от мита</w:t>
      </w:r>
      <w:r w:rsidRPr="00FC635C">
        <w:rPr>
          <w:lang w:eastAsia="bg-BG"/>
        </w:rPr>
        <w:t xml:space="preserve"> за 2019 г. спрямо предходната година се отчитат при следните стокови групи: „Неорганични химични продукти; неорганични или органични съединения на благородни метали, на радиоактивни елементи, на </w:t>
      </w:r>
      <w:proofErr w:type="spellStart"/>
      <w:r w:rsidRPr="00FC635C">
        <w:rPr>
          <w:lang w:eastAsia="bg-BG"/>
        </w:rPr>
        <w:t>редкоземни</w:t>
      </w:r>
      <w:proofErr w:type="spellEnd"/>
      <w:r w:rsidRPr="00FC635C">
        <w:rPr>
          <w:lang w:eastAsia="bg-BG"/>
        </w:rPr>
        <w:t xml:space="preserve"> метали или на изотопи“ – за 2019 г. приходите нарастват с 6,9 млн. лв.; „Житни растения“ – постъпленията се повишават с 3,1 млн. лв. спрямо 2018 г.; „Торове“ – постъпленията са с 2,</w:t>
      </w:r>
      <w:proofErr w:type="spellStart"/>
      <w:r w:rsidRPr="00FC635C">
        <w:rPr>
          <w:lang w:eastAsia="bg-BG"/>
        </w:rPr>
        <w:t>2</w:t>
      </w:r>
      <w:proofErr w:type="spellEnd"/>
      <w:r w:rsidRPr="00FC635C">
        <w:rPr>
          <w:lang w:val="en-US" w:eastAsia="bg-BG"/>
        </w:rPr>
        <w:t> </w:t>
      </w:r>
      <w:r w:rsidRPr="00FC635C">
        <w:rPr>
          <w:lang w:eastAsia="bg-BG"/>
        </w:rPr>
        <w:t>млн. лв. (42,3 %) повече спрямо 2018 г.; „Пластмаси и пластмасови изделия“ – постъпленията нарастват с 1,9 млн. лв. (11,8 %) спрямо предходната година; „Мебели; медицинска и хирургическа мебелировка; спални артикули и други подобни; осветителни тела, неупоменати, нито включени другаде; рекламни лампи, светлинни надписи, светлинни указателни табели и подобни артикули; сглобяеми конструкции“ – постъпленията са с 1,</w:t>
      </w:r>
      <w:proofErr w:type="spellStart"/>
      <w:r w:rsidRPr="00FC635C">
        <w:rPr>
          <w:lang w:eastAsia="bg-BG"/>
        </w:rPr>
        <w:t>1</w:t>
      </w:r>
      <w:proofErr w:type="spellEnd"/>
      <w:r w:rsidRPr="00FC635C">
        <w:rPr>
          <w:lang w:val="en-US" w:eastAsia="bg-BG"/>
        </w:rPr>
        <w:t> </w:t>
      </w:r>
      <w:r w:rsidRPr="00FC635C">
        <w:rPr>
          <w:lang w:eastAsia="bg-BG"/>
        </w:rPr>
        <w:t xml:space="preserve">млн. лв. (24,8 %) повече спрямо 2018 г. </w:t>
      </w:r>
      <w:r w:rsidRPr="00FC635C">
        <w:rPr>
          <w:b/>
          <w:i/>
          <w:lang w:eastAsia="bg-BG"/>
        </w:rPr>
        <w:t>Значително намаление на приходите от мита</w:t>
      </w:r>
      <w:r w:rsidRPr="00FC635C">
        <w:rPr>
          <w:lang w:eastAsia="bg-BG"/>
        </w:rPr>
        <w:t xml:space="preserve"> към 31.12.2019 г. се отчита при следните групи стоки: „Чугун, желязо и стомана“ – постъпленията са с 12,9 млн. лв. (79,0 %) по-ниски. Приблизително 57,3 % от количествата стоки по тази група, внесени от трети страни през 2019 г., са обхванати от мерки, свързани с прилагане на </w:t>
      </w:r>
      <w:proofErr w:type="spellStart"/>
      <w:r w:rsidRPr="00FC635C">
        <w:rPr>
          <w:lang w:eastAsia="bg-BG"/>
        </w:rPr>
        <w:t>непреферeнциални</w:t>
      </w:r>
      <w:proofErr w:type="spellEnd"/>
      <w:r w:rsidRPr="00FC635C">
        <w:rPr>
          <w:lang w:eastAsia="bg-BG"/>
        </w:rPr>
        <w:t xml:space="preserve"> тарифни квоти и преференциални ставки на митата. За 2018 г. този дял е 24,6 %; „Различни видове продукти на химическата промишленост“ – постъпленията намаляват с 9,6 млн. лв. (82,6 %); „Ядрени реактори, котли, машини, апарати и механизми; части за тези машини или апарати“ - спадът е с 2,4 млн. лв. </w:t>
      </w:r>
      <w:r w:rsidRPr="00FC635C">
        <w:rPr>
          <w:lang w:val="en-US" w:eastAsia="bg-BG"/>
        </w:rPr>
        <w:t>(</w:t>
      </w:r>
      <w:r w:rsidRPr="00FC635C">
        <w:rPr>
          <w:lang w:eastAsia="bg-BG"/>
        </w:rPr>
        <w:t>12</w:t>
      </w:r>
      <w:proofErr w:type="gramStart"/>
      <w:r w:rsidRPr="00FC635C">
        <w:rPr>
          <w:lang w:eastAsia="bg-BG"/>
        </w:rPr>
        <w:t>,7</w:t>
      </w:r>
      <w:proofErr w:type="gramEnd"/>
      <w:r w:rsidRPr="00FC635C">
        <w:rPr>
          <w:lang w:eastAsia="bg-BG"/>
        </w:rPr>
        <w:t xml:space="preserve"> %</w:t>
      </w:r>
      <w:r w:rsidRPr="00FC635C">
        <w:rPr>
          <w:lang w:val="en-US" w:eastAsia="bg-BG"/>
        </w:rPr>
        <w:t>)</w:t>
      </w:r>
      <w:r w:rsidRPr="00FC635C">
        <w:rPr>
          <w:lang w:eastAsia="bg-BG"/>
        </w:rPr>
        <w:t>; „Стъкло и изделия от стъкло“ – спад с 0,9 млн. лв.</w:t>
      </w:r>
      <w:r w:rsidRPr="00FC635C">
        <w:rPr>
          <w:lang w:val="en-US" w:eastAsia="bg-BG"/>
        </w:rPr>
        <w:t xml:space="preserve"> (</w:t>
      </w:r>
      <w:r w:rsidRPr="00FC635C">
        <w:rPr>
          <w:lang w:eastAsia="bg-BG"/>
        </w:rPr>
        <w:t>33</w:t>
      </w:r>
      <w:proofErr w:type="gramStart"/>
      <w:r w:rsidRPr="00FC635C">
        <w:rPr>
          <w:lang w:eastAsia="bg-BG"/>
        </w:rPr>
        <w:t>,0</w:t>
      </w:r>
      <w:proofErr w:type="gramEnd"/>
      <w:r w:rsidRPr="00FC635C">
        <w:rPr>
          <w:b/>
          <w:lang w:eastAsia="bg-BG"/>
        </w:rPr>
        <w:t> </w:t>
      </w:r>
      <w:r w:rsidRPr="00FC635C">
        <w:rPr>
          <w:lang w:eastAsia="bg-BG"/>
        </w:rPr>
        <w:t>%</w:t>
      </w:r>
      <w:r w:rsidRPr="00FC635C">
        <w:rPr>
          <w:lang w:val="en-US" w:eastAsia="bg-BG"/>
        </w:rPr>
        <w:t>)</w:t>
      </w:r>
      <w:r w:rsidRPr="00FC635C">
        <w:rPr>
          <w:lang w:eastAsia="bg-BG"/>
        </w:rPr>
        <w:t xml:space="preserve"> спрямо 2018 г. и стоки от глава „Автомобилни превозни средства, трактори, мотоциклети и велосипеди и други сухопътни превозни средства, техните части и принадлежности“ - спадът е с 0,9 млн. лв. </w:t>
      </w:r>
      <w:r w:rsidRPr="00FC635C">
        <w:rPr>
          <w:lang w:val="en-US" w:eastAsia="bg-BG"/>
        </w:rPr>
        <w:t>(</w:t>
      </w:r>
      <w:r w:rsidRPr="00FC635C">
        <w:rPr>
          <w:lang w:eastAsia="bg-BG"/>
        </w:rPr>
        <w:t>4</w:t>
      </w:r>
      <w:proofErr w:type="gramStart"/>
      <w:r w:rsidRPr="00FC635C">
        <w:rPr>
          <w:lang w:eastAsia="bg-BG"/>
        </w:rPr>
        <w:t>,1</w:t>
      </w:r>
      <w:proofErr w:type="gramEnd"/>
      <w:r w:rsidRPr="00FC635C">
        <w:rPr>
          <w:lang w:eastAsia="bg-BG"/>
        </w:rPr>
        <w:t xml:space="preserve"> %</w:t>
      </w:r>
      <w:r w:rsidRPr="00FC635C">
        <w:rPr>
          <w:lang w:val="en-US" w:eastAsia="bg-BG"/>
        </w:rPr>
        <w:t>)</w:t>
      </w:r>
      <w:r w:rsidRPr="00FC635C">
        <w:rPr>
          <w:lang w:eastAsia="bg-BG"/>
        </w:rPr>
        <w:t>. В зависимост от произхода на внасяните стоки, най-голям е делът на приходите от мита при внос на стоки от Китай, като за 2019 г. постъпленията възлизат на 115,5 млн. лв. и са с 14,0 % повече спрямо 2018 година. Те формират 50,1 % от общия обем на митата за периода. На второ място са приходите от мита за внос на стоки с произход Русия, които са в размер на 27,0</w:t>
      </w:r>
      <w:r w:rsidRPr="00FC635C">
        <w:rPr>
          <w:b/>
          <w:lang w:eastAsia="bg-BG"/>
        </w:rPr>
        <w:t> </w:t>
      </w:r>
      <w:r w:rsidRPr="00FC635C">
        <w:rPr>
          <w:lang w:eastAsia="bg-BG"/>
        </w:rPr>
        <w:t>млн. лв. и отчитат увеличение с 32,8 % на годишна база. Тези постъпления имат относителен дял от 11,7 % от всички мита. Следват приходите от мита при внос на стоки с произход от САЩ, които са в размер на 11,0 млн. лв., като отчитат намаление със 7,3 % спрямо 2018 г. и представляват 4,8 % от всички мита. Постъпленията от внос на стоки с произход Япония са в размер на 8,4 млн. лв., като отчитат намаление с 30,9 % спрямо предходната година и представляват 3,6 % от всички мита. Значителният спад на постъпленията от мита за внесени от Япония стоки е свързан с прилаганите през 2019 г. преференциални ставки в резултат на влязло в сила търговско споразумение между Европейския съюз и Япония. Справка в системите на Агенция „Митници“ показва, че приблизително около 28,5 % от стойностния обем на вноса от Япония през 2019 г. е обхванат от преференциални мерки на търговската политика. Постъпленията от мита за стоки от Еквадор са в размер на 6,3 млн. лв. и отчитат намаление с 6,0 % на годишна база. Тези постъпления имат относителен дял от 2,7 % от всички мита.</w:t>
      </w:r>
    </w:p>
    <w:p w:rsidR="00FC635C" w:rsidRPr="00FC635C" w:rsidRDefault="00FC635C" w:rsidP="00FC635C">
      <w:pPr>
        <w:tabs>
          <w:tab w:val="right" w:pos="9072"/>
        </w:tabs>
        <w:ind w:right="-2"/>
        <w:jc w:val="both"/>
        <w:rPr>
          <w:color w:val="0070C0"/>
          <w:lang w:eastAsia="bg-BG"/>
        </w:rPr>
      </w:pPr>
    </w:p>
    <w:p w:rsidR="00FC635C" w:rsidRPr="00FC635C" w:rsidRDefault="00FC635C" w:rsidP="00FC635C">
      <w:pPr>
        <w:numPr>
          <w:ilvl w:val="0"/>
          <w:numId w:val="4"/>
        </w:numPr>
        <w:tabs>
          <w:tab w:val="clear" w:pos="1440"/>
          <w:tab w:val="num" w:pos="540"/>
        </w:tabs>
        <w:ind w:left="0" w:firstLine="180"/>
        <w:jc w:val="both"/>
        <w:rPr>
          <w:b/>
          <w:bCs/>
          <w:lang w:eastAsia="bg-BG"/>
        </w:rPr>
      </w:pPr>
      <w:r w:rsidRPr="00FC635C">
        <w:rPr>
          <w:b/>
          <w:bCs/>
          <w:lang w:eastAsia="bg-BG"/>
        </w:rPr>
        <w:t>Други данъци</w:t>
      </w:r>
    </w:p>
    <w:p w:rsidR="00FC635C" w:rsidRPr="00FC635C" w:rsidRDefault="00FC635C" w:rsidP="00FC635C">
      <w:pPr>
        <w:jc w:val="both"/>
        <w:rPr>
          <w:b/>
          <w:bCs/>
          <w:sz w:val="8"/>
          <w:szCs w:val="8"/>
          <w:lang w:eastAsia="bg-BG"/>
        </w:rPr>
      </w:pPr>
    </w:p>
    <w:p w:rsidR="00FC635C" w:rsidRPr="00FC635C" w:rsidRDefault="00FC635C" w:rsidP="00FC635C">
      <w:pPr>
        <w:spacing w:after="120"/>
        <w:ind w:right="-110"/>
        <w:jc w:val="both"/>
        <w:rPr>
          <w:lang w:eastAsia="bg-BG"/>
        </w:rPr>
      </w:pPr>
      <w:r w:rsidRPr="00FC635C">
        <w:rPr>
          <w:lang w:eastAsia="bg-BG"/>
        </w:rPr>
        <w:t xml:space="preserve">Постъпленията от </w:t>
      </w:r>
      <w:r w:rsidRPr="00FC635C">
        <w:rPr>
          <w:b/>
          <w:lang w:eastAsia="bg-BG"/>
        </w:rPr>
        <w:t>други данъци</w:t>
      </w:r>
      <w:r w:rsidRPr="00FC635C">
        <w:rPr>
          <w:lang w:eastAsia="bg-BG"/>
        </w:rPr>
        <w:t xml:space="preserve"> по държавния бюджет </w:t>
      </w:r>
      <w:r w:rsidRPr="00FC635C">
        <w:rPr>
          <w:bCs/>
          <w:lang w:eastAsia="bg-BG"/>
        </w:rPr>
        <w:t xml:space="preserve">за </w:t>
      </w:r>
      <w:r w:rsidRPr="00FC635C">
        <w:rPr>
          <w:lang w:eastAsia="bg-BG"/>
        </w:rPr>
        <w:t xml:space="preserve">2019 г. са в размер на </w:t>
      </w:r>
      <w:r w:rsidRPr="00FC635C">
        <w:rPr>
          <w:b/>
          <w:lang w:eastAsia="bg-BG"/>
        </w:rPr>
        <w:t>150,9 млн.</w:t>
      </w:r>
      <w:r w:rsidRPr="00FC635C">
        <w:rPr>
          <w:b/>
          <w:lang w:val="en-US" w:eastAsia="bg-BG"/>
        </w:rPr>
        <w:t> </w:t>
      </w:r>
      <w:r w:rsidRPr="00FC635C">
        <w:rPr>
          <w:b/>
          <w:lang w:eastAsia="bg-BG"/>
        </w:rPr>
        <w:t xml:space="preserve">лв. </w:t>
      </w:r>
      <w:r w:rsidRPr="00FC635C">
        <w:rPr>
          <w:lang w:eastAsia="bg-BG"/>
        </w:rPr>
        <w:t xml:space="preserve">или 94,9 % от планираните със ЗДБРБ за 2019 година. </w:t>
      </w:r>
    </w:p>
    <w:p w:rsidR="00FC635C" w:rsidRPr="00FC635C" w:rsidRDefault="00FC635C" w:rsidP="00FC635C">
      <w:pPr>
        <w:numPr>
          <w:ilvl w:val="0"/>
          <w:numId w:val="3"/>
        </w:numPr>
        <w:spacing w:after="120"/>
        <w:jc w:val="both"/>
        <w:rPr>
          <w:bCs/>
          <w:color w:val="0070C0"/>
          <w:sz w:val="6"/>
          <w:lang w:eastAsia="bg-BG"/>
        </w:rPr>
      </w:pPr>
    </w:p>
    <w:p w:rsidR="00FC635C" w:rsidRPr="00FC635C" w:rsidRDefault="00FC635C" w:rsidP="00FC635C">
      <w:pPr>
        <w:numPr>
          <w:ilvl w:val="0"/>
          <w:numId w:val="3"/>
        </w:numPr>
        <w:tabs>
          <w:tab w:val="num" w:pos="720"/>
        </w:tabs>
        <w:ind w:left="0" w:firstLine="180"/>
        <w:jc w:val="both"/>
        <w:rPr>
          <w:lang w:eastAsia="bg-BG"/>
        </w:rPr>
      </w:pPr>
      <w:r w:rsidRPr="00FC635C">
        <w:rPr>
          <w:b/>
          <w:bCs/>
          <w:lang w:eastAsia="bg-BG"/>
        </w:rPr>
        <w:lastRenderedPageBreak/>
        <w:t>Неданъчни приходи</w:t>
      </w:r>
    </w:p>
    <w:p w:rsidR="00FC635C" w:rsidRPr="00FC635C" w:rsidRDefault="00FC635C" w:rsidP="00FC635C">
      <w:pPr>
        <w:tabs>
          <w:tab w:val="left" w:pos="900"/>
        </w:tabs>
        <w:jc w:val="both"/>
        <w:rPr>
          <w:color w:val="0070C0"/>
          <w:sz w:val="8"/>
          <w:szCs w:val="8"/>
          <w:lang w:eastAsia="bg-BG"/>
        </w:rPr>
      </w:pPr>
    </w:p>
    <w:p w:rsidR="00FC635C" w:rsidRPr="00FC635C" w:rsidRDefault="00FC635C" w:rsidP="00FC635C">
      <w:pPr>
        <w:tabs>
          <w:tab w:val="left" w:pos="900"/>
        </w:tabs>
        <w:spacing w:after="120"/>
        <w:jc w:val="both"/>
        <w:rPr>
          <w:lang w:val="en-US" w:eastAsia="bg-BG"/>
        </w:rPr>
      </w:pPr>
      <w:r w:rsidRPr="00FC635C">
        <w:rPr>
          <w:lang w:eastAsia="bg-BG"/>
        </w:rPr>
        <w:t>Отчетените</w:t>
      </w:r>
      <w:r w:rsidRPr="00FC635C">
        <w:rPr>
          <w:b/>
          <w:bCs/>
          <w:lang w:eastAsia="bg-BG"/>
        </w:rPr>
        <w:t xml:space="preserve"> неданъчни приходи</w:t>
      </w:r>
      <w:r w:rsidRPr="00FC635C">
        <w:rPr>
          <w:lang w:eastAsia="bg-BG"/>
        </w:rPr>
        <w:t xml:space="preserve"> по държавния бюджет </w:t>
      </w:r>
      <w:r w:rsidRPr="00FC635C">
        <w:rPr>
          <w:bCs/>
          <w:lang w:eastAsia="bg-BG"/>
        </w:rPr>
        <w:t xml:space="preserve">за </w:t>
      </w:r>
      <w:r w:rsidRPr="00FC635C">
        <w:rPr>
          <w:lang w:eastAsia="bg-BG"/>
        </w:rPr>
        <w:t xml:space="preserve">2019 г. са в размер на </w:t>
      </w:r>
      <w:r w:rsidRPr="00FC635C">
        <w:rPr>
          <w:b/>
          <w:lang w:eastAsia="bg-BG"/>
        </w:rPr>
        <w:t>2 218,1 млн.</w:t>
      </w:r>
      <w:r w:rsidRPr="00FC635C">
        <w:rPr>
          <w:b/>
          <w:lang w:val="en-US" w:eastAsia="bg-BG"/>
        </w:rPr>
        <w:t> </w:t>
      </w:r>
      <w:r w:rsidRPr="00FC635C">
        <w:rPr>
          <w:b/>
          <w:lang w:eastAsia="bg-BG"/>
        </w:rPr>
        <w:t>лв</w:t>
      </w:r>
      <w:r w:rsidRPr="00FC635C">
        <w:rPr>
          <w:lang w:eastAsia="bg-BG"/>
        </w:rPr>
        <w:t xml:space="preserve">. и се формират основно от приходи от държавни такси, приходи и доходи от собственост, приходи от концесии и други. </w:t>
      </w:r>
    </w:p>
    <w:p w:rsidR="00FC635C" w:rsidRPr="00FC635C" w:rsidRDefault="00FC635C" w:rsidP="00FC635C">
      <w:pPr>
        <w:numPr>
          <w:ilvl w:val="0"/>
          <w:numId w:val="3"/>
        </w:numPr>
        <w:tabs>
          <w:tab w:val="num" w:pos="720"/>
        </w:tabs>
        <w:spacing w:after="120"/>
        <w:ind w:left="0" w:firstLine="180"/>
        <w:jc w:val="both"/>
        <w:rPr>
          <w:b/>
          <w:bCs/>
          <w:lang w:eastAsia="bg-BG"/>
        </w:rPr>
      </w:pPr>
      <w:r w:rsidRPr="00FC635C">
        <w:rPr>
          <w:b/>
          <w:bCs/>
          <w:lang w:eastAsia="bg-BG"/>
        </w:rPr>
        <w:t>Помощи и дарения</w:t>
      </w:r>
    </w:p>
    <w:p w:rsidR="00FC635C" w:rsidRPr="00FC635C" w:rsidRDefault="00FC635C" w:rsidP="00FC635C">
      <w:pPr>
        <w:spacing w:after="120"/>
        <w:jc w:val="both"/>
        <w:rPr>
          <w:lang w:eastAsia="bg-BG"/>
        </w:rPr>
      </w:pPr>
      <w:r w:rsidRPr="00FC635C">
        <w:rPr>
          <w:lang w:eastAsia="bg-BG"/>
        </w:rPr>
        <w:t xml:space="preserve">Постъпилите </w:t>
      </w:r>
      <w:r w:rsidRPr="00FC635C">
        <w:rPr>
          <w:b/>
          <w:lang w:eastAsia="bg-BG"/>
        </w:rPr>
        <w:t>помощи</w:t>
      </w:r>
      <w:r w:rsidRPr="00FC635C">
        <w:rPr>
          <w:lang w:eastAsia="bg-BG"/>
        </w:rPr>
        <w:t xml:space="preserve"> </w:t>
      </w:r>
      <w:r w:rsidRPr="00FC635C">
        <w:rPr>
          <w:b/>
          <w:lang w:eastAsia="bg-BG"/>
        </w:rPr>
        <w:t>и дарения</w:t>
      </w:r>
      <w:r w:rsidRPr="00FC635C">
        <w:rPr>
          <w:lang w:eastAsia="bg-BG"/>
        </w:rPr>
        <w:t xml:space="preserve"> по държавния бюджет за 2019 г. са в размер на </w:t>
      </w:r>
      <w:r w:rsidRPr="00621740">
        <w:rPr>
          <w:b/>
          <w:lang w:eastAsia="bg-BG"/>
        </w:rPr>
        <w:t>95,8 млн. лв.</w:t>
      </w:r>
      <w:r w:rsidRPr="00621740">
        <w:rPr>
          <w:lang w:eastAsia="bg-BG"/>
        </w:rPr>
        <w:t xml:space="preserve"> и са по бюджетите на министерствата и ведомствата.</w:t>
      </w:r>
    </w:p>
    <w:p w:rsidR="00B13128" w:rsidRPr="001625F2" w:rsidRDefault="00B13128" w:rsidP="00B13128">
      <w:pPr>
        <w:numPr>
          <w:ilvl w:val="0"/>
          <w:numId w:val="6"/>
        </w:numPr>
        <w:tabs>
          <w:tab w:val="num" w:pos="426"/>
        </w:tabs>
        <w:spacing w:before="240"/>
        <w:ind w:left="0" w:firstLine="0"/>
        <w:jc w:val="both"/>
        <w:rPr>
          <w:b/>
          <w:bCs/>
        </w:rPr>
      </w:pPr>
      <w:r w:rsidRPr="001625F2">
        <w:rPr>
          <w:b/>
          <w:bCs/>
        </w:rPr>
        <w:t>Разходи по държавния бюджет</w:t>
      </w:r>
    </w:p>
    <w:p w:rsidR="00B13128" w:rsidRPr="00C85532" w:rsidRDefault="00B13128" w:rsidP="00B13128">
      <w:pPr>
        <w:jc w:val="both"/>
        <w:rPr>
          <w:b/>
          <w:bCs/>
          <w:color w:val="0070C0"/>
          <w:sz w:val="4"/>
          <w:szCs w:val="4"/>
        </w:rPr>
      </w:pPr>
    </w:p>
    <w:p w:rsidR="00B13128" w:rsidRPr="00C85532" w:rsidRDefault="00B13128" w:rsidP="00B13128">
      <w:pPr>
        <w:jc w:val="both"/>
        <w:rPr>
          <w:color w:val="0070C0"/>
          <w:sz w:val="8"/>
          <w:szCs w:val="8"/>
        </w:rPr>
      </w:pPr>
    </w:p>
    <w:p w:rsidR="002E6E45" w:rsidRPr="002A0E67" w:rsidRDefault="002E6E45" w:rsidP="002E6E45">
      <w:pPr>
        <w:pStyle w:val="BodyTextIndent"/>
        <w:ind w:left="0"/>
        <w:jc w:val="both"/>
      </w:pPr>
      <w:r w:rsidRPr="00435090">
        <w:t xml:space="preserve">Общият размер на </w:t>
      </w:r>
      <w:r w:rsidRPr="00435090">
        <w:rPr>
          <w:b/>
        </w:rPr>
        <w:t>разходите по държавния бюджет</w:t>
      </w:r>
      <w:r w:rsidRPr="00435090">
        <w:t xml:space="preserve"> (вкл. трансферите за др. бюджети и </w:t>
      </w:r>
      <w:r w:rsidRPr="002A0E67">
        <w:t xml:space="preserve">вноската в бюджета на ЕС) </w:t>
      </w:r>
      <w:r w:rsidRPr="002A0E67">
        <w:rPr>
          <w:bCs/>
        </w:rPr>
        <w:t xml:space="preserve">за </w:t>
      </w:r>
      <w:r w:rsidRPr="002A0E67">
        <w:t xml:space="preserve">2019 г. е </w:t>
      </w:r>
      <w:r w:rsidRPr="002A0E67">
        <w:rPr>
          <w:b/>
        </w:rPr>
        <w:t>26 919,0 млн. лв</w:t>
      </w:r>
      <w:r w:rsidRPr="002A0E67">
        <w:t>. или 96,4 % от предвидените със ЗДБРБ за 2019 година.</w:t>
      </w:r>
    </w:p>
    <w:p w:rsidR="002E6E45" w:rsidRPr="002A0E67" w:rsidRDefault="002E6E45" w:rsidP="002E6E45">
      <w:pPr>
        <w:pStyle w:val="BodyTextIndent"/>
        <w:spacing w:after="0"/>
        <w:ind w:left="0"/>
        <w:jc w:val="center"/>
        <w:rPr>
          <w:b/>
          <w:sz w:val="4"/>
          <w:szCs w:val="4"/>
          <w:u w:val="single"/>
        </w:rPr>
      </w:pPr>
    </w:p>
    <w:p w:rsidR="002E6E45" w:rsidRPr="002A0E67" w:rsidRDefault="002E6E45" w:rsidP="002E6E45">
      <w:pPr>
        <w:pStyle w:val="BodyTextIndent"/>
        <w:spacing w:after="0"/>
        <w:ind w:left="0"/>
        <w:jc w:val="center"/>
        <w:rPr>
          <w:b/>
          <w:u w:val="single"/>
        </w:rPr>
      </w:pPr>
      <w:r w:rsidRPr="002A0E67">
        <w:rPr>
          <w:b/>
          <w:u w:val="single"/>
        </w:rPr>
        <w:t xml:space="preserve">Разходи, трансфери за други бюджети и вноска в бюджета на ЕС </w:t>
      </w:r>
    </w:p>
    <w:p w:rsidR="002E6E45" w:rsidRPr="002A0E67" w:rsidRDefault="002E6E45" w:rsidP="002E6E45">
      <w:pPr>
        <w:pStyle w:val="BodyTextIndent"/>
        <w:spacing w:after="0"/>
        <w:ind w:left="0"/>
        <w:jc w:val="center"/>
        <w:rPr>
          <w:b/>
          <w:u w:val="single"/>
        </w:rPr>
      </w:pPr>
      <w:r w:rsidRPr="002A0E67">
        <w:rPr>
          <w:b/>
          <w:u w:val="single"/>
        </w:rPr>
        <w:t>за 2018 г. и 2019 г.</w:t>
      </w:r>
    </w:p>
    <w:p w:rsidR="002E6E45" w:rsidRPr="0016035E" w:rsidRDefault="002E6E45" w:rsidP="002E6E45">
      <w:pPr>
        <w:pStyle w:val="BodyTextIndent"/>
        <w:spacing w:after="0"/>
        <w:ind w:left="0"/>
        <w:jc w:val="center"/>
        <w:rPr>
          <w:b/>
          <w:color w:val="0070C0"/>
          <w:sz w:val="8"/>
          <w:szCs w:val="8"/>
          <w:u w:val="single"/>
        </w:rPr>
      </w:pPr>
    </w:p>
    <w:p w:rsidR="002E6E45" w:rsidRPr="0016035E" w:rsidRDefault="002E6E45" w:rsidP="002E6E45">
      <w:pPr>
        <w:pStyle w:val="BodyTextIndent"/>
        <w:spacing w:after="0"/>
        <w:ind w:left="0"/>
        <w:jc w:val="center"/>
        <w:rPr>
          <w:b/>
          <w:color w:val="0070C0"/>
          <w:u w:val="single"/>
        </w:rPr>
      </w:pPr>
      <w:bookmarkStart w:id="15" w:name="_MON_1562146415"/>
      <w:bookmarkStart w:id="16" w:name="_MON_1562146493"/>
      <w:bookmarkStart w:id="17" w:name="_MON_1562146700"/>
      <w:bookmarkStart w:id="18" w:name="_MON_1562146782"/>
      <w:bookmarkStart w:id="19" w:name="_MON_1562146967"/>
      <w:bookmarkStart w:id="20" w:name="_MON_1562147372"/>
      <w:bookmarkStart w:id="21" w:name="_MON_1562147473"/>
      <w:bookmarkStart w:id="22" w:name="_MON_1562147677"/>
      <w:bookmarkStart w:id="23" w:name="_MON_1562147743"/>
      <w:bookmarkStart w:id="24" w:name="_MON_1562147867"/>
      <w:bookmarkStart w:id="25" w:name="_MON_1562147934"/>
      <w:bookmarkStart w:id="26" w:name="_MON_1562148056"/>
      <w:bookmarkStart w:id="27" w:name="_MON_1562148171"/>
      <w:bookmarkStart w:id="28" w:name="_MON_1562148229"/>
      <w:bookmarkStart w:id="29" w:name="_MON_1562148307"/>
      <w:bookmarkStart w:id="30" w:name="_MON_1562148447"/>
      <w:bookmarkStart w:id="31" w:name="_MON_1562148558"/>
      <w:bookmarkStart w:id="32" w:name="_MON_1562152805"/>
      <w:bookmarkStart w:id="33" w:name="_MON_1562152984"/>
      <w:bookmarkStart w:id="34" w:name="_MON_1562153459"/>
      <w:bookmarkStart w:id="35" w:name="_MON_1562153503"/>
      <w:bookmarkStart w:id="36" w:name="_MON_1562153559"/>
      <w:bookmarkStart w:id="37" w:name="_MON_1562153646"/>
      <w:bookmarkStart w:id="38" w:name="_MON_1562153939"/>
      <w:bookmarkStart w:id="39" w:name="_MON_1562154053"/>
      <w:bookmarkStart w:id="40" w:name="_MON_1562154282"/>
      <w:bookmarkStart w:id="41" w:name="_MON_1562146286"/>
      <w:bookmarkStart w:id="42" w:name="_MON_1562154881"/>
      <w:bookmarkStart w:id="43" w:name="_MON_1562154973"/>
      <w:bookmarkStart w:id="44" w:name="_MON_1562155194"/>
      <w:bookmarkStart w:id="45" w:name="_MON_1562155231"/>
      <w:bookmarkStart w:id="46" w:name="_MON_1562155321"/>
      <w:bookmarkStart w:id="47" w:name="_MON_156215539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16035E">
        <w:rPr>
          <w:noProof/>
          <w:color w:val="0070C0"/>
          <w:lang w:eastAsia="bg-BG"/>
        </w:rPr>
        <w:drawing>
          <wp:inline distT="0" distB="0" distL="0" distR="0" wp14:anchorId="1EB0D00D" wp14:editId="002A36A7">
            <wp:extent cx="5745480" cy="3093720"/>
            <wp:effectExtent l="0" t="0" r="26670" b="11430"/>
            <wp:docPr id="2"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E6E45" w:rsidRPr="0016035E" w:rsidRDefault="002E6E45" w:rsidP="002E6E45">
      <w:pPr>
        <w:ind w:firstLine="360"/>
        <w:rPr>
          <w:color w:val="0070C0"/>
          <w:sz w:val="6"/>
          <w:szCs w:val="18"/>
        </w:rPr>
      </w:pPr>
    </w:p>
    <w:p w:rsidR="002E6E45" w:rsidRPr="009B4A38" w:rsidRDefault="002E6E45" w:rsidP="002E6E45">
      <w:pPr>
        <w:ind w:firstLine="360"/>
        <w:rPr>
          <w:sz w:val="18"/>
          <w:szCs w:val="18"/>
        </w:rPr>
      </w:pPr>
      <w:r w:rsidRPr="009B4A38">
        <w:rPr>
          <w:sz w:val="18"/>
          <w:szCs w:val="18"/>
        </w:rPr>
        <w:t>*</w:t>
      </w:r>
      <w:r w:rsidRPr="009B4A38">
        <w:t xml:space="preserve"> </w:t>
      </w:r>
      <w:r w:rsidRPr="009B4A38">
        <w:rPr>
          <w:sz w:val="18"/>
          <w:szCs w:val="18"/>
        </w:rPr>
        <w:t>Вкл. нетния прираст на държавния резерв</w:t>
      </w:r>
    </w:p>
    <w:p w:rsidR="002E6E45" w:rsidRPr="0016035E" w:rsidRDefault="002E6E45" w:rsidP="002E6E45">
      <w:pPr>
        <w:rPr>
          <w:b/>
          <w:color w:val="0070C0"/>
          <w:sz w:val="8"/>
          <w:szCs w:val="8"/>
          <w:u w:val="single"/>
        </w:rPr>
      </w:pPr>
    </w:p>
    <w:p w:rsidR="002E6E45" w:rsidRPr="001C48BB" w:rsidRDefault="002E6E45" w:rsidP="002E6E45">
      <w:pPr>
        <w:pStyle w:val="BodyTextIndent"/>
        <w:numPr>
          <w:ilvl w:val="0"/>
          <w:numId w:val="22"/>
        </w:numPr>
        <w:spacing w:before="120" w:after="0"/>
        <w:jc w:val="both"/>
        <w:rPr>
          <w:b/>
          <w:bCs/>
        </w:rPr>
      </w:pPr>
      <w:r w:rsidRPr="001C48BB">
        <w:rPr>
          <w:b/>
          <w:bCs/>
        </w:rPr>
        <w:t>Нелихвени разходи</w:t>
      </w:r>
    </w:p>
    <w:p w:rsidR="002E6E45" w:rsidRPr="001C48BB" w:rsidRDefault="002E6E45" w:rsidP="002E6E45">
      <w:pPr>
        <w:spacing w:before="120"/>
        <w:jc w:val="both"/>
        <w:rPr>
          <w:bCs/>
        </w:rPr>
      </w:pPr>
      <w:r w:rsidRPr="001C48BB">
        <w:rPr>
          <w:b/>
          <w:bCs/>
        </w:rPr>
        <w:t>Нелихвените разходи</w:t>
      </w:r>
      <w:r w:rsidRPr="001C48BB">
        <w:rPr>
          <w:bCs/>
        </w:rPr>
        <w:t xml:space="preserve"> по държавния бюджет (без трансферите за др. бюджети) за </w:t>
      </w:r>
      <w:r w:rsidRPr="001C48BB">
        <w:t xml:space="preserve">2019 г. </w:t>
      </w:r>
      <w:r w:rsidRPr="001C48BB">
        <w:rPr>
          <w:bCs/>
        </w:rPr>
        <w:t xml:space="preserve">са в размер на </w:t>
      </w:r>
      <w:r w:rsidRPr="001C48BB">
        <w:rPr>
          <w:b/>
          <w:bCs/>
        </w:rPr>
        <w:t>13 865,2 млн. лв</w:t>
      </w:r>
      <w:r w:rsidRPr="001C48BB">
        <w:rPr>
          <w:bCs/>
        </w:rPr>
        <w:t xml:space="preserve">., което представлява 96,0 % от годишния разчет. Съпоставени с данните за 2018 г., нелихвените разходи нарастват с 2 815,2 млн. лв. </w:t>
      </w:r>
      <w:r w:rsidRPr="001C48BB">
        <w:rPr>
          <w:bCs/>
          <w:lang w:val="en-US"/>
        </w:rPr>
        <w:t>(</w:t>
      </w:r>
      <w:r w:rsidRPr="001C48BB">
        <w:rPr>
          <w:bCs/>
        </w:rPr>
        <w:t>25</w:t>
      </w:r>
      <w:proofErr w:type="gramStart"/>
      <w:r w:rsidRPr="001C48BB">
        <w:rPr>
          <w:bCs/>
        </w:rPr>
        <w:t>,5</w:t>
      </w:r>
      <w:proofErr w:type="gramEnd"/>
      <w:r w:rsidRPr="001C48BB">
        <w:rPr>
          <w:bCs/>
        </w:rPr>
        <w:t> </w:t>
      </w:r>
      <w:r w:rsidRPr="001C48BB">
        <w:rPr>
          <w:bCs/>
          <w:lang w:val="en-US"/>
        </w:rPr>
        <w:t>%)</w:t>
      </w:r>
      <w:r w:rsidRPr="001C48BB">
        <w:rPr>
          <w:bCs/>
        </w:rPr>
        <w:t xml:space="preserve">. </w:t>
      </w:r>
    </w:p>
    <w:p w:rsidR="002E6E45" w:rsidRPr="00C56C10" w:rsidRDefault="002E6E45" w:rsidP="002E6E45">
      <w:pPr>
        <w:spacing w:after="120"/>
        <w:jc w:val="both"/>
        <w:rPr>
          <w:bCs/>
        </w:rPr>
      </w:pPr>
      <w:r w:rsidRPr="00DB5565">
        <w:rPr>
          <w:bCs/>
        </w:rPr>
        <w:t xml:space="preserve">Разходите за персонал (заплати и </w:t>
      </w:r>
      <w:r w:rsidRPr="00DB5565">
        <w:rPr>
          <w:bCs/>
          <w:noProof/>
        </w:rPr>
        <w:t>възнаграждения</w:t>
      </w:r>
      <w:r w:rsidRPr="00DB5565">
        <w:rPr>
          <w:bCs/>
        </w:rPr>
        <w:t xml:space="preserve">, други възнаграждения и плащания за персонала и осигурителни вноски) са в общ размер на 5 227,0 млн. лв. или 101,6 % спрямо планираните </w:t>
      </w:r>
      <w:r w:rsidRPr="00DB5565">
        <w:t xml:space="preserve">за 2019 </w:t>
      </w:r>
      <w:r w:rsidRPr="00DB5565">
        <w:rPr>
          <w:bCs/>
        </w:rPr>
        <w:t xml:space="preserve">г. Разходите за издръжка (вкл. разходи за членски внос и участие в нетърговски организации и дейности и платени данъци, такси и административни санкции) </w:t>
      </w:r>
      <w:r w:rsidRPr="009203A5">
        <w:rPr>
          <w:bCs/>
        </w:rPr>
        <w:t xml:space="preserve">са в размер на 2 019,5 млн. лв. или 83,7 % от планираните </w:t>
      </w:r>
      <w:r w:rsidRPr="009203A5">
        <w:t>за годината</w:t>
      </w:r>
      <w:r w:rsidRPr="009203A5">
        <w:rPr>
          <w:bCs/>
        </w:rPr>
        <w:t xml:space="preserve">. Социалните разходи (вкл. разходите за стипендии) са в размер на 1 199,6 млн. лв. или 92,3 % от предвидените </w:t>
      </w:r>
      <w:r w:rsidRPr="009203A5">
        <w:t>за годината</w:t>
      </w:r>
      <w:r w:rsidRPr="009203A5">
        <w:rPr>
          <w:bCs/>
        </w:rPr>
        <w:t xml:space="preserve"> и са основно разходи по бюджета на МТСП за помощи по Закона за социално </w:t>
      </w:r>
      <w:r w:rsidRPr="00E07043">
        <w:rPr>
          <w:bCs/>
        </w:rPr>
        <w:t>подпомагане, Закона за хората с увреждания, Закона за семейните помощи за деца и др. Предоставените текущи и капиталови трансфери за чужбина са в размер на 20,1</w:t>
      </w:r>
      <w:r w:rsidRPr="00E07043">
        <w:rPr>
          <w:rFonts w:eastAsia="Calibri"/>
          <w:b/>
        </w:rPr>
        <w:t> </w:t>
      </w:r>
      <w:r w:rsidRPr="00E07043">
        <w:rPr>
          <w:bCs/>
        </w:rPr>
        <w:t xml:space="preserve">млн. лв. Разходите за субсидии са в размер на 1 034,8 млн. лв. или 108,3 % спрямо планираните за годината. </w:t>
      </w:r>
      <w:r w:rsidRPr="00CC2AA2">
        <w:rPr>
          <w:bCs/>
        </w:rPr>
        <w:t>От тях 172,9</w:t>
      </w:r>
      <w:r w:rsidRPr="00CC2AA2">
        <w:t xml:space="preserve"> </w:t>
      </w:r>
      <w:r w:rsidRPr="00CC2AA2">
        <w:rPr>
          <w:bCs/>
        </w:rPr>
        <w:t xml:space="preserve">млн. лв. са субсидиите за </w:t>
      </w:r>
      <w:r w:rsidRPr="00CC2AA2">
        <w:t>„БДЖ – Пътнически превози” ЕООД</w:t>
      </w:r>
      <w:r w:rsidRPr="0016035E">
        <w:rPr>
          <w:color w:val="0070C0"/>
        </w:rPr>
        <w:t xml:space="preserve">; </w:t>
      </w:r>
      <w:r w:rsidRPr="007D6308">
        <w:rPr>
          <w:lang w:val="en-US"/>
        </w:rPr>
        <w:t>146</w:t>
      </w:r>
      <w:r w:rsidRPr="007D6308">
        <w:t>,5</w:t>
      </w:r>
      <w:r w:rsidRPr="007D6308">
        <w:rPr>
          <w:rFonts w:eastAsia="Calibri"/>
          <w:b/>
        </w:rPr>
        <w:t> </w:t>
      </w:r>
      <w:r w:rsidRPr="007D6308">
        <w:rPr>
          <w:bCs/>
        </w:rPr>
        <w:t xml:space="preserve">млн. лв. </w:t>
      </w:r>
      <w:r w:rsidRPr="007D6308">
        <w:rPr>
          <w:bCs/>
          <w:lang w:val="en-US"/>
        </w:rPr>
        <w:t>(</w:t>
      </w:r>
      <w:proofErr w:type="gramStart"/>
      <w:r w:rsidRPr="00CB041F">
        <w:rPr>
          <w:bCs/>
        </w:rPr>
        <w:t>в</w:t>
      </w:r>
      <w:proofErr w:type="gramEnd"/>
      <w:r w:rsidRPr="00CB041F">
        <w:rPr>
          <w:bCs/>
        </w:rPr>
        <w:t xml:space="preserve"> т. ч. </w:t>
      </w:r>
      <w:r>
        <w:rPr>
          <w:bCs/>
          <w:lang w:val="en-US"/>
        </w:rPr>
        <w:t>1</w:t>
      </w:r>
      <w:r>
        <w:rPr>
          <w:bCs/>
        </w:rPr>
        <w:t>,6</w:t>
      </w:r>
      <w:r w:rsidRPr="00CB041F">
        <w:rPr>
          <w:bCs/>
        </w:rPr>
        <w:t xml:space="preserve"> млн. лв. за предотвратяване, овладяване и преодоляване на последиците от бедствия</w:t>
      </w:r>
      <w:r w:rsidRPr="007D6308">
        <w:rPr>
          <w:bCs/>
          <w:lang w:val="en-US"/>
        </w:rPr>
        <w:t>)</w:t>
      </w:r>
      <w:r w:rsidRPr="007D6308">
        <w:rPr>
          <w:bCs/>
        </w:rPr>
        <w:t xml:space="preserve"> са субсидиите за </w:t>
      </w:r>
      <w:r w:rsidRPr="007D6308">
        <w:t xml:space="preserve">Национална компания „Железопътна </w:t>
      </w:r>
      <w:r w:rsidRPr="007D6308">
        <w:lastRenderedPageBreak/>
        <w:t>инфраструктура”</w:t>
      </w:r>
      <w:r w:rsidRPr="007D6308">
        <w:rPr>
          <w:bCs/>
        </w:rPr>
        <w:t xml:space="preserve"> </w:t>
      </w:r>
      <w:r w:rsidRPr="007D6308">
        <w:t>и 21,4</w:t>
      </w:r>
      <w:r w:rsidRPr="007D6308">
        <w:rPr>
          <w:rFonts w:eastAsia="Calibri"/>
          <w:b/>
        </w:rPr>
        <w:t> </w:t>
      </w:r>
      <w:r w:rsidRPr="007D6308">
        <w:t xml:space="preserve">млн. лв. за „Български пощи” ЕАД. Към края на месец декември </w:t>
      </w:r>
      <w:r w:rsidRPr="007D6308">
        <w:rPr>
          <w:bCs/>
        </w:rPr>
        <w:t>2019</w:t>
      </w:r>
      <w:r w:rsidRPr="007D6308">
        <w:rPr>
          <w:rFonts w:eastAsia="Calibri"/>
          <w:b/>
        </w:rPr>
        <w:t> </w:t>
      </w:r>
      <w:r w:rsidRPr="007D6308">
        <w:rPr>
          <w:bCs/>
        </w:rPr>
        <w:t xml:space="preserve">г. ДФ „Земеделие“ e изплатил </w:t>
      </w:r>
      <w:r w:rsidRPr="006C2C3E">
        <w:rPr>
          <w:bCs/>
        </w:rPr>
        <w:t>субсидии в общ размер на 301,0 млн. лв., от които 133,7 млн. лв. държавна помощ</w:t>
      </w:r>
      <w:r w:rsidRPr="006C2C3E">
        <w:rPr>
          <w:bCs/>
          <w:lang w:val="en-US"/>
        </w:rPr>
        <w:t>;</w:t>
      </w:r>
      <w:r w:rsidRPr="006C2C3E">
        <w:rPr>
          <w:bCs/>
        </w:rPr>
        <w:t xml:space="preserve"> </w:t>
      </w:r>
      <w:r w:rsidRPr="00F76DFA">
        <w:rPr>
          <w:bCs/>
        </w:rPr>
        <w:t>80,1</w:t>
      </w:r>
      <w:r w:rsidRPr="00F76DFA">
        <w:rPr>
          <w:rFonts w:eastAsia="Calibri"/>
          <w:b/>
        </w:rPr>
        <w:t> </w:t>
      </w:r>
      <w:r w:rsidRPr="00F76DFA">
        <w:rPr>
          <w:bCs/>
        </w:rPr>
        <w:t>млн. лв.</w:t>
      </w:r>
      <w:r w:rsidRPr="00F76DFA">
        <w:t xml:space="preserve"> </w:t>
      </w:r>
      <w:r w:rsidRPr="00F76DFA">
        <w:rPr>
          <w:bCs/>
        </w:rPr>
        <w:t>преходна национална помощ за тютюн</w:t>
      </w:r>
      <w:r w:rsidRPr="00F76DFA">
        <w:rPr>
          <w:bCs/>
          <w:lang w:val="en-US"/>
        </w:rPr>
        <w:t>;</w:t>
      </w:r>
      <w:r w:rsidRPr="00F76DFA">
        <w:rPr>
          <w:bCs/>
        </w:rPr>
        <w:t xml:space="preserve"> 82,7 млн. лв. преходна национална помощ за сектор „Животновъдство“ и 4,0 млн. лв. средства за ДДС по схеми „Училищен плод“ и „Училищно мляко“. </w:t>
      </w:r>
      <w:r w:rsidRPr="00C56C10">
        <w:rPr>
          <w:bCs/>
        </w:rPr>
        <w:t xml:space="preserve">Капиталовите разходи </w:t>
      </w:r>
      <w:r w:rsidRPr="00C56C10">
        <w:t>(вкл. нетния прираст на държавния резерв) по държавния бюджет</w:t>
      </w:r>
      <w:r w:rsidRPr="00C56C10">
        <w:rPr>
          <w:bCs/>
        </w:rPr>
        <w:t xml:space="preserve"> възлизат на </w:t>
      </w:r>
      <w:r>
        <w:rPr>
          <w:bCs/>
        </w:rPr>
        <w:t>4 364,3</w:t>
      </w:r>
      <w:r w:rsidRPr="00C56C10">
        <w:rPr>
          <w:bCs/>
        </w:rPr>
        <w:t xml:space="preserve"> млн. лева.</w:t>
      </w:r>
    </w:p>
    <w:p w:rsidR="00B13128" w:rsidRPr="00A42605" w:rsidRDefault="00B13128" w:rsidP="00B13128">
      <w:pPr>
        <w:numPr>
          <w:ilvl w:val="1"/>
          <w:numId w:val="14"/>
        </w:numPr>
        <w:tabs>
          <w:tab w:val="num" w:pos="720"/>
          <w:tab w:val="num" w:pos="900"/>
        </w:tabs>
        <w:spacing w:before="120" w:after="120"/>
        <w:ind w:left="720"/>
        <w:jc w:val="both"/>
        <w:rPr>
          <w:b/>
          <w:bCs/>
        </w:rPr>
      </w:pPr>
      <w:r w:rsidRPr="00A42605">
        <w:rPr>
          <w:b/>
        </w:rPr>
        <w:t>Просрочени задължения</w:t>
      </w:r>
    </w:p>
    <w:p w:rsidR="00B13128" w:rsidRPr="000110E0" w:rsidRDefault="00B13128" w:rsidP="00B13128">
      <w:pPr>
        <w:spacing w:after="120"/>
        <w:jc w:val="both"/>
      </w:pPr>
      <w:r w:rsidRPr="002015EB">
        <w:t xml:space="preserve">Към </w:t>
      </w:r>
      <w:r w:rsidR="002015EB" w:rsidRPr="002015EB">
        <w:t>31</w:t>
      </w:r>
      <w:r w:rsidRPr="002015EB">
        <w:t>.</w:t>
      </w:r>
      <w:r w:rsidR="002015EB" w:rsidRPr="002015EB">
        <w:t>12</w:t>
      </w:r>
      <w:r w:rsidRPr="002015EB">
        <w:t>.201</w:t>
      </w:r>
      <w:r w:rsidRPr="002015EB">
        <w:rPr>
          <w:lang w:val="en-US"/>
        </w:rPr>
        <w:t>9</w:t>
      </w:r>
      <w:r w:rsidRPr="002015EB">
        <w:t xml:space="preserve"> г. просрочените </w:t>
      </w:r>
      <w:r w:rsidRPr="000110E0">
        <w:t>задължения на централно</w:t>
      </w:r>
      <w:r w:rsidR="007065C8" w:rsidRPr="000110E0">
        <w:t>,</w:t>
      </w:r>
      <w:r w:rsidRPr="000110E0">
        <w:t xml:space="preserve"> местно правителство и </w:t>
      </w:r>
      <w:proofErr w:type="spellStart"/>
      <w:r w:rsidRPr="000110E0">
        <w:t>социалноосигурителните</w:t>
      </w:r>
      <w:proofErr w:type="spellEnd"/>
      <w:r w:rsidRPr="000110E0">
        <w:t xml:space="preserve"> фондове са в размер на </w:t>
      </w:r>
      <w:r w:rsidR="002015EB" w:rsidRPr="000110E0">
        <w:rPr>
          <w:b/>
        </w:rPr>
        <w:t>263,2</w:t>
      </w:r>
      <w:r w:rsidRPr="000110E0">
        <w:rPr>
          <w:b/>
        </w:rPr>
        <w:t xml:space="preserve"> млн. лева.</w:t>
      </w:r>
      <w:r w:rsidRPr="000110E0">
        <w:t xml:space="preserve"> </w:t>
      </w:r>
    </w:p>
    <w:p w:rsidR="00F236D5" w:rsidRPr="00E504F7" w:rsidRDefault="00F236D5" w:rsidP="00F236D5">
      <w:pPr>
        <w:spacing w:before="120"/>
        <w:jc w:val="both"/>
        <w:rPr>
          <w:noProof/>
        </w:rPr>
      </w:pPr>
      <w:r w:rsidRPr="000110E0">
        <w:t xml:space="preserve">Размерът на просрочените задължения на </w:t>
      </w:r>
      <w:r w:rsidRPr="000110E0">
        <w:rPr>
          <w:b/>
        </w:rPr>
        <w:t>централно правителство</w:t>
      </w:r>
      <w:r w:rsidRPr="000110E0">
        <w:t xml:space="preserve"> (министерства, ведомства и разпоредителите с бюджет по чл. 13, ал. 3 и ал. 4 на ЗПФ) е</w:t>
      </w:r>
      <w:r w:rsidRPr="000110E0">
        <w:rPr>
          <w:b/>
        </w:rPr>
        <w:t xml:space="preserve"> </w:t>
      </w:r>
      <w:r w:rsidR="00B56453" w:rsidRPr="000110E0">
        <w:rPr>
          <w:b/>
        </w:rPr>
        <w:t>88</w:t>
      </w:r>
      <w:r w:rsidRPr="000110E0">
        <w:rPr>
          <w:b/>
        </w:rPr>
        <w:t xml:space="preserve">,3 млн. лв., </w:t>
      </w:r>
      <w:r w:rsidRPr="000110E0">
        <w:t>като</w:t>
      </w:r>
      <w:r w:rsidRPr="000110E0">
        <w:rPr>
          <w:b/>
        </w:rPr>
        <w:t xml:space="preserve">  </w:t>
      </w:r>
      <w:r w:rsidRPr="000110E0">
        <w:t>спрямо отчетените в края на 201</w:t>
      </w:r>
      <w:r w:rsidR="00FC7C78" w:rsidRPr="000110E0">
        <w:t>8</w:t>
      </w:r>
      <w:r w:rsidRPr="000110E0">
        <w:t xml:space="preserve"> г. има нарастване с </w:t>
      </w:r>
      <w:r w:rsidR="00B56453" w:rsidRPr="000110E0">
        <w:t>32,5</w:t>
      </w:r>
      <w:r w:rsidRPr="000110E0">
        <w:t xml:space="preserve"> млн. лева. В обхвата</w:t>
      </w:r>
      <w:r w:rsidRPr="00BC4AFD">
        <w:t xml:space="preserve"> на държавния бюджет по-значими проблеми с наличие на просрочени задължения съществуват </w:t>
      </w:r>
      <w:r w:rsidRPr="00BC4AFD">
        <w:rPr>
          <w:bCs/>
        </w:rPr>
        <w:t xml:space="preserve">при няколко министерства, което изисква активни мерки от тези първостепенни разпоредители с бюджет за редуцирането </w:t>
      </w:r>
      <w:r w:rsidRPr="00CE0926">
        <w:rPr>
          <w:bCs/>
        </w:rPr>
        <w:t>им. С най-значими</w:t>
      </w:r>
      <w:r w:rsidRPr="00CE0926">
        <w:t xml:space="preserve"> просрочени задължения по държавния бюджет са</w:t>
      </w:r>
      <w:r w:rsidRPr="00CE0926">
        <w:rPr>
          <w:lang w:val="en-US"/>
        </w:rPr>
        <w:t xml:space="preserve">: </w:t>
      </w:r>
      <w:r w:rsidRPr="00CE0926">
        <w:t xml:space="preserve">Министерски съвет – </w:t>
      </w:r>
      <w:r w:rsidR="00BC4AFD" w:rsidRPr="00CE0926">
        <w:rPr>
          <w:bCs/>
          <w:noProof/>
        </w:rPr>
        <w:t>24,0</w:t>
      </w:r>
      <w:r w:rsidRPr="00CE0926">
        <w:rPr>
          <w:noProof/>
        </w:rPr>
        <w:t xml:space="preserve"> млн. лв. (увеличение с </w:t>
      </w:r>
      <w:r w:rsidR="00BC4AFD" w:rsidRPr="00CE0926">
        <w:rPr>
          <w:noProof/>
        </w:rPr>
        <w:t>9,2</w:t>
      </w:r>
      <w:r w:rsidRPr="00CE0926">
        <w:rPr>
          <w:noProof/>
        </w:rPr>
        <w:t xml:space="preserve"> млн. лв. </w:t>
      </w:r>
      <w:r w:rsidRPr="00CE0926">
        <w:t xml:space="preserve">спрямо отчетените </w:t>
      </w:r>
      <w:r w:rsidR="006C36AE">
        <w:t xml:space="preserve">в края на </w:t>
      </w:r>
      <w:r w:rsidRPr="00CE0926">
        <w:t xml:space="preserve"> 201</w:t>
      </w:r>
      <w:r w:rsidR="00F46F46" w:rsidRPr="00CE0926">
        <w:t>8</w:t>
      </w:r>
      <w:r w:rsidRPr="00CE0926">
        <w:t xml:space="preserve"> г.</w:t>
      </w:r>
      <w:r w:rsidRPr="00CE0926">
        <w:rPr>
          <w:noProof/>
        </w:rPr>
        <w:t>),</w:t>
      </w:r>
      <w:r w:rsidRPr="00CE0926">
        <w:rPr>
          <w:lang w:eastAsia="bg-BG"/>
        </w:rPr>
        <w:t xml:space="preserve"> </w:t>
      </w:r>
      <w:r w:rsidRPr="00CE0926">
        <w:rPr>
          <w:noProof/>
        </w:rPr>
        <w:t xml:space="preserve">от които </w:t>
      </w:r>
      <w:r w:rsidR="00CE0926" w:rsidRPr="00CE0926">
        <w:rPr>
          <w:noProof/>
        </w:rPr>
        <w:t>23,8</w:t>
      </w:r>
      <w:r w:rsidRPr="00CE0926">
        <w:rPr>
          <w:noProof/>
        </w:rPr>
        <w:t xml:space="preserve"> млн. лв. са на Болница „</w:t>
      </w:r>
      <w:r w:rsidRPr="00333CE8">
        <w:rPr>
          <w:noProof/>
        </w:rPr>
        <w:t>Лозенец”</w:t>
      </w:r>
      <w:r w:rsidRPr="00333CE8">
        <w:rPr>
          <w:noProof/>
          <w:lang w:val="en-US"/>
        </w:rPr>
        <w:t xml:space="preserve">; </w:t>
      </w:r>
      <w:r w:rsidRPr="00333CE8">
        <w:rPr>
          <w:noProof/>
        </w:rPr>
        <w:t xml:space="preserve">Министерство на земеделието, храните и горите – </w:t>
      </w:r>
      <w:r w:rsidR="00333CE8" w:rsidRPr="00333CE8">
        <w:rPr>
          <w:noProof/>
        </w:rPr>
        <w:t>16,7</w:t>
      </w:r>
      <w:r w:rsidRPr="00333CE8">
        <w:rPr>
          <w:noProof/>
        </w:rPr>
        <w:t xml:space="preserve"> млн. лв. (увеличение с </w:t>
      </w:r>
      <w:r w:rsidR="00333CE8" w:rsidRPr="00333CE8">
        <w:rPr>
          <w:noProof/>
        </w:rPr>
        <w:t>5,3</w:t>
      </w:r>
      <w:r w:rsidRPr="00333CE8">
        <w:rPr>
          <w:noProof/>
        </w:rPr>
        <w:t xml:space="preserve"> млн. лв. </w:t>
      </w:r>
      <w:r w:rsidRPr="00333CE8">
        <w:t xml:space="preserve">спрямо </w:t>
      </w:r>
      <w:proofErr w:type="spellStart"/>
      <w:r w:rsidRPr="00333CE8">
        <w:t>просрочията</w:t>
      </w:r>
      <w:proofErr w:type="spellEnd"/>
      <w:r w:rsidRPr="00333CE8">
        <w:t xml:space="preserve"> </w:t>
      </w:r>
      <w:r w:rsidR="006C36AE">
        <w:t>в края на</w:t>
      </w:r>
      <w:r w:rsidRPr="00333CE8">
        <w:t xml:space="preserve"> 201</w:t>
      </w:r>
      <w:r w:rsidR="00F46F46" w:rsidRPr="00333CE8">
        <w:t>8</w:t>
      </w:r>
      <w:r w:rsidRPr="00333CE8">
        <w:t> г.</w:t>
      </w:r>
      <w:r w:rsidRPr="00333CE8">
        <w:rPr>
          <w:noProof/>
        </w:rPr>
        <w:t>)</w:t>
      </w:r>
      <w:r w:rsidRPr="00333CE8">
        <w:rPr>
          <w:noProof/>
          <w:lang w:val="en-US"/>
        </w:rPr>
        <w:t>;</w:t>
      </w:r>
      <w:r w:rsidRPr="00333CE8">
        <w:rPr>
          <w:noProof/>
        </w:rPr>
        <w:t xml:space="preserve"> </w:t>
      </w:r>
      <w:r w:rsidR="00B82F6E" w:rsidRPr="00B82F6E">
        <w:rPr>
          <w:noProof/>
        </w:rPr>
        <w:t xml:space="preserve">Министерство на </w:t>
      </w:r>
      <w:r w:rsidR="00B82F6E" w:rsidRPr="0084162D">
        <w:rPr>
          <w:noProof/>
        </w:rPr>
        <w:t xml:space="preserve">вътрешните работи – 4,4 млн. лв. (увеличение с 3,9 млн. лв. спрямо </w:t>
      </w:r>
      <w:r w:rsidR="00B82F6E" w:rsidRPr="0084162D">
        <w:t xml:space="preserve">отчетените </w:t>
      </w:r>
      <w:r w:rsidR="006C36AE">
        <w:t>в края на</w:t>
      </w:r>
      <w:r w:rsidR="00B82F6E" w:rsidRPr="0084162D">
        <w:t xml:space="preserve"> 2018 г.</w:t>
      </w:r>
      <w:r w:rsidR="00B82F6E" w:rsidRPr="0084162D">
        <w:rPr>
          <w:noProof/>
        </w:rPr>
        <w:t>)</w:t>
      </w:r>
      <w:r w:rsidR="00B82F6E" w:rsidRPr="0084162D">
        <w:rPr>
          <w:noProof/>
          <w:lang w:val="en-US"/>
        </w:rPr>
        <w:t xml:space="preserve"> ;</w:t>
      </w:r>
      <w:r w:rsidR="00B82F6E" w:rsidRPr="0084162D">
        <w:rPr>
          <w:noProof/>
        </w:rPr>
        <w:t xml:space="preserve"> </w:t>
      </w:r>
      <w:r w:rsidRPr="0084162D">
        <w:rPr>
          <w:noProof/>
        </w:rPr>
        <w:t xml:space="preserve">Министерство на отбраната – </w:t>
      </w:r>
      <w:r w:rsidR="00B82F6E" w:rsidRPr="0084162D">
        <w:rPr>
          <w:noProof/>
        </w:rPr>
        <w:t>2,1</w:t>
      </w:r>
      <w:r w:rsidRPr="0084162D">
        <w:rPr>
          <w:noProof/>
        </w:rPr>
        <w:t xml:space="preserve"> млн. лв. (</w:t>
      </w:r>
      <w:r w:rsidR="00B82F6E" w:rsidRPr="0084162D">
        <w:rPr>
          <w:noProof/>
        </w:rPr>
        <w:t xml:space="preserve">просрочията са близки до </w:t>
      </w:r>
      <w:r w:rsidRPr="0084162D">
        <w:t xml:space="preserve">отчетените </w:t>
      </w:r>
      <w:r w:rsidR="006C36AE">
        <w:t>в края на</w:t>
      </w:r>
      <w:r w:rsidRPr="0084162D">
        <w:t xml:space="preserve"> 201</w:t>
      </w:r>
      <w:r w:rsidR="00F46F46" w:rsidRPr="0084162D">
        <w:t>8</w:t>
      </w:r>
      <w:r w:rsidRPr="0084162D">
        <w:t xml:space="preserve"> г.</w:t>
      </w:r>
      <w:r w:rsidR="004C525B">
        <w:t xml:space="preserve">, </w:t>
      </w:r>
      <w:r w:rsidR="004C525B" w:rsidRPr="00E504F7">
        <w:t>като ВМА е с най-големи просрочени задължения – 1,5</w:t>
      </w:r>
      <w:r w:rsidR="009C3B37" w:rsidRPr="00E504F7">
        <w:t xml:space="preserve"> </w:t>
      </w:r>
      <w:r w:rsidR="009C3B37" w:rsidRPr="00E504F7">
        <w:rPr>
          <w:noProof/>
        </w:rPr>
        <w:t>млн. лв.</w:t>
      </w:r>
      <w:r w:rsidRPr="00E504F7">
        <w:rPr>
          <w:noProof/>
        </w:rPr>
        <w:t>) и други. От разпоредителите с бюджет по чл. 13, ал. 3 на Закона за публичните финанси проблеми с наличието на просрочени задължения има основно при Българската национална телевизия – 26,</w:t>
      </w:r>
      <w:r w:rsidR="00E504F7" w:rsidRPr="00E504F7">
        <w:rPr>
          <w:noProof/>
        </w:rPr>
        <w:t>1</w:t>
      </w:r>
      <w:r w:rsidRPr="00E504F7">
        <w:rPr>
          <w:noProof/>
        </w:rPr>
        <w:t xml:space="preserve"> млн. лв. (увеличение с </w:t>
      </w:r>
      <w:r w:rsidR="00E504F7" w:rsidRPr="00E504F7">
        <w:rPr>
          <w:noProof/>
        </w:rPr>
        <w:t>11,1</w:t>
      </w:r>
      <w:r w:rsidRPr="00E504F7">
        <w:rPr>
          <w:noProof/>
        </w:rPr>
        <w:t xml:space="preserve"> млн. лв. </w:t>
      </w:r>
      <w:r w:rsidRPr="00E504F7">
        <w:t xml:space="preserve">спрямо отчетените </w:t>
      </w:r>
      <w:r w:rsidR="006C36AE">
        <w:t>към 31.12.</w:t>
      </w:r>
      <w:r w:rsidRPr="00E504F7">
        <w:t>201</w:t>
      </w:r>
      <w:r w:rsidR="00045C9D" w:rsidRPr="00E504F7">
        <w:t>8</w:t>
      </w:r>
      <w:r w:rsidRPr="00E504F7">
        <w:t xml:space="preserve"> г.</w:t>
      </w:r>
      <w:r w:rsidR="00E27839">
        <w:t xml:space="preserve">, като най-много са </w:t>
      </w:r>
      <w:proofErr w:type="spellStart"/>
      <w:r w:rsidR="00E27839">
        <w:t>просрочията</w:t>
      </w:r>
      <w:proofErr w:type="spellEnd"/>
      <w:r w:rsidR="00E27839">
        <w:t xml:space="preserve"> </w:t>
      </w:r>
      <w:r w:rsidR="00E27839" w:rsidRPr="00E27839">
        <w:t>към доставчици в страната – 24,3 млн. лв</w:t>
      </w:r>
      <w:r w:rsidR="00E27839">
        <w:t>.</w:t>
      </w:r>
      <w:r w:rsidRPr="00E504F7">
        <w:rPr>
          <w:noProof/>
        </w:rPr>
        <w:t>)</w:t>
      </w:r>
      <w:r w:rsidR="003445B7">
        <w:rPr>
          <w:noProof/>
        </w:rPr>
        <w:t xml:space="preserve"> </w:t>
      </w:r>
      <w:r w:rsidR="003445B7" w:rsidRPr="003445B7">
        <w:rPr>
          <w:noProof/>
        </w:rPr>
        <w:t>и държавните висши училища</w:t>
      </w:r>
      <w:r w:rsidR="003445B7">
        <w:rPr>
          <w:noProof/>
        </w:rPr>
        <w:t xml:space="preserve"> - 6,7</w:t>
      </w:r>
      <w:r w:rsidR="003445B7" w:rsidRPr="003445B7">
        <w:rPr>
          <w:noProof/>
        </w:rPr>
        <w:t xml:space="preserve"> млн. лв. (</w:t>
      </w:r>
      <w:r w:rsidR="003445B7">
        <w:rPr>
          <w:noProof/>
        </w:rPr>
        <w:t xml:space="preserve">намаление </w:t>
      </w:r>
      <w:r w:rsidR="003445B7" w:rsidRPr="00CE0926">
        <w:rPr>
          <w:noProof/>
        </w:rPr>
        <w:t xml:space="preserve">с </w:t>
      </w:r>
      <w:r w:rsidR="003445B7">
        <w:rPr>
          <w:noProof/>
        </w:rPr>
        <w:t>1,9</w:t>
      </w:r>
      <w:r w:rsidR="003445B7" w:rsidRPr="00CE0926">
        <w:rPr>
          <w:noProof/>
        </w:rPr>
        <w:t xml:space="preserve"> млн. лв. </w:t>
      </w:r>
      <w:r w:rsidR="003445B7" w:rsidRPr="00CE0926">
        <w:t xml:space="preserve">спрямо отчетените </w:t>
      </w:r>
      <w:r w:rsidR="006C36AE">
        <w:t xml:space="preserve">в края на </w:t>
      </w:r>
      <w:r w:rsidR="003445B7" w:rsidRPr="00CE0926">
        <w:t>2018 г</w:t>
      </w:r>
      <w:r w:rsidR="006C36AE">
        <w:t>одина</w:t>
      </w:r>
      <w:r w:rsidR="003445B7" w:rsidRPr="003445B7">
        <w:rPr>
          <w:noProof/>
        </w:rPr>
        <w:t>)</w:t>
      </w:r>
      <w:r w:rsidRPr="00E504F7">
        <w:rPr>
          <w:noProof/>
        </w:rPr>
        <w:t>.</w:t>
      </w:r>
    </w:p>
    <w:p w:rsidR="00F236D5" w:rsidRPr="0041452C" w:rsidRDefault="00F236D5" w:rsidP="00F236D5">
      <w:pPr>
        <w:spacing w:before="120"/>
        <w:jc w:val="both"/>
      </w:pPr>
      <w:r w:rsidRPr="0041452C">
        <w:t xml:space="preserve">Просрочените задължения на </w:t>
      </w:r>
      <w:r w:rsidRPr="0041452C">
        <w:rPr>
          <w:b/>
        </w:rPr>
        <w:t>НЗОК</w:t>
      </w:r>
      <w:r w:rsidRPr="0041452C">
        <w:t xml:space="preserve"> към </w:t>
      </w:r>
      <w:r w:rsidR="002C793C" w:rsidRPr="0041452C">
        <w:t>31</w:t>
      </w:r>
      <w:r w:rsidRPr="0041452C">
        <w:t>.</w:t>
      </w:r>
      <w:r w:rsidR="002C793C" w:rsidRPr="0041452C">
        <w:t>12</w:t>
      </w:r>
      <w:r w:rsidRPr="0041452C">
        <w:t xml:space="preserve">.2019 г. са в размер на </w:t>
      </w:r>
      <w:r w:rsidR="0041452C" w:rsidRPr="0041452C">
        <w:rPr>
          <w:b/>
        </w:rPr>
        <w:t>11</w:t>
      </w:r>
      <w:r w:rsidRPr="0041452C">
        <w:rPr>
          <w:b/>
        </w:rPr>
        <w:t>,2 млн. лв.</w:t>
      </w:r>
      <w:r w:rsidRPr="0041452C">
        <w:t>, като се отчита намаление с</w:t>
      </w:r>
      <w:r w:rsidR="0041452C" w:rsidRPr="0041452C">
        <w:t>ъс</w:t>
      </w:r>
      <w:r w:rsidRPr="0041452C">
        <w:t xml:space="preserve"> </w:t>
      </w:r>
      <w:r w:rsidR="0041452C" w:rsidRPr="0041452C">
        <w:t>124,1</w:t>
      </w:r>
      <w:r w:rsidRPr="0041452C">
        <w:t xml:space="preserve"> млн. лв. спрямо </w:t>
      </w:r>
      <w:r w:rsidR="006C36AE">
        <w:t xml:space="preserve">края на </w:t>
      </w:r>
      <w:r w:rsidRPr="0041452C">
        <w:t>201</w:t>
      </w:r>
      <w:r w:rsidR="002C793C" w:rsidRPr="0041452C">
        <w:t>8</w:t>
      </w:r>
      <w:r w:rsidRPr="0041452C">
        <w:t xml:space="preserve"> година.</w:t>
      </w:r>
    </w:p>
    <w:p w:rsidR="00B13128" w:rsidRPr="00C85532" w:rsidRDefault="00B13128" w:rsidP="00B13128">
      <w:pPr>
        <w:ind w:firstLine="567"/>
        <w:jc w:val="both"/>
        <w:rPr>
          <w:bCs/>
          <w:color w:val="0070C0"/>
          <w:sz w:val="6"/>
          <w:szCs w:val="12"/>
        </w:rPr>
      </w:pPr>
    </w:p>
    <w:p w:rsidR="00B13128" w:rsidRPr="00C85532" w:rsidRDefault="00B13128" w:rsidP="00B13128">
      <w:pPr>
        <w:spacing w:after="120"/>
        <w:jc w:val="both"/>
        <w:rPr>
          <w:noProof/>
          <w:color w:val="0070C0"/>
        </w:rPr>
      </w:pPr>
      <w:r w:rsidRPr="00C06BE3">
        <w:rPr>
          <w:noProof/>
          <w:lang w:val="en-US"/>
        </w:rPr>
        <w:t xml:space="preserve">Просрочените задължения по </w:t>
      </w:r>
      <w:r w:rsidRPr="00C06BE3">
        <w:rPr>
          <w:b/>
          <w:noProof/>
        </w:rPr>
        <w:t>бюджетите на общините</w:t>
      </w:r>
      <w:r w:rsidRPr="00C06BE3">
        <w:rPr>
          <w:noProof/>
          <w:lang w:val="en-US"/>
        </w:rPr>
        <w:t xml:space="preserve"> </w:t>
      </w:r>
      <w:r w:rsidR="006C36AE">
        <w:rPr>
          <w:noProof/>
        </w:rPr>
        <w:t>към 31.12.</w:t>
      </w:r>
      <w:r w:rsidRPr="00C06BE3">
        <w:rPr>
          <w:noProof/>
        </w:rPr>
        <w:t xml:space="preserve">2019 г. </w:t>
      </w:r>
      <w:r w:rsidRPr="00C06BE3">
        <w:rPr>
          <w:noProof/>
          <w:lang w:val="en-US"/>
        </w:rPr>
        <w:t xml:space="preserve">са в размер на </w:t>
      </w:r>
      <w:r w:rsidR="00C06BE3" w:rsidRPr="00C06BE3">
        <w:rPr>
          <w:b/>
          <w:noProof/>
        </w:rPr>
        <w:t>163,7</w:t>
      </w:r>
      <w:r w:rsidR="0030300D" w:rsidRPr="00C06BE3">
        <w:rPr>
          <w:b/>
          <w:noProof/>
        </w:rPr>
        <w:t> </w:t>
      </w:r>
      <w:r w:rsidRPr="00C06BE3">
        <w:rPr>
          <w:b/>
          <w:noProof/>
          <w:lang w:val="en-US"/>
        </w:rPr>
        <w:t>млн</w:t>
      </w:r>
      <w:r w:rsidR="0088035F">
        <w:rPr>
          <w:b/>
          <w:noProof/>
        </w:rPr>
        <w:t> </w:t>
      </w:r>
      <w:r w:rsidRPr="00C06BE3">
        <w:rPr>
          <w:b/>
          <w:noProof/>
          <w:lang w:val="en-US"/>
        </w:rPr>
        <w:t xml:space="preserve"> лв.,</w:t>
      </w:r>
      <w:r w:rsidRPr="00C06BE3">
        <w:rPr>
          <w:noProof/>
          <w:lang w:val="en-US"/>
        </w:rPr>
        <w:t xml:space="preserve"> </w:t>
      </w:r>
      <w:r w:rsidRPr="002570B3">
        <w:rPr>
          <w:noProof/>
          <w:lang w:val="en-US"/>
        </w:rPr>
        <w:t xml:space="preserve">като спрямо </w:t>
      </w:r>
      <w:r w:rsidR="006C36AE">
        <w:rPr>
          <w:noProof/>
        </w:rPr>
        <w:t xml:space="preserve">края на </w:t>
      </w:r>
      <w:r w:rsidRPr="002570B3">
        <w:t xml:space="preserve">2018 г. </w:t>
      </w:r>
      <w:r w:rsidRPr="002570B3">
        <w:rPr>
          <w:noProof/>
          <w:lang w:val="en-US"/>
        </w:rPr>
        <w:t xml:space="preserve">се отчита </w:t>
      </w:r>
      <w:r w:rsidRPr="002570B3">
        <w:rPr>
          <w:noProof/>
        </w:rPr>
        <w:t>увеличение с</w:t>
      </w:r>
      <w:r w:rsidRPr="002570B3">
        <w:rPr>
          <w:noProof/>
          <w:lang w:val="en-US"/>
        </w:rPr>
        <w:t xml:space="preserve"> </w:t>
      </w:r>
      <w:r w:rsidR="00C06BE3" w:rsidRPr="002570B3">
        <w:rPr>
          <w:noProof/>
        </w:rPr>
        <w:t>41,5</w:t>
      </w:r>
      <w:r w:rsidRPr="002570B3">
        <w:rPr>
          <w:noProof/>
          <w:lang w:val="en-US"/>
        </w:rPr>
        <w:t xml:space="preserve"> млн. лева. В делегираните от държавата дейности просрочените задължения са в размер на </w:t>
      </w:r>
      <w:r w:rsidR="002570B3" w:rsidRPr="002570B3">
        <w:rPr>
          <w:noProof/>
        </w:rPr>
        <w:t>3,6</w:t>
      </w:r>
      <w:r w:rsidRPr="002570B3">
        <w:rPr>
          <w:noProof/>
          <w:lang w:val="en-US"/>
        </w:rPr>
        <w:t xml:space="preserve"> млн. лева. С най-голям относителен дял в просрочените задължения по бюджета на общините </w:t>
      </w:r>
      <w:r w:rsidR="006C36AE">
        <w:rPr>
          <w:noProof/>
        </w:rPr>
        <w:t>към 31.12.</w:t>
      </w:r>
      <w:r w:rsidRPr="002570B3">
        <w:rPr>
          <w:noProof/>
        </w:rPr>
        <w:t xml:space="preserve">2019 г. </w:t>
      </w:r>
      <w:r w:rsidRPr="002570B3">
        <w:rPr>
          <w:noProof/>
          <w:lang w:val="en-US"/>
        </w:rPr>
        <w:t xml:space="preserve">са </w:t>
      </w:r>
      <w:r w:rsidRPr="002570B3">
        <w:rPr>
          <w:noProof/>
        </w:rPr>
        <w:t xml:space="preserve">просрочените задължения към доставчици, които са в размер на </w:t>
      </w:r>
      <w:r w:rsidR="006C36AE">
        <w:rPr>
          <w:noProof/>
        </w:rPr>
        <w:t>119,3</w:t>
      </w:r>
      <w:r w:rsidR="00962C48">
        <w:rPr>
          <w:noProof/>
          <w:lang w:val="en-US"/>
        </w:rPr>
        <w:t> </w:t>
      </w:r>
      <w:r w:rsidRPr="002570B3">
        <w:rPr>
          <w:noProof/>
        </w:rPr>
        <w:t>млн.</w:t>
      </w:r>
      <w:r w:rsidR="006C36AE">
        <w:rPr>
          <w:noProof/>
        </w:rPr>
        <w:t> </w:t>
      </w:r>
      <w:r w:rsidRPr="002570B3">
        <w:rPr>
          <w:noProof/>
        </w:rPr>
        <w:t>лева.</w:t>
      </w:r>
    </w:p>
    <w:p w:rsidR="00B13128" w:rsidRPr="00D32A96" w:rsidRDefault="00D32A96" w:rsidP="00B13128">
      <w:pPr>
        <w:spacing w:after="120"/>
        <w:jc w:val="both"/>
        <w:rPr>
          <w:noProof/>
          <w:lang w:val="en-US"/>
        </w:rPr>
      </w:pPr>
      <w:r w:rsidRPr="00D32A96">
        <w:rPr>
          <w:noProof/>
        </w:rPr>
        <w:t>Извън обхвата на консолидираната фискална програма, сериозен продължава да бъде проблемът с просрочията на лечебните заведения за болнична помощ (държавни и общински болници – търговски дружества). Към 31.12.2019 г. размерът на просрочените задължения е 123,1 млн. лв., от които 90,3 млн. лв. са на държавните болници и 32,8 млн. лв. са на общинските болници. Спрямо отчетените просрочени задължения към 31.12.2018 г. се отчита намаление с 37,9 млн. лв. (с 24 на сто)</w:t>
      </w:r>
      <w:r w:rsidR="00B13128" w:rsidRPr="00D32A96">
        <w:t>.</w:t>
      </w:r>
    </w:p>
    <w:p w:rsidR="00BB059C" w:rsidRPr="00C85532" w:rsidRDefault="00BB059C" w:rsidP="00BB059C">
      <w:pPr>
        <w:ind w:firstLine="567"/>
        <w:jc w:val="both"/>
        <w:rPr>
          <w:noProof/>
          <w:color w:val="0070C0"/>
          <w:sz w:val="2"/>
          <w:szCs w:val="12"/>
          <w:lang w:val="en-US"/>
        </w:rPr>
      </w:pPr>
    </w:p>
    <w:p w:rsidR="009C2594" w:rsidRPr="0093602D" w:rsidRDefault="009C2594" w:rsidP="00337CA7">
      <w:pPr>
        <w:pStyle w:val="BodyTextIndent"/>
        <w:numPr>
          <w:ilvl w:val="1"/>
          <w:numId w:val="14"/>
        </w:numPr>
        <w:tabs>
          <w:tab w:val="clear" w:pos="2160"/>
          <w:tab w:val="num" w:pos="720"/>
          <w:tab w:val="num" w:pos="900"/>
        </w:tabs>
        <w:spacing w:before="120" w:after="0"/>
        <w:ind w:left="720"/>
        <w:jc w:val="both"/>
        <w:rPr>
          <w:b/>
          <w:bCs/>
        </w:rPr>
      </w:pPr>
      <w:r w:rsidRPr="0093602D">
        <w:rPr>
          <w:b/>
          <w:bCs/>
        </w:rPr>
        <w:t xml:space="preserve">Разходи по </w:t>
      </w:r>
      <w:r w:rsidRPr="0093602D">
        <w:rPr>
          <w:b/>
          <w:bCs/>
          <w:szCs w:val="26"/>
        </w:rPr>
        <w:t xml:space="preserve">централния бюджет </w:t>
      </w:r>
      <w:r w:rsidRPr="0093602D">
        <w:rPr>
          <w:b/>
          <w:bCs/>
        </w:rPr>
        <w:t>за субсидии</w:t>
      </w:r>
      <w:r w:rsidR="00F202DD" w:rsidRPr="0093602D">
        <w:rPr>
          <w:b/>
          <w:bCs/>
        </w:rPr>
        <w:t>,</w:t>
      </w:r>
      <w:r w:rsidR="0091667E" w:rsidRPr="0093602D">
        <w:rPr>
          <w:b/>
          <w:bCs/>
        </w:rPr>
        <w:t xml:space="preserve"> </w:t>
      </w:r>
      <w:r w:rsidR="00F202DD" w:rsidRPr="0093602D">
        <w:rPr>
          <w:b/>
          <w:bCs/>
        </w:rPr>
        <w:t xml:space="preserve">капиталови </w:t>
      </w:r>
      <w:r w:rsidR="00AF1CA0" w:rsidRPr="0093602D">
        <w:rPr>
          <w:b/>
          <w:bCs/>
        </w:rPr>
        <w:t>трансфери</w:t>
      </w:r>
      <w:r w:rsidR="00AF1CA0" w:rsidRPr="0093602D">
        <w:rPr>
          <w:bCs/>
        </w:rPr>
        <w:t xml:space="preserve"> </w:t>
      </w:r>
      <w:r w:rsidRPr="0093602D">
        <w:rPr>
          <w:b/>
          <w:bCs/>
        </w:rPr>
        <w:t xml:space="preserve">и други разходи, свързани с дейността на реалния сектор </w:t>
      </w:r>
    </w:p>
    <w:p w:rsidR="009C2594" w:rsidRPr="00C85532" w:rsidRDefault="009C2594" w:rsidP="009C2594">
      <w:pPr>
        <w:pStyle w:val="Header"/>
        <w:jc w:val="both"/>
        <w:rPr>
          <w:color w:val="0070C0"/>
          <w:sz w:val="8"/>
          <w:szCs w:val="8"/>
        </w:rPr>
      </w:pPr>
    </w:p>
    <w:p w:rsidR="00157673" w:rsidRPr="00764FA0" w:rsidRDefault="009C2594" w:rsidP="009975EC">
      <w:pPr>
        <w:pStyle w:val="Header"/>
        <w:ind w:firstLine="567"/>
        <w:jc w:val="both"/>
      </w:pPr>
      <w:r w:rsidRPr="00764FA0">
        <w:t>Със ЗДБРБ за 201</w:t>
      </w:r>
      <w:r w:rsidR="00D87322" w:rsidRPr="00764FA0">
        <w:rPr>
          <w:lang w:val="en-US"/>
        </w:rPr>
        <w:t>9</w:t>
      </w:r>
      <w:r w:rsidRPr="00764FA0">
        <w:t xml:space="preserve"> г. са утвърдени </w:t>
      </w:r>
      <w:r w:rsidR="00B95110" w:rsidRPr="00764FA0">
        <w:t>17</w:t>
      </w:r>
      <w:r w:rsidR="00A77462" w:rsidRPr="00764FA0">
        <w:t>3</w:t>
      </w:r>
      <w:r w:rsidR="00B95110" w:rsidRPr="00764FA0">
        <w:t>,</w:t>
      </w:r>
      <w:r w:rsidR="00A77462" w:rsidRPr="00764FA0">
        <w:t>0</w:t>
      </w:r>
      <w:r w:rsidRPr="00764FA0">
        <w:t xml:space="preserve"> млн. лв</w:t>
      </w:r>
      <w:r w:rsidRPr="00764FA0">
        <w:rPr>
          <w:b/>
        </w:rPr>
        <w:t>.</w:t>
      </w:r>
      <w:r w:rsidRPr="00764FA0">
        <w:t xml:space="preserve"> </w:t>
      </w:r>
      <w:r w:rsidRPr="00764FA0">
        <w:rPr>
          <w:b/>
        </w:rPr>
        <w:t>субсидии</w:t>
      </w:r>
      <w:r w:rsidRPr="00764FA0">
        <w:t xml:space="preserve"> за нефинансови предприятия</w:t>
      </w:r>
      <w:r w:rsidR="00B34F16" w:rsidRPr="00764FA0">
        <w:t xml:space="preserve"> от централния бюджет.</w:t>
      </w:r>
    </w:p>
    <w:p w:rsidR="00B34F16" w:rsidRPr="00C85532" w:rsidRDefault="00B34F16" w:rsidP="009975EC">
      <w:pPr>
        <w:pStyle w:val="Header"/>
        <w:ind w:firstLine="567"/>
        <w:jc w:val="both"/>
        <w:rPr>
          <w:color w:val="0070C0"/>
          <w:sz w:val="4"/>
          <w:szCs w:val="4"/>
        </w:rPr>
      </w:pPr>
    </w:p>
    <w:p w:rsidR="008360FD" w:rsidRPr="00567552" w:rsidRDefault="008360FD" w:rsidP="008360FD">
      <w:pPr>
        <w:pStyle w:val="BodyText2"/>
        <w:spacing w:after="0" w:line="240" w:lineRule="auto"/>
        <w:ind w:firstLine="567"/>
        <w:jc w:val="both"/>
      </w:pPr>
      <w:r w:rsidRPr="00567552">
        <w:t xml:space="preserve">Средствата за </w:t>
      </w:r>
      <w:r w:rsidRPr="00567552">
        <w:rPr>
          <w:bCs/>
        </w:rPr>
        <w:t>субсидии</w:t>
      </w:r>
      <w:r w:rsidRPr="00567552">
        <w:t xml:space="preserve"> са предназначени за търговски дружества</w:t>
      </w:r>
      <w:r w:rsidR="00A77462" w:rsidRPr="00567552">
        <w:t>, осъществяващи превоза на пътниците по нерентабилни линии във вътрешноградския транспорт и транспорта в планински и други райони,</w:t>
      </w:r>
      <w:r w:rsidRPr="00567552">
        <w:t xml:space="preserve"> за текущо поддържане и експлоатация на железопътната инфраструктура и </w:t>
      </w:r>
      <w:r w:rsidR="00844985" w:rsidRPr="00567552">
        <w:t>др.</w:t>
      </w:r>
    </w:p>
    <w:p w:rsidR="008360FD" w:rsidRPr="00C85532" w:rsidRDefault="008360FD" w:rsidP="008360FD">
      <w:pPr>
        <w:pStyle w:val="BodyText2"/>
        <w:spacing w:after="0" w:line="240" w:lineRule="auto"/>
        <w:jc w:val="both"/>
        <w:rPr>
          <w:color w:val="0070C0"/>
          <w:sz w:val="12"/>
          <w:szCs w:val="12"/>
        </w:rPr>
      </w:pPr>
    </w:p>
    <w:p w:rsidR="008360FD" w:rsidRPr="00C85532" w:rsidRDefault="008360FD" w:rsidP="008360FD">
      <w:pPr>
        <w:pStyle w:val="BodyTextIndent"/>
        <w:ind w:left="0" w:firstLine="357"/>
        <w:jc w:val="both"/>
        <w:rPr>
          <w:color w:val="0070C0"/>
        </w:rPr>
      </w:pPr>
      <w:r w:rsidRPr="00DE553D">
        <w:lastRenderedPageBreak/>
        <w:t>- Със ЗДБРБ за 201</w:t>
      </w:r>
      <w:r w:rsidR="00A77462" w:rsidRPr="00DE553D">
        <w:t>9</w:t>
      </w:r>
      <w:r w:rsidRPr="00DE553D">
        <w:t xml:space="preserve"> г. за Национална компания </w:t>
      </w:r>
      <w:r w:rsidR="00D60B43" w:rsidRPr="00DE553D">
        <w:t>„</w:t>
      </w:r>
      <w:r w:rsidRPr="00DE553D">
        <w:t>Железопътна инфраструктура” са предвидени средства под формата на субсидии, предназначени за поддържане и експлоатация на железопътната инфраструктура, в размер на 1</w:t>
      </w:r>
      <w:r w:rsidR="003C199E" w:rsidRPr="00DE553D">
        <w:t>4</w:t>
      </w:r>
      <w:r w:rsidRPr="00DE553D">
        <w:t xml:space="preserve">5,0 млн. лева. </w:t>
      </w:r>
      <w:r w:rsidR="006C1B63" w:rsidRPr="00DE553D">
        <w:t>Усвоените средства за 201</w:t>
      </w:r>
      <w:r w:rsidR="00A77462" w:rsidRPr="00DE553D">
        <w:t>9</w:t>
      </w:r>
      <w:r w:rsidR="006C1B63" w:rsidRPr="00DE553D">
        <w:t xml:space="preserve"> г. са в размер на </w:t>
      </w:r>
      <w:r w:rsidR="00AC645F" w:rsidRPr="00DE553D">
        <w:t>1</w:t>
      </w:r>
      <w:r w:rsidR="00DE553D" w:rsidRPr="00DE553D">
        <w:rPr>
          <w:lang w:val="en-US"/>
        </w:rPr>
        <w:t>4</w:t>
      </w:r>
      <w:r w:rsidR="00AC645F" w:rsidRPr="00DE553D">
        <w:t>4</w:t>
      </w:r>
      <w:r w:rsidR="00DB7BF9" w:rsidRPr="00DE553D">
        <w:t>,</w:t>
      </w:r>
      <w:r w:rsidR="00AC645F" w:rsidRPr="00DE553D">
        <w:t>9</w:t>
      </w:r>
      <w:r w:rsidR="006C1B63" w:rsidRPr="00DE553D">
        <w:t xml:space="preserve"> млн. лв. или </w:t>
      </w:r>
      <w:r w:rsidR="0078359E" w:rsidRPr="00DE553D">
        <w:t>9</w:t>
      </w:r>
      <w:r w:rsidR="00DE553D" w:rsidRPr="00DE553D">
        <w:rPr>
          <w:lang w:val="en-US"/>
        </w:rPr>
        <w:t>9</w:t>
      </w:r>
      <w:r w:rsidR="00DB7BF9" w:rsidRPr="00DE553D">
        <w:t>,</w:t>
      </w:r>
      <w:r w:rsidR="00DE553D" w:rsidRPr="00DE553D">
        <w:rPr>
          <w:lang w:val="en-US"/>
        </w:rPr>
        <w:t>9</w:t>
      </w:r>
      <w:r w:rsidR="002A1772" w:rsidRPr="00DE553D">
        <w:t xml:space="preserve"> на сто от</w:t>
      </w:r>
      <w:r w:rsidR="006C1B63" w:rsidRPr="00DE553D">
        <w:t xml:space="preserve"> годишн</w:t>
      </w:r>
      <w:r w:rsidR="002A1772" w:rsidRPr="00DE553D">
        <w:t>ия</w:t>
      </w:r>
      <w:r w:rsidR="006C1B63" w:rsidRPr="00DE553D">
        <w:t xml:space="preserve"> план. </w:t>
      </w:r>
      <w:r w:rsidR="005830F2" w:rsidRPr="00DE553D">
        <w:t>Същите са предоставени в съответствие с утвърдения от министъра на транспорта, информационните технологии и съобщенията График за превеждане на субсидиите, съобразен с необходимостта от средства за финансиране на текущите дейности на предприятието</w:t>
      </w:r>
      <w:r w:rsidR="006C1B63" w:rsidRPr="00DE553D">
        <w:t>.</w:t>
      </w:r>
      <w:r w:rsidR="00526B74" w:rsidRPr="00DE553D">
        <w:rPr>
          <w:lang w:val="en-US"/>
        </w:rPr>
        <w:t xml:space="preserve"> </w:t>
      </w:r>
      <w:r w:rsidR="00DE553D" w:rsidRPr="00C34883">
        <w:t>Във връзка с неизпълнението за 2018 г. на показатели по чл. 6, ал. 1 от договора, сключен между Държавата и Национална компания „Железопътна инфраструктура", е наложена санкция в размер на 0,1 млн. лв. на предприятието, която е удържана от средствата за субсидии за 2019 г.</w:t>
      </w:r>
    </w:p>
    <w:p w:rsidR="008360FD" w:rsidRPr="00BE17C6" w:rsidRDefault="008360FD" w:rsidP="00C83494">
      <w:pPr>
        <w:pStyle w:val="BodyTextIndent2"/>
        <w:spacing w:line="240" w:lineRule="auto"/>
        <w:ind w:left="0" w:firstLine="357"/>
        <w:jc w:val="both"/>
        <w:rPr>
          <w:noProof/>
        </w:rPr>
      </w:pPr>
      <w:r w:rsidRPr="00E9538D">
        <w:t>- Предвидените със ЗДБРБ за 201</w:t>
      </w:r>
      <w:r w:rsidR="006D341F" w:rsidRPr="00E9538D">
        <w:t>9</w:t>
      </w:r>
      <w:r w:rsidRPr="00E9538D">
        <w:t xml:space="preserve"> г. средства за субсидиране на превоза на пътниците по нерентабилни линии във вътрешноградския транспорт и транспорт</w:t>
      </w:r>
      <w:r w:rsidR="00B77876" w:rsidRPr="00E9538D">
        <w:t>а</w:t>
      </w:r>
      <w:r w:rsidRPr="00E9538D">
        <w:t xml:space="preserve"> в планински и други райони са в размер на </w:t>
      </w:r>
      <w:r w:rsidR="002A1277" w:rsidRPr="00E9538D">
        <w:t>2</w:t>
      </w:r>
      <w:r w:rsidR="006D341F" w:rsidRPr="00E9538D">
        <w:t>8</w:t>
      </w:r>
      <w:r w:rsidR="002A1277" w:rsidRPr="00E9538D">
        <w:t>,</w:t>
      </w:r>
      <w:r w:rsidR="006D341F" w:rsidRPr="00E9538D">
        <w:t>0</w:t>
      </w:r>
      <w:r w:rsidRPr="00E9538D">
        <w:t xml:space="preserve"> млн. лева. По своя характер те са обществени превозни услуги от общ икономически интерес</w:t>
      </w:r>
      <w:r w:rsidR="00352F76" w:rsidRPr="00E9538D">
        <w:t xml:space="preserve"> и</w:t>
      </w:r>
      <w:r w:rsidRPr="00E9538D">
        <w:t xml:space="preserve"> имат предимно социална насоченост – масови превози до и от работните места в рамките на града и превози до малки отдалечени селища, осигуря</w:t>
      </w:r>
      <w:r w:rsidR="003F1222" w:rsidRPr="00E9538D">
        <w:t xml:space="preserve">ващи връзка с общинския център. </w:t>
      </w:r>
      <w:r w:rsidR="008625C0" w:rsidRPr="00E9538D">
        <w:t>П</w:t>
      </w:r>
      <w:r w:rsidR="006C1B63" w:rsidRPr="00E9538D">
        <w:rPr>
          <w:noProof/>
        </w:rPr>
        <w:t>рез 201</w:t>
      </w:r>
      <w:r w:rsidR="006D341F" w:rsidRPr="00E9538D">
        <w:rPr>
          <w:noProof/>
        </w:rPr>
        <w:t>9</w:t>
      </w:r>
      <w:r w:rsidR="009B4DFD" w:rsidRPr="00E9538D">
        <w:rPr>
          <w:noProof/>
        </w:rPr>
        <w:t xml:space="preserve"> г.</w:t>
      </w:r>
      <w:r w:rsidR="006C1B63" w:rsidRPr="00E9538D">
        <w:rPr>
          <w:noProof/>
        </w:rPr>
        <w:t xml:space="preserve"> усвоените средства са в размер на </w:t>
      </w:r>
      <w:r w:rsidR="00E9538D" w:rsidRPr="00E9538D">
        <w:rPr>
          <w:noProof/>
          <w:lang w:val="en-US"/>
        </w:rPr>
        <w:t>27</w:t>
      </w:r>
      <w:r w:rsidR="003F1222" w:rsidRPr="00E9538D">
        <w:rPr>
          <w:noProof/>
        </w:rPr>
        <w:t>,</w:t>
      </w:r>
      <w:r w:rsidR="00AC645F" w:rsidRPr="00E9538D">
        <w:rPr>
          <w:noProof/>
        </w:rPr>
        <w:t>9</w:t>
      </w:r>
      <w:r w:rsidR="00E9538D" w:rsidRPr="00E9538D">
        <w:rPr>
          <w:noProof/>
          <w:lang w:val="en-US"/>
        </w:rPr>
        <w:t>8</w:t>
      </w:r>
      <w:r w:rsidR="006C1B63" w:rsidRPr="00E9538D">
        <w:rPr>
          <w:noProof/>
        </w:rPr>
        <w:t xml:space="preserve"> млн. лв. или </w:t>
      </w:r>
      <w:r w:rsidR="00E9538D" w:rsidRPr="00BE17C6">
        <w:rPr>
          <w:noProof/>
          <w:lang w:val="en-US"/>
        </w:rPr>
        <w:t>99</w:t>
      </w:r>
      <w:r w:rsidR="003F1222" w:rsidRPr="00BE17C6">
        <w:rPr>
          <w:noProof/>
        </w:rPr>
        <w:t>,</w:t>
      </w:r>
      <w:r w:rsidR="00E9538D" w:rsidRPr="00BE17C6">
        <w:rPr>
          <w:noProof/>
          <w:lang w:val="en-US"/>
        </w:rPr>
        <w:t>9</w:t>
      </w:r>
      <w:r w:rsidR="006C1B63" w:rsidRPr="00BE17C6">
        <w:rPr>
          <w:noProof/>
        </w:rPr>
        <w:t xml:space="preserve"> на сто от </w:t>
      </w:r>
      <w:r w:rsidR="006D341F" w:rsidRPr="00BE17C6">
        <w:rPr>
          <w:noProof/>
        </w:rPr>
        <w:t>разчета за годината</w:t>
      </w:r>
      <w:r w:rsidR="006C1B63" w:rsidRPr="00BE17C6">
        <w:rPr>
          <w:noProof/>
        </w:rPr>
        <w:t>.</w:t>
      </w:r>
      <w:r w:rsidRPr="00BE17C6">
        <w:rPr>
          <w:noProof/>
        </w:rPr>
        <w:t xml:space="preserve"> </w:t>
      </w:r>
    </w:p>
    <w:p w:rsidR="008360FD" w:rsidRPr="00BE17C6" w:rsidRDefault="008360FD" w:rsidP="008360FD">
      <w:pPr>
        <w:ind w:firstLine="567"/>
        <w:jc w:val="both"/>
        <w:rPr>
          <w:bCs/>
        </w:rPr>
      </w:pPr>
      <w:r w:rsidRPr="00BE17C6">
        <w:rPr>
          <w:bCs/>
        </w:rPr>
        <w:t xml:space="preserve">За </w:t>
      </w:r>
      <w:r w:rsidRPr="00BE17C6">
        <w:rPr>
          <w:b/>
          <w:bCs/>
        </w:rPr>
        <w:t xml:space="preserve">капиталови </w:t>
      </w:r>
      <w:r w:rsidR="000A301B" w:rsidRPr="00BE17C6">
        <w:rPr>
          <w:b/>
          <w:bCs/>
        </w:rPr>
        <w:t xml:space="preserve">трансфери </w:t>
      </w:r>
      <w:r w:rsidRPr="00BE17C6">
        <w:rPr>
          <w:bCs/>
        </w:rPr>
        <w:t>от централния бюджет за нефинансови предприятия със ЗДБРБ за 201</w:t>
      </w:r>
      <w:r w:rsidR="006D341F" w:rsidRPr="00BE17C6">
        <w:rPr>
          <w:bCs/>
        </w:rPr>
        <w:t>9</w:t>
      </w:r>
      <w:r w:rsidRPr="00BE17C6">
        <w:rPr>
          <w:bCs/>
        </w:rPr>
        <w:t xml:space="preserve"> г. са предвидени </w:t>
      </w:r>
      <w:r w:rsidR="006D341F" w:rsidRPr="00BE17C6">
        <w:rPr>
          <w:b/>
          <w:bCs/>
        </w:rPr>
        <w:t>380</w:t>
      </w:r>
      <w:r w:rsidRPr="00BE17C6">
        <w:rPr>
          <w:b/>
          <w:bCs/>
        </w:rPr>
        <w:t>,0 млн. лева.</w:t>
      </w:r>
      <w:r w:rsidRPr="00BE17C6">
        <w:rPr>
          <w:bCs/>
        </w:rPr>
        <w:t xml:space="preserve"> Преведените и усвоени средства </w:t>
      </w:r>
      <w:r w:rsidR="005061E5" w:rsidRPr="00BE17C6">
        <w:rPr>
          <w:bCs/>
        </w:rPr>
        <w:t>към 3</w:t>
      </w:r>
      <w:r w:rsidR="00BE17C6" w:rsidRPr="00BE17C6">
        <w:rPr>
          <w:bCs/>
          <w:lang w:val="en-US"/>
        </w:rPr>
        <w:t>1</w:t>
      </w:r>
      <w:r w:rsidR="005061E5" w:rsidRPr="00BE17C6">
        <w:rPr>
          <w:bCs/>
        </w:rPr>
        <w:t>.</w:t>
      </w:r>
      <w:r w:rsidR="00BE17C6" w:rsidRPr="00BE17C6">
        <w:rPr>
          <w:bCs/>
          <w:lang w:val="en-US"/>
        </w:rPr>
        <w:t>12</w:t>
      </w:r>
      <w:r w:rsidR="005061E5" w:rsidRPr="00BE17C6">
        <w:rPr>
          <w:bCs/>
        </w:rPr>
        <w:t>.201</w:t>
      </w:r>
      <w:r w:rsidR="006D341F" w:rsidRPr="00BE17C6">
        <w:rPr>
          <w:bCs/>
        </w:rPr>
        <w:t>9</w:t>
      </w:r>
      <w:r w:rsidR="005061E5" w:rsidRPr="00BE17C6">
        <w:rPr>
          <w:bCs/>
        </w:rPr>
        <w:t xml:space="preserve"> г.</w:t>
      </w:r>
      <w:r w:rsidRPr="00BE17C6">
        <w:rPr>
          <w:bCs/>
        </w:rPr>
        <w:t xml:space="preserve"> са в размер на </w:t>
      </w:r>
      <w:r w:rsidR="00BE17C6" w:rsidRPr="00BE17C6">
        <w:rPr>
          <w:b/>
          <w:bCs/>
          <w:lang w:val="en-US"/>
        </w:rPr>
        <w:t>371</w:t>
      </w:r>
      <w:r w:rsidR="00810D7B" w:rsidRPr="00BE17C6">
        <w:rPr>
          <w:b/>
          <w:bCs/>
        </w:rPr>
        <w:t>,</w:t>
      </w:r>
      <w:r w:rsidR="00BE17C6" w:rsidRPr="00BE17C6">
        <w:rPr>
          <w:b/>
          <w:bCs/>
          <w:lang w:val="en-US"/>
        </w:rPr>
        <w:t>2</w:t>
      </w:r>
      <w:r w:rsidRPr="00BE17C6">
        <w:rPr>
          <w:b/>
          <w:bCs/>
        </w:rPr>
        <w:t xml:space="preserve"> млн. лв.</w:t>
      </w:r>
      <w:r w:rsidRPr="00BE17C6">
        <w:rPr>
          <w:bCs/>
        </w:rPr>
        <w:t xml:space="preserve"> или </w:t>
      </w:r>
      <w:r w:rsidR="00BE17C6" w:rsidRPr="00BE17C6">
        <w:rPr>
          <w:bCs/>
          <w:lang w:val="en-US"/>
        </w:rPr>
        <w:t>97</w:t>
      </w:r>
      <w:r w:rsidR="00810D7B" w:rsidRPr="00BE17C6">
        <w:rPr>
          <w:bCs/>
        </w:rPr>
        <w:t>,</w:t>
      </w:r>
      <w:r w:rsidR="00BE17C6" w:rsidRPr="00BE17C6">
        <w:rPr>
          <w:bCs/>
          <w:lang w:val="en-US"/>
        </w:rPr>
        <w:t>7</w:t>
      </w:r>
      <w:r w:rsidRPr="00BE17C6">
        <w:rPr>
          <w:bCs/>
        </w:rPr>
        <w:t xml:space="preserve"> % от годишния размер, както следва:</w:t>
      </w:r>
    </w:p>
    <w:p w:rsidR="008360FD" w:rsidRPr="00B24448" w:rsidRDefault="008360FD" w:rsidP="00337CA7">
      <w:pPr>
        <w:numPr>
          <w:ilvl w:val="0"/>
          <w:numId w:val="5"/>
        </w:numPr>
        <w:tabs>
          <w:tab w:val="clear" w:pos="1440"/>
          <w:tab w:val="left" w:pos="851"/>
          <w:tab w:val="left" w:pos="1134"/>
        </w:tabs>
        <w:ind w:left="0" w:firstLine="567"/>
        <w:jc w:val="both"/>
        <w:rPr>
          <w:i/>
        </w:rPr>
      </w:pPr>
      <w:r w:rsidRPr="00BE17C6">
        <w:rPr>
          <w:i/>
        </w:rPr>
        <w:t xml:space="preserve">капиталови трансфери за  Национална компания </w:t>
      </w:r>
      <w:r w:rsidR="00B77876" w:rsidRPr="00BE17C6">
        <w:rPr>
          <w:i/>
        </w:rPr>
        <w:t>„</w:t>
      </w:r>
      <w:r w:rsidRPr="00BE17C6">
        <w:rPr>
          <w:i/>
        </w:rPr>
        <w:t>Железопътна инфраструктура</w:t>
      </w:r>
      <w:r w:rsidRPr="00BE17C6">
        <w:t xml:space="preserve">” - </w:t>
      </w:r>
      <w:r w:rsidR="003D664F" w:rsidRPr="00BE17C6">
        <w:t>ф</w:t>
      </w:r>
      <w:r w:rsidRPr="00BE17C6">
        <w:rPr>
          <w:noProof/>
        </w:rPr>
        <w:t>инансовото подпомагане от страна на държавата за изграждане и развитие на железопътната инфраструктура е насочено към повишаване на качеството и нивото на безопасност на транспортните услуги, ускоряване реализацията на проекти, свързани с европейските транспортни оси и коридори на територията на страната, ремонт и рехабилитация на железопътната мрежа</w:t>
      </w:r>
      <w:r w:rsidRPr="00BE17C6">
        <w:t xml:space="preserve">. </w:t>
      </w:r>
      <w:r w:rsidRPr="00BE17C6">
        <w:rPr>
          <w:noProof/>
        </w:rPr>
        <w:t>За 201</w:t>
      </w:r>
      <w:r w:rsidR="006D341F" w:rsidRPr="00BE17C6">
        <w:rPr>
          <w:noProof/>
        </w:rPr>
        <w:t>9</w:t>
      </w:r>
      <w:r w:rsidRPr="00BE17C6">
        <w:rPr>
          <w:noProof/>
        </w:rPr>
        <w:t xml:space="preserve"> г. от държавния бюджет за компанията е предвиден капиталов трансфер в размер на 1</w:t>
      </w:r>
      <w:r w:rsidR="006D341F" w:rsidRPr="00BE17C6">
        <w:rPr>
          <w:noProof/>
        </w:rPr>
        <w:t>20</w:t>
      </w:r>
      <w:r w:rsidRPr="00BE17C6">
        <w:rPr>
          <w:noProof/>
        </w:rPr>
        <w:t xml:space="preserve">,0 млн. лева. </w:t>
      </w:r>
      <w:r w:rsidR="00BE17C6" w:rsidRPr="00BE17C6">
        <w:rPr>
          <w:noProof/>
        </w:rPr>
        <w:t xml:space="preserve">Средствата са усвоени изляло. </w:t>
      </w:r>
      <w:r w:rsidR="00222228" w:rsidRPr="00BE17C6">
        <w:rPr>
          <w:noProof/>
        </w:rPr>
        <w:t xml:space="preserve"> Изпълняват се проекти за ремонт и придобиване на дълготрайни материални активи</w:t>
      </w:r>
      <w:r w:rsidR="00EF5667" w:rsidRPr="00BE17C6">
        <w:rPr>
          <w:noProof/>
        </w:rPr>
        <w:t>,</w:t>
      </w:r>
      <w:r w:rsidR="00222228" w:rsidRPr="00BE17C6">
        <w:rPr>
          <w:noProof/>
        </w:rPr>
        <w:t xml:space="preserve"> за възстановяване и подобряване на експлоатационното състояние на железния път и съор</w:t>
      </w:r>
      <w:r w:rsidR="001A5350" w:rsidRPr="00BE17C6">
        <w:rPr>
          <w:noProof/>
        </w:rPr>
        <w:t>ъ</w:t>
      </w:r>
      <w:r w:rsidR="00222228" w:rsidRPr="00BE17C6">
        <w:rPr>
          <w:noProof/>
        </w:rPr>
        <w:t xml:space="preserve">женията, както и </w:t>
      </w:r>
      <w:r w:rsidR="00222228" w:rsidRPr="00B24448">
        <w:rPr>
          <w:noProof/>
        </w:rPr>
        <w:t>ремонт и преустройство на възлови жп гари в съответствие с европейските изисквания</w:t>
      </w:r>
      <w:r w:rsidRPr="00B24448">
        <w:rPr>
          <w:noProof/>
        </w:rPr>
        <w:t>;</w:t>
      </w:r>
    </w:p>
    <w:p w:rsidR="008360FD" w:rsidRPr="00C85532" w:rsidRDefault="008360FD" w:rsidP="00337CA7">
      <w:pPr>
        <w:numPr>
          <w:ilvl w:val="0"/>
          <w:numId w:val="5"/>
        </w:numPr>
        <w:tabs>
          <w:tab w:val="clear" w:pos="1440"/>
          <w:tab w:val="num" w:pos="360"/>
          <w:tab w:val="left" w:pos="851"/>
        </w:tabs>
        <w:ind w:left="0" w:firstLine="567"/>
        <w:jc w:val="both"/>
        <w:rPr>
          <w:i/>
          <w:color w:val="0070C0"/>
        </w:rPr>
      </w:pPr>
      <w:r w:rsidRPr="00B24448">
        <w:rPr>
          <w:i/>
        </w:rPr>
        <w:t xml:space="preserve">капиталови трансфери за „БДЖ – Пътнически превози” - ЕООД – </w:t>
      </w:r>
      <w:r w:rsidR="003D664F" w:rsidRPr="00B24448">
        <w:t>п</w:t>
      </w:r>
      <w:r w:rsidRPr="00B24448">
        <w:t>редвидените средства със ЗДБРБ за 201</w:t>
      </w:r>
      <w:r w:rsidR="006D341F" w:rsidRPr="00B24448">
        <w:t>9</w:t>
      </w:r>
      <w:r w:rsidRPr="00B24448">
        <w:t> г. са в размер на 3</w:t>
      </w:r>
      <w:r w:rsidR="006D341F" w:rsidRPr="00B24448">
        <w:t>9</w:t>
      </w:r>
      <w:r w:rsidRPr="00B24448">
        <w:t>,0 млн. л</w:t>
      </w:r>
      <w:r w:rsidR="00EF5667" w:rsidRPr="00B24448">
        <w:t>е</w:t>
      </w:r>
      <w:r w:rsidRPr="00B24448">
        <w:t>в</w:t>
      </w:r>
      <w:r w:rsidR="00EF5667" w:rsidRPr="00B24448">
        <w:t>а</w:t>
      </w:r>
      <w:r w:rsidRPr="00B24448">
        <w:t>.</w:t>
      </w:r>
      <w:r w:rsidR="006D341F" w:rsidRPr="00B24448">
        <w:t xml:space="preserve"> Средствата </w:t>
      </w:r>
      <w:r w:rsidR="00B24448" w:rsidRPr="00B24448">
        <w:rPr>
          <w:noProof/>
        </w:rPr>
        <w:t>са усвоени изляло</w:t>
      </w:r>
      <w:r w:rsidR="00B24448" w:rsidRPr="00B24448">
        <w:t xml:space="preserve"> и са</w:t>
      </w:r>
      <w:r w:rsidR="006D341F" w:rsidRPr="00B24448">
        <w:t xml:space="preserve"> предназначени за планов заводски (среден и капитален) ремонт на пътнически вагони</w:t>
      </w:r>
      <w:r w:rsidRPr="00B24448">
        <w:t>;</w:t>
      </w:r>
    </w:p>
    <w:p w:rsidR="008360FD" w:rsidRPr="00C1174C" w:rsidRDefault="008360FD" w:rsidP="00337CA7">
      <w:pPr>
        <w:numPr>
          <w:ilvl w:val="1"/>
          <w:numId w:val="15"/>
        </w:numPr>
        <w:tabs>
          <w:tab w:val="clear" w:pos="1440"/>
          <w:tab w:val="num" w:pos="360"/>
          <w:tab w:val="left" w:pos="851"/>
        </w:tabs>
        <w:ind w:left="0" w:firstLine="567"/>
        <w:jc w:val="both"/>
      </w:pPr>
      <w:r w:rsidRPr="00B24448">
        <w:rPr>
          <w:i/>
        </w:rPr>
        <w:t>капиталови трансфери за ДП „Пристанищна инфраструктура”</w:t>
      </w:r>
      <w:r w:rsidRPr="00B24448">
        <w:rPr>
          <w:b/>
          <w:i/>
        </w:rPr>
        <w:t xml:space="preserve"> </w:t>
      </w:r>
      <w:r w:rsidRPr="00B24448">
        <w:t xml:space="preserve">- </w:t>
      </w:r>
      <w:r w:rsidR="003D664F" w:rsidRPr="00B24448">
        <w:t>и</w:t>
      </w:r>
      <w:r w:rsidRPr="00B24448">
        <w:t>нвестиционната програма на дружеството, която включва изграждане и капиталов ремонт на пристанищна инфраструктура на пристанищата за обществен транспорт с национално значение, се изпълнява с участието на капиталов</w:t>
      </w:r>
      <w:r w:rsidR="00CC51BE" w:rsidRPr="00B24448">
        <w:t>и</w:t>
      </w:r>
      <w:r w:rsidRPr="00B24448">
        <w:t xml:space="preserve"> трансфер</w:t>
      </w:r>
      <w:r w:rsidR="00CC51BE" w:rsidRPr="00B24448">
        <w:t>и</w:t>
      </w:r>
      <w:r w:rsidRPr="00B24448">
        <w:t xml:space="preserve"> от </w:t>
      </w:r>
      <w:r w:rsidR="00CC51BE" w:rsidRPr="00B24448">
        <w:t>държавния бюджет</w:t>
      </w:r>
      <w:r w:rsidR="00CC51BE" w:rsidRPr="00B24448">
        <w:rPr>
          <w:noProof/>
        </w:rPr>
        <w:t xml:space="preserve">. </w:t>
      </w:r>
      <w:r w:rsidR="00D466A8" w:rsidRPr="00B24448">
        <w:rPr>
          <w:noProof/>
        </w:rPr>
        <w:t xml:space="preserve">Предвидените със </w:t>
      </w:r>
      <w:r w:rsidR="00CC51BE" w:rsidRPr="00B24448">
        <w:rPr>
          <w:noProof/>
        </w:rPr>
        <w:t xml:space="preserve">ЗДБРБ </w:t>
      </w:r>
      <w:r w:rsidR="00D466A8" w:rsidRPr="00B24448">
        <w:rPr>
          <w:noProof/>
        </w:rPr>
        <w:t>за  201</w:t>
      </w:r>
      <w:r w:rsidR="006D341F" w:rsidRPr="00B24448">
        <w:rPr>
          <w:noProof/>
        </w:rPr>
        <w:t>9</w:t>
      </w:r>
      <w:r w:rsidR="00D466A8" w:rsidRPr="00B24448">
        <w:rPr>
          <w:noProof/>
        </w:rPr>
        <w:t xml:space="preserve"> г. средства са в размер на </w:t>
      </w:r>
      <w:r w:rsidR="006D341F" w:rsidRPr="00B24448">
        <w:rPr>
          <w:noProof/>
        </w:rPr>
        <w:t>2</w:t>
      </w:r>
      <w:r w:rsidR="00D466A8" w:rsidRPr="00B24448">
        <w:rPr>
          <w:noProof/>
        </w:rPr>
        <w:t>11</w:t>
      </w:r>
      <w:r w:rsidR="000411D9" w:rsidRPr="00B24448">
        <w:rPr>
          <w:noProof/>
        </w:rPr>
        <w:t>,0</w:t>
      </w:r>
      <w:r w:rsidR="00D466A8" w:rsidRPr="00B24448">
        <w:rPr>
          <w:noProof/>
        </w:rPr>
        <w:t xml:space="preserve"> млн. лева. </w:t>
      </w:r>
      <w:r w:rsidR="00B24448" w:rsidRPr="00B24448">
        <w:rPr>
          <w:noProof/>
        </w:rPr>
        <w:t>През</w:t>
      </w:r>
      <w:r w:rsidR="006D341F" w:rsidRPr="00B24448">
        <w:rPr>
          <w:noProof/>
        </w:rPr>
        <w:t xml:space="preserve"> 2019 г. са усвоени средства в </w:t>
      </w:r>
      <w:r w:rsidR="006D341F" w:rsidRPr="00C1174C">
        <w:rPr>
          <w:noProof/>
        </w:rPr>
        <w:t xml:space="preserve">размер на </w:t>
      </w:r>
      <w:r w:rsidR="00B24448" w:rsidRPr="00C1174C">
        <w:rPr>
          <w:noProof/>
        </w:rPr>
        <w:t>210</w:t>
      </w:r>
      <w:r w:rsidR="006D341F" w:rsidRPr="00C1174C">
        <w:rPr>
          <w:noProof/>
        </w:rPr>
        <w:t>,</w:t>
      </w:r>
      <w:r w:rsidR="00B24448" w:rsidRPr="00C1174C">
        <w:rPr>
          <w:noProof/>
        </w:rPr>
        <w:t>7</w:t>
      </w:r>
      <w:r w:rsidR="006D341F" w:rsidRPr="00C1174C">
        <w:rPr>
          <w:noProof/>
        </w:rPr>
        <w:t xml:space="preserve"> млн. лв. или </w:t>
      </w:r>
      <w:r w:rsidR="00B24448" w:rsidRPr="00C1174C">
        <w:rPr>
          <w:noProof/>
        </w:rPr>
        <w:t>99</w:t>
      </w:r>
      <w:r w:rsidR="006D341F" w:rsidRPr="00C1174C">
        <w:rPr>
          <w:noProof/>
        </w:rPr>
        <w:t>,</w:t>
      </w:r>
      <w:r w:rsidR="00B24448" w:rsidRPr="00C1174C">
        <w:rPr>
          <w:noProof/>
        </w:rPr>
        <w:t>9</w:t>
      </w:r>
      <w:r w:rsidR="006D341F" w:rsidRPr="00C1174C">
        <w:rPr>
          <w:noProof/>
        </w:rPr>
        <w:t xml:space="preserve"> на сто от годишн</w:t>
      </w:r>
      <w:r w:rsidR="00790251" w:rsidRPr="00C1174C">
        <w:rPr>
          <w:noProof/>
        </w:rPr>
        <w:t>ия</w:t>
      </w:r>
      <w:r w:rsidR="006D341F" w:rsidRPr="00C1174C">
        <w:rPr>
          <w:noProof/>
        </w:rPr>
        <w:t xml:space="preserve"> план</w:t>
      </w:r>
      <w:r w:rsidRPr="00C1174C">
        <w:t>;</w:t>
      </w:r>
    </w:p>
    <w:p w:rsidR="008360FD" w:rsidRPr="00C85532" w:rsidRDefault="008360FD" w:rsidP="00337CA7">
      <w:pPr>
        <w:numPr>
          <w:ilvl w:val="0"/>
          <w:numId w:val="16"/>
        </w:numPr>
        <w:tabs>
          <w:tab w:val="clear" w:pos="2157"/>
          <w:tab w:val="left" w:pos="360"/>
          <w:tab w:val="left" w:pos="851"/>
        </w:tabs>
        <w:ind w:left="0" w:firstLine="567"/>
        <w:jc w:val="both"/>
        <w:rPr>
          <w:color w:val="0070C0"/>
        </w:rPr>
      </w:pPr>
      <w:r w:rsidRPr="00C1174C">
        <w:t>През 201</w:t>
      </w:r>
      <w:r w:rsidR="00B721C7" w:rsidRPr="00C1174C">
        <w:t>9</w:t>
      </w:r>
      <w:r w:rsidRPr="00C1174C">
        <w:t xml:space="preserve"> г. продължава изпълнението на Програмите </w:t>
      </w:r>
      <w:r w:rsidR="00601E59" w:rsidRPr="00C1174C">
        <w:t xml:space="preserve">за отстраняване на нанесени щети </w:t>
      </w:r>
      <w:r w:rsidR="00601E59" w:rsidRPr="00C1174C">
        <w:rPr>
          <w:noProof/>
        </w:rPr>
        <w:t>върху околната среда</w:t>
      </w:r>
      <w:r w:rsidR="00601E59" w:rsidRPr="00C1174C">
        <w:t>, настъпили от минали действия или бездействия, при приватизация</w:t>
      </w:r>
      <w:r w:rsidRPr="00C1174C">
        <w:t>. В ЗДБРБ за 201</w:t>
      </w:r>
      <w:r w:rsidR="00B721C7" w:rsidRPr="00C1174C">
        <w:t>9</w:t>
      </w:r>
      <w:r w:rsidRPr="00C1174C">
        <w:t xml:space="preserve"> г. за тези програми са предвидени </w:t>
      </w:r>
      <w:r w:rsidR="00B721C7" w:rsidRPr="00C1174C">
        <w:t>10</w:t>
      </w:r>
      <w:r w:rsidRPr="00C1174C">
        <w:t>,0 млн. л</w:t>
      </w:r>
      <w:r w:rsidR="000411D9" w:rsidRPr="00C1174C">
        <w:t>е</w:t>
      </w:r>
      <w:r w:rsidRPr="00C1174C">
        <w:t>в</w:t>
      </w:r>
      <w:r w:rsidR="000411D9" w:rsidRPr="00C1174C">
        <w:t xml:space="preserve">а. </w:t>
      </w:r>
      <w:r w:rsidR="00C1174C" w:rsidRPr="00C1174C">
        <w:t>П</w:t>
      </w:r>
      <w:r w:rsidR="00C1174C" w:rsidRPr="00C1174C">
        <w:rPr>
          <w:noProof/>
        </w:rPr>
        <w:t>рез</w:t>
      </w:r>
      <w:r w:rsidR="00DF1C2D" w:rsidRPr="00C1174C">
        <w:rPr>
          <w:noProof/>
        </w:rPr>
        <w:t xml:space="preserve"> </w:t>
      </w:r>
      <w:r w:rsidR="00B721C7" w:rsidRPr="00C1174C">
        <w:rPr>
          <w:noProof/>
        </w:rPr>
        <w:t xml:space="preserve">2019 г. са усвоени </w:t>
      </w:r>
      <w:r w:rsidR="00DF1C2D" w:rsidRPr="00C1174C">
        <w:rPr>
          <w:noProof/>
        </w:rPr>
        <w:t>1</w:t>
      </w:r>
      <w:r w:rsidR="00B721C7" w:rsidRPr="00C1174C">
        <w:rPr>
          <w:noProof/>
        </w:rPr>
        <w:t>,</w:t>
      </w:r>
      <w:r w:rsidR="00C1174C" w:rsidRPr="00C1174C">
        <w:rPr>
          <w:noProof/>
        </w:rPr>
        <w:t>5</w:t>
      </w:r>
      <w:r w:rsidR="00B721C7" w:rsidRPr="00C1174C">
        <w:rPr>
          <w:noProof/>
        </w:rPr>
        <w:t xml:space="preserve"> млн. лв. или </w:t>
      </w:r>
      <w:r w:rsidR="00DF1C2D" w:rsidRPr="00C1174C">
        <w:rPr>
          <w:noProof/>
        </w:rPr>
        <w:t>1</w:t>
      </w:r>
      <w:r w:rsidR="00C1174C" w:rsidRPr="00C1174C">
        <w:rPr>
          <w:noProof/>
        </w:rPr>
        <w:t>4</w:t>
      </w:r>
      <w:r w:rsidR="00B721C7" w:rsidRPr="00C1174C">
        <w:rPr>
          <w:noProof/>
        </w:rPr>
        <w:t>,</w:t>
      </w:r>
      <w:r w:rsidR="00C1174C" w:rsidRPr="00C1174C">
        <w:rPr>
          <w:noProof/>
        </w:rPr>
        <w:t>8</w:t>
      </w:r>
      <w:r w:rsidR="00B721C7" w:rsidRPr="00C1174C">
        <w:rPr>
          <w:noProof/>
        </w:rPr>
        <w:t xml:space="preserve"> на сто от годишния план</w:t>
      </w:r>
      <w:r w:rsidR="000411D9" w:rsidRPr="00C1174C">
        <w:rPr>
          <w:noProof/>
        </w:rPr>
        <w:t>.</w:t>
      </w:r>
      <w:r w:rsidRPr="00C1174C">
        <w:t xml:space="preserve">  </w:t>
      </w:r>
    </w:p>
    <w:p w:rsidR="008360FD" w:rsidRPr="00C85532" w:rsidRDefault="008360FD" w:rsidP="008360FD">
      <w:pPr>
        <w:jc w:val="both"/>
        <w:rPr>
          <w:color w:val="0070C0"/>
          <w:sz w:val="8"/>
          <w:szCs w:val="8"/>
        </w:rPr>
      </w:pPr>
    </w:p>
    <w:p w:rsidR="008360FD" w:rsidRPr="00C85532" w:rsidRDefault="008360FD" w:rsidP="008360FD">
      <w:pPr>
        <w:jc w:val="both"/>
        <w:rPr>
          <w:color w:val="0070C0"/>
          <w:sz w:val="8"/>
          <w:szCs w:val="8"/>
          <w:highlight w:val="yellow"/>
        </w:rPr>
      </w:pPr>
    </w:p>
    <w:p w:rsidR="008360FD" w:rsidRPr="00FB17EB" w:rsidRDefault="008360FD" w:rsidP="008360FD">
      <w:pPr>
        <w:ind w:firstLine="567"/>
        <w:jc w:val="both"/>
      </w:pPr>
      <w:r w:rsidRPr="00FB17EB">
        <w:rPr>
          <w:b/>
          <w:bCs/>
        </w:rPr>
        <w:t>Други разходи по централния бюджет</w:t>
      </w:r>
      <w:r w:rsidRPr="00FB17EB">
        <w:t xml:space="preserve"> предназначени за: </w:t>
      </w:r>
    </w:p>
    <w:p w:rsidR="008360FD" w:rsidRPr="00FB17EB" w:rsidRDefault="008360FD" w:rsidP="008360FD">
      <w:pPr>
        <w:jc w:val="both"/>
        <w:rPr>
          <w:sz w:val="8"/>
          <w:szCs w:val="8"/>
        </w:rPr>
      </w:pPr>
    </w:p>
    <w:p w:rsidR="00E7455D" w:rsidRPr="00C85532" w:rsidRDefault="008360FD" w:rsidP="00E7455D">
      <w:pPr>
        <w:numPr>
          <w:ilvl w:val="0"/>
          <w:numId w:val="5"/>
        </w:numPr>
        <w:tabs>
          <w:tab w:val="clear" w:pos="1440"/>
          <w:tab w:val="num" w:pos="360"/>
          <w:tab w:val="left" w:pos="851"/>
        </w:tabs>
        <w:ind w:left="0" w:firstLine="567"/>
        <w:jc w:val="both"/>
        <w:rPr>
          <w:color w:val="0070C0"/>
          <w:sz w:val="8"/>
          <w:szCs w:val="8"/>
        </w:rPr>
      </w:pPr>
      <w:r w:rsidRPr="00FB17EB">
        <w:rPr>
          <w:i/>
        </w:rPr>
        <w:t>Компенсиране на стойността на</w:t>
      </w:r>
      <w:r w:rsidR="007607CE" w:rsidRPr="00FB17EB">
        <w:rPr>
          <w:i/>
        </w:rPr>
        <w:t xml:space="preserve"> </w:t>
      </w:r>
      <w:r w:rsidR="007607CE" w:rsidRPr="00FB17EB">
        <w:rPr>
          <w:bCs/>
          <w:i/>
        </w:rPr>
        <w:t>намалените приходи от прилагането на цени за пътуване, предвидени в нормативни актове за определени категории пътници</w:t>
      </w:r>
      <w:r w:rsidRPr="00FB17EB">
        <w:rPr>
          <w:i/>
        </w:rPr>
        <w:t xml:space="preserve"> по железопътния и автомобилния транспорт</w:t>
      </w:r>
      <w:r w:rsidR="00F011DB" w:rsidRPr="00FB17EB">
        <w:rPr>
          <w:i/>
        </w:rPr>
        <w:t>,</w:t>
      </w:r>
      <w:r w:rsidRPr="00FB17EB">
        <w:rPr>
          <w:i/>
        </w:rPr>
        <w:t xml:space="preserve"> със средства от държавния бюджет</w:t>
      </w:r>
      <w:r w:rsidRPr="00FB17EB">
        <w:t xml:space="preserve"> - </w:t>
      </w:r>
      <w:r w:rsidR="00FF7965" w:rsidRPr="00FB17EB">
        <w:t xml:space="preserve">предвидените средства са общо в размер на </w:t>
      </w:r>
      <w:r w:rsidR="00AB44CD" w:rsidRPr="00FB17EB">
        <w:t>10</w:t>
      </w:r>
      <w:r w:rsidR="00B721C7" w:rsidRPr="00FB17EB">
        <w:t>9</w:t>
      </w:r>
      <w:r w:rsidR="00AB44CD" w:rsidRPr="00FB17EB">
        <w:t>,</w:t>
      </w:r>
      <w:r w:rsidR="00B721C7" w:rsidRPr="00FB17EB">
        <w:t>5</w:t>
      </w:r>
      <w:r w:rsidR="00FF7965" w:rsidRPr="00FB17EB">
        <w:t xml:space="preserve"> млн. лв., от които </w:t>
      </w:r>
      <w:r w:rsidR="00140F18" w:rsidRPr="00FB17EB">
        <w:t>40</w:t>
      </w:r>
      <w:r w:rsidR="00FF7965" w:rsidRPr="00FB17EB">
        <w:rPr>
          <w:lang w:val="en-US"/>
        </w:rPr>
        <w:t>,</w:t>
      </w:r>
      <w:r w:rsidR="00140F18" w:rsidRPr="00FB17EB">
        <w:t>0</w:t>
      </w:r>
      <w:r w:rsidR="00FF7965" w:rsidRPr="00FB17EB">
        <w:rPr>
          <w:lang w:val="en-US"/>
        </w:rPr>
        <w:t xml:space="preserve"> </w:t>
      </w:r>
      <w:r w:rsidR="00FF7965" w:rsidRPr="00FB17EB">
        <w:t xml:space="preserve">млн. лв. </w:t>
      </w:r>
      <w:r w:rsidR="00FF7965" w:rsidRPr="00FB17EB">
        <w:rPr>
          <w:noProof/>
        </w:rPr>
        <w:t xml:space="preserve">за пътувания с вътрешноградския транспорт и междуселищния автомобилен транспорт, </w:t>
      </w:r>
      <w:r w:rsidR="00FE44CB" w:rsidRPr="00FB17EB">
        <w:rPr>
          <w:noProof/>
        </w:rPr>
        <w:t>40</w:t>
      </w:r>
      <w:r w:rsidR="0010026D" w:rsidRPr="00FB17EB">
        <w:rPr>
          <w:noProof/>
        </w:rPr>
        <w:t>,0</w:t>
      </w:r>
      <w:r w:rsidR="00FF7965" w:rsidRPr="00FB17EB">
        <w:rPr>
          <w:noProof/>
        </w:rPr>
        <w:t xml:space="preserve"> млн. лв. за транспорт на деца и ученици по чл. 283, ал. 2 от Закона за предучилищното и училищното образование, 16,5 млн. лв. за превоз на служители, ползващи право на безплатно пътуване при изпълнение на служебните си задължения и 1</w:t>
      </w:r>
      <w:r w:rsidR="00B721C7" w:rsidRPr="00FB17EB">
        <w:rPr>
          <w:noProof/>
        </w:rPr>
        <w:t>3</w:t>
      </w:r>
      <w:r w:rsidR="00FF7965" w:rsidRPr="00FB17EB">
        <w:rPr>
          <w:noProof/>
        </w:rPr>
        <w:t xml:space="preserve">,0 млн. лв. за пътувания с железопътния </w:t>
      </w:r>
      <w:r w:rsidR="00FF7965" w:rsidRPr="00FB17EB">
        <w:rPr>
          <w:noProof/>
        </w:rPr>
        <w:lastRenderedPageBreak/>
        <w:t>транспорт.</w:t>
      </w:r>
      <w:r w:rsidR="007B7497" w:rsidRPr="00FB17EB">
        <w:t xml:space="preserve"> </w:t>
      </w:r>
      <w:r w:rsidR="00FB17EB" w:rsidRPr="00C34883">
        <w:rPr>
          <w:noProof/>
        </w:rPr>
        <w:t xml:space="preserve">Допълнително са предоставени средства за транспорт на деца и ученици, в размер на 1,6 млн. лв., в съответствие с Постановление № 343 на Министерския съвет от 18 декември </w:t>
      </w:r>
      <w:r w:rsidR="00FB17EB" w:rsidRPr="00FB17EB">
        <w:rPr>
          <w:noProof/>
        </w:rPr>
        <w:t xml:space="preserve">2019 г. С това, общият размер на средствата за компенсиране на намалените приходи от прилагането на цени за пътуване, предвидени в нормативни актове за определени категории пътници, за 2019 г. се увеличава на 111,1 млн. лeвa. </w:t>
      </w:r>
      <w:r w:rsidR="00FF7965" w:rsidRPr="00FB17EB">
        <w:rPr>
          <w:noProof/>
        </w:rPr>
        <w:t>Усвоените средства за 201</w:t>
      </w:r>
      <w:r w:rsidR="00140F18" w:rsidRPr="00FB17EB">
        <w:rPr>
          <w:noProof/>
        </w:rPr>
        <w:t>9</w:t>
      </w:r>
      <w:r w:rsidR="00FF7965" w:rsidRPr="00FB17EB">
        <w:rPr>
          <w:noProof/>
        </w:rPr>
        <w:t xml:space="preserve"> г. са общо в размер на </w:t>
      </w:r>
      <w:r w:rsidR="00FB17EB" w:rsidRPr="00FB17EB">
        <w:rPr>
          <w:noProof/>
        </w:rPr>
        <w:t>108</w:t>
      </w:r>
      <w:r w:rsidR="007B7497" w:rsidRPr="00FB17EB">
        <w:rPr>
          <w:noProof/>
        </w:rPr>
        <w:t>,</w:t>
      </w:r>
      <w:r w:rsidR="00DF1C2D" w:rsidRPr="00FB17EB">
        <w:rPr>
          <w:noProof/>
        </w:rPr>
        <w:t>8</w:t>
      </w:r>
      <w:r w:rsidR="00FD3816" w:rsidRPr="00FB17EB">
        <w:rPr>
          <w:noProof/>
        </w:rPr>
        <w:t xml:space="preserve"> млн. лв.</w:t>
      </w:r>
      <w:r w:rsidR="00FF7965" w:rsidRPr="00FB17EB">
        <w:rPr>
          <w:noProof/>
        </w:rPr>
        <w:t xml:space="preserve"> или </w:t>
      </w:r>
      <w:r w:rsidR="00FB17EB" w:rsidRPr="00FB17EB">
        <w:rPr>
          <w:noProof/>
        </w:rPr>
        <w:t>97</w:t>
      </w:r>
      <w:r w:rsidR="007B7497" w:rsidRPr="00FB17EB">
        <w:rPr>
          <w:noProof/>
        </w:rPr>
        <w:t>,</w:t>
      </w:r>
      <w:r w:rsidR="00FB17EB" w:rsidRPr="00FB17EB">
        <w:rPr>
          <w:noProof/>
        </w:rPr>
        <w:t>9</w:t>
      </w:r>
      <w:r w:rsidR="00FF7965" w:rsidRPr="00FB17EB">
        <w:rPr>
          <w:noProof/>
        </w:rPr>
        <w:t xml:space="preserve"> на сто от годишн</w:t>
      </w:r>
      <w:r w:rsidR="00140F18" w:rsidRPr="00FB17EB">
        <w:rPr>
          <w:noProof/>
        </w:rPr>
        <w:t>ия</w:t>
      </w:r>
      <w:r w:rsidR="00FF7965" w:rsidRPr="00FB17EB">
        <w:rPr>
          <w:noProof/>
        </w:rPr>
        <w:t xml:space="preserve"> </w:t>
      </w:r>
      <w:r w:rsidR="00140F18" w:rsidRPr="00FB17EB">
        <w:rPr>
          <w:noProof/>
        </w:rPr>
        <w:t>разчет</w:t>
      </w:r>
      <w:r w:rsidR="00FF7965" w:rsidRPr="00FB17EB">
        <w:rPr>
          <w:noProof/>
        </w:rPr>
        <w:t>.</w:t>
      </w:r>
      <w:r w:rsidR="00E7455D" w:rsidRPr="00FB17EB">
        <w:t xml:space="preserve"> </w:t>
      </w:r>
    </w:p>
    <w:p w:rsidR="00E7455D" w:rsidRPr="00580E09" w:rsidRDefault="00E7455D" w:rsidP="00E7455D">
      <w:pPr>
        <w:tabs>
          <w:tab w:val="left" w:pos="851"/>
        </w:tabs>
        <w:ind w:firstLine="567"/>
        <w:jc w:val="both"/>
      </w:pPr>
      <w:r w:rsidRPr="00580E09">
        <w:t xml:space="preserve">Усвоените средства </w:t>
      </w:r>
      <w:r w:rsidR="00580E09" w:rsidRPr="00580E09">
        <w:t xml:space="preserve">за </w:t>
      </w:r>
      <w:r w:rsidR="00410E96" w:rsidRPr="00580E09">
        <w:t>201</w:t>
      </w:r>
      <w:r w:rsidR="00140F18" w:rsidRPr="00580E09">
        <w:t>9</w:t>
      </w:r>
      <w:r w:rsidR="00410E96" w:rsidRPr="00580E09">
        <w:t xml:space="preserve"> </w:t>
      </w:r>
      <w:r w:rsidRPr="00580E09">
        <w:t xml:space="preserve">г. за компенсиране на намалените приходи от прилагането на цени за пътуване, предвидени в нормативни актове за определени категории пътници /компенсации/, структурирани според вида ползван транспорт – </w:t>
      </w:r>
      <w:r w:rsidRPr="00580E09">
        <w:rPr>
          <w:noProof/>
        </w:rPr>
        <w:t xml:space="preserve">вътрешноградски транспорт и междуселищен </w:t>
      </w:r>
      <w:r w:rsidRPr="00580E09">
        <w:t>автомобилен транспорт или железопътен транспорт, съгласно ПМС №</w:t>
      </w:r>
      <w:r w:rsidR="00A86D6A">
        <w:t> </w:t>
      </w:r>
      <w:r w:rsidR="00140F18" w:rsidRPr="00580E09">
        <w:t>344</w:t>
      </w:r>
      <w:r w:rsidRPr="00580E09">
        <w:t>/201</w:t>
      </w:r>
      <w:r w:rsidR="00140F18" w:rsidRPr="00580E09">
        <w:t>8</w:t>
      </w:r>
      <w:r w:rsidRPr="00580E09">
        <w:t xml:space="preserve"> г. за изпълнението на държавния бюджет на Република България за 201</w:t>
      </w:r>
      <w:r w:rsidR="00140F18" w:rsidRPr="00580E09">
        <w:t>9</w:t>
      </w:r>
      <w:r w:rsidRPr="00580E09">
        <w:t xml:space="preserve"> г., са както следва:</w:t>
      </w:r>
    </w:p>
    <w:p w:rsidR="00E7455D" w:rsidRPr="00580E09" w:rsidRDefault="00E7455D" w:rsidP="00E7455D">
      <w:pPr>
        <w:ind w:firstLine="567"/>
        <w:jc w:val="both"/>
      </w:pPr>
      <w:r w:rsidRPr="00580E09">
        <w:t xml:space="preserve">- компенсации за </w:t>
      </w:r>
      <w:r w:rsidR="009E6012" w:rsidRPr="00580E09">
        <w:t xml:space="preserve">пътувания с </w:t>
      </w:r>
      <w:r w:rsidRPr="00580E09">
        <w:t xml:space="preserve">железопътния транспорт в размер на </w:t>
      </w:r>
      <w:r w:rsidR="00580E09" w:rsidRPr="00580E09">
        <w:t>11</w:t>
      </w:r>
      <w:r w:rsidRPr="00580E09">
        <w:t>,</w:t>
      </w:r>
      <w:r w:rsidR="00A463B8" w:rsidRPr="00580E09">
        <w:t>5</w:t>
      </w:r>
      <w:r w:rsidRPr="00580E09">
        <w:t xml:space="preserve"> млн. лв.,  </w:t>
      </w:r>
      <w:r w:rsidR="00085704" w:rsidRPr="00580E09">
        <w:t xml:space="preserve">което е </w:t>
      </w:r>
      <w:r w:rsidR="00580E09" w:rsidRPr="00580E09">
        <w:t>88</w:t>
      </w:r>
      <w:r w:rsidRPr="00580E09">
        <w:t>,</w:t>
      </w:r>
      <w:r w:rsidR="00580E09" w:rsidRPr="00580E09">
        <w:t>2</w:t>
      </w:r>
      <w:r w:rsidRPr="00580E09">
        <w:t xml:space="preserve"> на сто от утвърдения годишен план; </w:t>
      </w:r>
    </w:p>
    <w:p w:rsidR="00E7455D" w:rsidRPr="000C7D7C" w:rsidRDefault="00E7455D" w:rsidP="00E7455D">
      <w:pPr>
        <w:tabs>
          <w:tab w:val="left" w:pos="540"/>
          <w:tab w:val="left" w:pos="709"/>
        </w:tabs>
        <w:ind w:firstLine="567"/>
        <w:jc w:val="both"/>
        <w:rPr>
          <w:noProof/>
        </w:rPr>
      </w:pPr>
      <w:r w:rsidRPr="00580E09">
        <w:rPr>
          <w:noProof/>
        </w:rPr>
        <w:t xml:space="preserve">- компенсации за </w:t>
      </w:r>
      <w:r w:rsidR="00FD1298" w:rsidRPr="00580E09">
        <w:rPr>
          <w:noProof/>
        </w:rPr>
        <w:t>пътувания с</w:t>
      </w:r>
      <w:r w:rsidRPr="00580E09">
        <w:rPr>
          <w:noProof/>
        </w:rPr>
        <w:t xml:space="preserve"> вътрешноградски транспорт и междуселищния автомобилен транспорт в страната, предоставени чрез Системата за електронни бюджетни </w:t>
      </w:r>
      <w:r w:rsidRPr="000C7D7C">
        <w:rPr>
          <w:noProof/>
        </w:rPr>
        <w:t xml:space="preserve">разплащания – </w:t>
      </w:r>
      <w:r w:rsidR="00580E09" w:rsidRPr="000C7D7C">
        <w:rPr>
          <w:noProof/>
        </w:rPr>
        <w:t>97</w:t>
      </w:r>
      <w:r w:rsidR="00F14FD5" w:rsidRPr="000C7D7C">
        <w:rPr>
          <w:noProof/>
        </w:rPr>
        <w:t>,</w:t>
      </w:r>
      <w:r w:rsidR="00A463B8" w:rsidRPr="000C7D7C">
        <w:rPr>
          <w:noProof/>
        </w:rPr>
        <w:t>3</w:t>
      </w:r>
      <w:r w:rsidRPr="000C7D7C">
        <w:rPr>
          <w:noProof/>
        </w:rPr>
        <w:t xml:space="preserve"> млн. лв., което е </w:t>
      </w:r>
      <w:r w:rsidR="00580E09" w:rsidRPr="000C7D7C">
        <w:rPr>
          <w:noProof/>
        </w:rPr>
        <w:t>99</w:t>
      </w:r>
      <w:r w:rsidR="009463C3" w:rsidRPr="000C7D7C">
        <w:rPr>
          <w:noProof/>
        </w:rPr>
        <w:t>,</w:t>
      </w:r>
      <w:r w:rsidR="00580E09" w:rsidRPr="000C7D7C">
        <w:rPr>
          <w:noProof/>
        </w:rPr>
        <w:t>2</w:t>
      </w:r>
      <w:r w:rsidRPr="000C7D7C">
        <w:rPr>
          <w:noProof/>
        </w:rPr>
        <w:t xml:space="preserve"> на сто от </w:t>
      </w:r>
      <w:r w:rsidR="00140F18" w:rsidRPr="000C7D7C">
        <w:t>утвърдения</w:t>
      </w:r>
      <w:r w:rsidR="00140F18" w:rsidRPr="000C7D7C">
        <w:rPr>
          <w:noProof/>
        </w:rPr>
        <w:t xml:space="preserve"> </w:t>
      </w:r>
      <w:r w:rsidRPr="000C7D7C">
        <w:rPr>
          <w:noProof/>
        </w:rPr>
        <w:t xml:space="preserve">годишен план. </w:t>
      </w:r>
    </w:p>
    <w:p w:rsidR="00E7455D" w:rsidRPr="000C7D7C" w:rsidRDefault="00E7455D" w:rsidP="00E7455D">
      <w:pPr>
        <w:ind w:firstLine="567"/>
        <w:jc w:val="both"/>
        <w:rPr>
          <w:noProof/>
        </w:rPr>
      </w:pPr>
      <w:r w:rsidRPr="000C7D7C">
        <w:rPr>
          <w:noProof/>
        </w:rPr>
        <w:t xml:space="preserve">Усвоените средства за </w:t>
      </w:r>
      <w:r w:rsidRPr="000C7D7C">
        <w:t>компенсиране на намалените приходи от прилагането на цени за пътуване, предвидени в нормативни актове за определени категории пътници,</w:t>
      </w:r>
      <w:r w:rsidRPr="000C7D7C">
        <w:rPr>
          <w:noProof/>
        </w:rPr>
        <w:t xml:space="preserve"> по вътрешноградския транспорт и междуселищния автомобилен транспорт за 201</w:t>
      </w:r>
      <w:r w:rsidR="00140F18" w:rsidRPr="000C7D7C">
        <w:rPr>
          <w:noProof/>
        </w:rPr>
        <w:t>9</w:t>
      </w:r>
      <w:r w:rsidRPr="000C7D7C">
        <w:rPr>
          <w:noProof/>
        </w:rPr>
        <w:t xml:space="preserve"> г., диференцирани по групи правоимащи лица и размер на намалението спрямо редовната цена, са както следва:</w:t>
      </w:r>
    </w:p>
    <w:p w:rsidR="00E7455D" w:rsidRPr="00956296" w:rsidRDefault="00E7455D" w:rsidP="00E7455D">
      <w:pPr>
        <w:pStyle w:val="BodyTextIndent"/>
        <w:spacing w:after="0"/>
        <w:ind w:left="0" w:firstLine="567"/>
        <w:jc w:val="both"/>
      </w:pPr>
      <w:r w:rsidRPr="00956296">
        <w:t xml:space="preserve">- </w:t>
      </w:r>
      <w:r w:rsidR="000C7D7C" w:rsidRPr="00956296">
        <w:t>41</w:t>
      </w:r>
      <w:r w:rsidR="0059381A" w:rsidRPr="00956296">
        <w:t>,</w:t>
      </w:r>
      <w:r w:rsidR="000C7D7C" w:rsidRPr="00956296">
        <w:t>6</w:t>
      </w:r>
      <w:r w:rsidRPr="00956296">
        <w:rPr>
          <w:lang w:val="en-US"/>
        </w:rPr>
        <w:t xml:space="preserve"> </w:t>
      </w:r>
      <w:r w:rsidRPr="00956296">
        <w:t xml:space="preserve">млн. лв. за транспорт на деца и ученици в съответствие с чл. 283, ал. 2 от Закона за предучилищното и училищното образование, което е </w:t>
      </w:r>
      <w:r w:rsidR="00956296" w:rsidRPr="00956296">
        <w:t>пълно изпълнение на</w:t>
      </w:r>
      <w:r w:rsidRPr="00956296">
        <w:t xml:space="preserve"> ут</w:t>
      </w:r>
      <w:r w:rsidR="00140F18" w:rsidRPr="00956296">
        <w:t>върдения</w:t>
      </w:r>
      <w:r w:rsidRPr="00956296">
        <w:t xml:space="preserve"> годишен план; </w:t>
      </w:r>
    </w:p>
    <w:p w:rsidR="00E7455D" w:rsidRPr="00956296" w:rsidRDefault="00E7455D" w:rsidP="00E7455D">
      <w:pPr>
        <w:pStyle w:val="BodyTextIndent"/>
        <w:tabs>
          <w:tab w:val="left" w:pos="1026"/>
        </w:tabs>
        <w:spacing w:after="0"/>
        <w:ind w:left="0" w:firstLine="567"/>
        <w:jc w:val="both"/>
      </w:pPr>
      <w:r w:rsidRPr="00956296">
        <w:t xml:space="preserve">- </w:t>
      </w:r>
      <w:r w:rsidR="00956296" w:rsidRPr="00956296">
        <w:t>55</w:t>
      </w:r>
      <w:r w:rsidR="006A2C78" w:rsidRPr="00956296">
        <w:t>,</w:t>
      </w:r>
      <w:r w:rsidR="00956296" w:rsidRPr="00956296">
        <w:t>7</w:t>
      </w:r>
      <w:r w:rsidRPr="00956296">
        <w:t xml:space="preserve"> млн. лв. за безплатни и по намалени цени пътувания</w:t>
      </w:r>
      <w:r w:rsidR="00140F18" w:rsidRPr="00956296">
        <w:t xml:space="preserve"> по общини</w:t>
      </w:r>
      <w:r w:rsidRPr="00956296">
        <w:t xml:space="preserve">. Следва да се има предвид, че по пътя на изпълнението тези разходи се отчитат като текущи трансфери, обезщетения и помощи за домакинствата по бюджетите на общините. Изпълнението спрямо годишния план е </w:t>
      </w:r>
      <w:r w:rsidR="00956296" w:rsidRPr="00956296">
        <w:t>9</w:t>
      </w:r>
      <w:r w:rsidR="00C95DF8" w:rsidRPr="00956296">
        <w:t>8</w:t>
      </w:r>
      <w:r w:rsidR="006A2C78" w:rsidRPr="00956296">
        <w:t>,</w:t>
      </w:r>
      <w:r w:rsidR="00956296" w:rsidRPr="00956296">
        <w:t>6</w:t>
      </w:r>
      <w:r w:rsidRPr="00956296">
        <w:t xml:space="preserve"> на сто, в това число:</w:t>
      </w:r>
    </w:p>
    <w:p w:rsidR="00E7455D" w:rsidRPr="00956296" w:rsidRDefault="00956296" w:rsidP="00E7455D">
      <w:pPr>
        <w:numPr>
          <w:ilvl w:val="0"/>
          <w:numId w:val="20"/>
        </w:numPr>
        <w:tabs>
          <w:tab w:val="left" w:pos="993"/>
        </w:tabs>
        <w:ind w:hanging="275"/>
        <w:jc w:val="both"/>
      </w:pPr>
      <w:r w:rsidRPr="00956296">
        <w:t>39</w:t>
      </w:r>
      <w:r w:rsidR="00ED79B4" w:rsidRPr="00956296">
        <w:t>,</w:t>
      </w:r>
      <w:r w:rsidRPr="00956296">
        <w:t>2</w:t>
      </w:r>
      <w:r w:rsidR="00E7455D" w:rsidRPr="00956296">
        <w:t xml:space="preserve"> млн. лв. за безплатни пътувания на деца до седемгодишна възраст, ветерани от войните, военноинвалиди и </w:t>
      </w:r>
      <w:proofErr w:type="spellStart"/>
      <w:r w:rsidR="00E7455D" w:rsidRPr="00956296">
        <w:t>военнопострадали</w:t>
      </w:r>
      <w:proofErr w:type="spellEnd"/>
      <w:r w:rsidR="00E7455D" w:rsidRPr="00956296">
        <w:t xml:space="preserve">, както и пътувания по намалени цени на деца от 7 до 10 навършени години, учащи се и лица, получаващи пенсия, с вътрешноградския транспорт и междуселищния автомобилен транспорт, което е </w:t>
      </w:r>
      <w:r w:rsidRPr="00956296">
        <w:t>98</w:t>
      </w:r>
      <w:r w:rsidR="00E7455D" w:rsidRPr="00956296">
        <w:t>,</w:t>
      </w:r>
      <w:r w:rsidRPr="00956296">
        <w:t>1</w:t>
      </w:r>
      <w:r w:rsidR="00E7455D" w:rsidRPr="00956296">
        <w:t xml:space="preserve"> на сто спрямо утвърдения годишен план; </w:t>
      </w:r>
    </w:p>
    <w:p w:rsidR="008360FD" w:rsidRPr="00956296" w:rsidRDefault="00C95DF8" w:rsidP="00E7455D">
      <w:pPr>
        <w:numPr>
          <w:ilvl w:val="0"/>
          <w:numId w:val="20"/>
        </w:numPr>
        <w:tabs>
          <w:tab w:val="num" w:pos="360"/>
          <w:tab w:val="left" w:pos="993"/>
        </w:tabs>
        <w:ind w:hanging="275"/>
        <w:jc w:val="both"/>
      </w:pPr>
      <w:r w:rsidRPr="00956296">
        <w:t>1</w:t>
      </w:r>
      <w:r w:rsidR="00956296" w:rsidRPr="00956296">
        <w:t>6</w:t>
      </w:r>
      <w:r w:rsidR="0028636E" w:rsidRPr="00956296">
        <w:t>,</w:t>
      </w:r>
      <w:r w:rsidR="00956296" w:rsidRPr="00956296">
        <w:t>5</w:t>
      </w:r>
      <w:r w:rsidR="00E7455D" w:rsidRPr="00956296">
        <w:t xml:space="preserve"> млн. лв. за превоз на служители, ползващи право на безплатно пътуване при изпълнение на служебните си задължения, </w:t>
      </w:r>
      <w:r w:rsidR="00956296" w:rsidRPr="00956296">
        <w:t>като средствата са усвоени изцяло.</w:t>
      </w:r>
      <w:r w:rsidR="00E7455D" w:rsidRPr="00956296">
        <w:t>.</w:t>
      </w:r>
    </w:p>
    <w:p w:rsidR="00333B5E" w:rsidRPr="00C85532" w:rsidRDefault="00333B5E" w:rsidP="00333B5E">
      <w:pPr>
        <w:jc w:val="both"/>
        <w:rPr>
          <w:color w:val="0070C0"/>
          <w:sz w:val="12"/>
          <w:szCs w:val="12"/>
        </w:rPr>
      </w:pPr>
    </w:p>
    <w:p w:rsidR="002E2D64" w:rsidRPr="002678AD" w:rsidRDefault="002E2D64" w:rsidP="002E2D64">
      <w:pPr>
        <w:numPr>
          <w:ilvl w:val="0"/>
          <w:numId w:val="7"/>
        </w:numPr>
        <w:spacing w:after="120"/>
        <w:ind w:left="0" w:firstLine="360"/>
        <w:jc w:val="both"/>
        <w:rPr>
          <w:b/>
        </w:rPr>
      </w:pPr>
      <w:r w:rsidRPr="002678AD">
        <w:rPr>
          <w:b/>
        </w:rPr>
        <w:t xml:space="preserve">Разходи за лихви </w:t>
      </w:r>
    </w:p>
    <w:p w:rsidR="002678AD" w:rsidRPr="002678AD" w:rsidRDefault="002678AD" w:rsidP="002678AD">
      <w:pPr>
        <w:spacing w:after="120"/>
        <w:jc w:val="both"/>
        <w:rPr>
          <w:lang w:eastAsia="bg-BG"/>
        </w:rPr>
      </w:pPr>
      <w:r w:rsidRPr="002678AD">
        <w:rPr>
          <w:b/>
          <w:lang w:eastAsia="bg-BG"/>
        </w:rPr>
        <w:t xml:space="preserve">Лихвените плащания </w:t>
      </w:r>
      <w:r w:rsidRPr="002678AD">
        <w:rPr>
          <w:lang w:eastAsia="bg-BG"/>
        </w:rPr>
        <w:t xml:space="preserve">по държавния бюджет към 31.12.2019 г. са в общ размер на </w:t>
      </w:r>
      <w:r w:rsidRPr="002678AD">
        <w:rPr>
          <w:b/>
          <w:lang w:eastAsia="bg-BG"/>
        </w:rPr>
        <w:t>609,5 млн. лв</w:t>
      </w:r>
      <w:r w:rsidRPr="002678AD">
        <w:rPr>
          <w:lang w:eastAsia="bg-BG"/>
        </w:rPr>
        <w:t xml:space="preserve">. или 96,2 % от предвидените в годишните разчети. </w:t>
      </w:r>
    </w:p>
    <w:p w:rsidR="002678AD" w:rsidRPr="002678AD" w:rsidRDefault="002678AD" w:rsidP="002678AD">
      <w:pPr>
        <w:spacing w:after="120"/>
        <w:jc w:val="both"/>
        <w:rPr>
          <w:lang w:eastAsia="bg-BG"/>
        </w:rPr>
      </w:pPr>
      <w:r w:rsidRPr="002678AD">
        <w:rPr>
          <w:lang w:eastAsia="bg-BG"/>
        </w:rPr>
        <w:t xml:space="preserve">Разходите за </w:t>
      </w:r>
      <w:r w:rsidRPr="002678AD">
        <w:rPr>
          <w:b/>
          <w:lang w:eastAsia="bg-BG"/>
        </w:rPr>
        <w:t>лихви по външни заеми</w:t>
      </w:r>
      <w:r w:rsidRPr="002678AD">
        <w:rPr>
          <w:lang w:eastAsia="bg-BG"/>
        </w:rPr>
        <w:t xml:space="preserve"> са в размер на </w:t>
      </w:r>
      <w:r w:rsidRPr="002678AD">
        <w:rPr>
          <w:b/>
          <w:lang w:eastAsia="bg-BG"/>
        </w:rPr>
        <w:t>423,6 млн. лв.,</w:t>
      </w:r>
      <w:r w:rsidRPr="002678AD">
        <w:rPr>
          <w:lang w:eastAsia="bg-BG"/>
        </w:rPr>
        <w:t xml:space="preserve"> в т.ч. 392,3 млн. лв. по централния бюджет. Разходите за лихви по ДИЗ, управлявани от министерства и ведомства са в размер на 31,3 млн. лв. </w:t>
      </w:r>
      <w:r w:rsidRPr="002678AD">
        <w:rPr>
          <w:lang w:val="en-US" w:eastAsia="bg-BG"/>
        </w:rPr>
        <w:t>(</w:t>
      </w:r>
      <w:proofErr w:type="gramStart"/>
      <w:r w:rsidRPr="002678AD">
        <w:rPr>
          <w:lang w:eastAsia="bg-BG"/>
        </w:rPr>
        <w:t>от</w:t>
      </w:r>
      <w:proofErr w:type="gramEnd"/>
      <w:r w:rsidRPr="002678AD">
        <w:rPr>
          <w:lang w:eastAsia="bg-BG"/>
        </w:rPr>
        <w:t xml:space="preserve"> които 3,9 млн. лв. са по заемите с краен бенефициент търговско дружество</w:t>
      </w:r>
      <w:r w:rsidRPr="002678AD">
        <w:rPr>
          <w:lang w:val="en-US" w:eastAsia="bg-BG"/>
        </w:rPr>
        <w:t>)</w:t>
      </w:r>
      <w:r w:rsidRPr="002678AD">
        <w:rPr>
          <w:lang w:eastAsia="bg-BG"/>
        </w:rPr>
        <w:t xml:space="preserve">. </w:t>
      </w:r>
    </w:p>
    <w:p w:rsidR="002678AD" w:rsidRPr="002678AD" w:rsidRDefault="002678AD" w:rsidP="002678AD">
      <w:pPr>
        <w:spacing w:after="120"/>
        <w:jc w:val="both"/>
        <w:rPr>
          <w:b/>
          <w:lang w:eastAsia="bg-BG"/>
        </w:rPr>
      </w:pPr>
      <w:r w:rsidRPr="002678AD">
        <w:rPr>
          <w:lang w:eastAsia="bg-BG"/>
        </w:rPr>
        <w:t>През отчетния период не са използвани средства, предвидени за покриване на риска от активиране на държавни гаранции.</w:t>
      </w:r>
      <w:r w:rsidRPr="002678AD">
        <w:rPr>
          <w:b/>
          <w:lang w:eastAsia="bg-BG"/>
        </w:rPr>
        <w:t xml:space="preserve"> </w:t>
      </w:r>
    </w:p>
    <w:p w:rsidR="002678AD" w:rsidRPr="002678AD" w:rsidRDefault="002678AD" w:rsidP="002678AD">
      <w:pPr>
        <w:spacing w:after="120"/>
        <w:jc w:val="both"/>
        <w:rPr>
          <w:lang w:eastAsia="bg-BG"/>
        </w:rPr>
      </w:pPr>
      <w:r w:rsidRPr="002678AD">
        <w:rPr>
          <w:b/>
          <w:lang w:eastAsia="bg-BG"/>
        </w:rPr>
        <w:t>Лихвите по вътрешни заеми</w:t>
      </w:r>
      <w:r w:rsidRPr="002678AD">
        <w:rPr>
          <w:lang w:eastAsia="bg-BG"/>
        </w:rPr>
        <w:t xml:space="preserve"> по държавния бюджет </w:t>
      </w:r>
      <w:r w:rsidRPr="002678AD">
        <w:rPr>
          <w:bCs/>
          <w:lang w:eastAsia="bg-BG"/>
        </w:rPr>
        <w:t xml:space="preserve">за </w:t>
      </w:r>
      <w:r w:rsidRPr="002678AD">
        <w:rPr>
          <w:lang w:eastAsia="bg-BG"/>
        </w:rPr>
        <w:t xml:space="preserve">2019 г. са в размер на </w:t>
      </w:r>
      <w:r w:rsidRPr="002678AD">
        <w:rPr>
          <w:b/>
          <w:lang w:eastAsia="bg-BG"/>
        </w:rPr>
        <w:t>185,9</w:t>
      </w:r>
      <w:r w:rsidRPr="002678AD">
        <w:rPr>
          <w:rFonts w:eastAsia="Calibri"/>
          <w:b/>
        </w:rPr>
        <w:t> </w:t>
      </w:r>
      <w:r w:rsidRPr="002678AD">
        <w:rPr>
          <w:b/>
          <w:lang w:eastAsia="bg-BG"/>
        </w:rPr>
        <w:t>млн. лв.</w:t>
      </w:r>
      <w:r w:rsidRPr="002678AD">
        <w:rPr>
          <w:lang w:eastAsia="bg-BG"/>
        </w:rPr>
        <w:t xml:space="preserve"> и представляват основно лихви по емисии на ДЦК на вътрешния пазар. Платените лихви и отстъпки по ДЦК, емитирани на </w:t>
      </w:r>
      <w:proofErr w:type="spellStart"/>
      <w:r w:rsidRPr="002678AD">
        <w:rPr>
          <w:lang w:eastAsia="bg-BG"/>
        </w:rPr>
        <w:t>аукционен</w:t>
      </w:r>
      <w:proofErr w:type="spellEnd"/>
      <w:r w:rsidRPr="002678AD">
        <w:rPr>
          <w:lang w:eastAsia="bg-BG"/>
        </w:rPr>
        <w:t xml:space="preserve"> принцип са в размер на 194,7 млн. лв., лихвите по ДЦК, емитирани за структурната реформа – 0,2 млн. лв. и реализираните при </w:t>
      </w:r>
      <w:proofErr w:type="spellStart"/>
      <w:r w:rsidRPr="002678AD">
        <w:rPr>
          <w:lang w:eastAsia="bg-BG"/>
        </w:rPr>
        <w:t>аукционите</w:t>
      </w:r>
      <w:proofErr w:type="spellEnd"/>
      <w:r w:rsidRPr="002678AD">
        <w:rPr>
          <w:lang w:eastAsia="bg-BG"/>
        </w:rPr>
        <w:t xml:space="preserve"> премии над номинала от емисии ДЦК до 31.12.2019 г. (отчетени в намаление на разходите за лихви по вътрешния дълг) съответно (-10,3) млн. лева.</w:t>
      </w:r>
    </w:p>
    <w:p w:rsidR="002678AD" w:rsidRPr="002678AD" w:rsidRDefault="002678AD" w:rsidP="002678AD">
      <w:pPr>
        <w:numPr>
          <w:ilvl w:val="0"/>
          <w:numId w:val="36"/>
        </w:numPr>
        <w:spacing w:after="120"/>
        <w:ind w:left="426" w:hanging="426"/>
        <w:jc w:val="both"/>
        <w:rPr>
          <w:b/>
          <w:bCs/>
          <w:lang w:eastAsia="bg-BG"/>
        </w:rPr>
      </w:pPr>
      <w:r w:rsidRPr="002678AD">
        <w:rPr>
          <w:b/>
          <w:bCs/>
          <w:lang w:eastAsia="bg-BG"/>
        </w:rPr>
        <w:lastRenderedPageBreak/>
        <w:t>Нетният размер на трансферите по държавния бюджет</w:t>
      </w:r>
      <w:r w:rsidRPr="002678AD">
        <w:rPr>
          <w:bCs/>
          <w:lang w:eastAsia="bg-BG"/>
        </w:rPr>
        <w:t xml:space="preserve"> за </w:t>
      </w:r>
      <w:r w:rsidRPr="002678AD">
        <w:rPr>
          <w:lang w:eastAsia="bg-BG"/>
        </w:rPr>
        <w:t>2019 г.</w:t>
      </w:r>
      <w:r w:rsidRPr="002678AD">
        <w:rPr>
          <w:bCs/>
          <w:lang w:eastAsia="bg-BG"/>
        </w:rPr>
        <w:t xml:space="preserve"> е</w:t>
      </w:r>
      <w:r w:rsidRPr="002678AD">
        <w:rPr>
          <w:b/>
          <w:bCs/>
          <w:lang w:eastAsia="bg-BG"/>
        </w:rPr>
        <w:t xml:space="preserve"> 11 251,1</w:t>
      </w:r>
      <w:r w:rsidRPr="002678AD">
        <w:rPr>
          <w:rFonts w:eastAsia="Calibri"/>
          <w:b/>
        </w:rPr>
        <w:t> </w:t>
      </w:r>
      <w:r w:rsidRPr="002678AD">
        <w:rPr>
          <w:b/>
          <w:bCs/>
          <w:lang w:eastAsia="bg-BG"/>
        </w:rPr>
        <w:t xml:space="preserve">млн. лв., </w:t>
      </w:r>
      <w:r w:rsidRPr="002678AD">
        <w:rPr>
          <w:bCs/>
          <w:lang w:eastAsia="bg-BG"/>
        </w:rPr>
        <w:t>в т.ч.:</w:t>
      </w:r>
      <w:r w:rsidRPr="002678AD">
        <w:rPr>
          <w:b/>
          <w:bCs/>
          <w:lang w:eastAsia="bg-BG"/>
        </w:rPr>
        <w:t xml:space="preserve"> </w:t>
      </w:r>
    </w:p>
    <w:p w:rsidR="002678AD" w:rsidRPr="002678AD" w:rsidRDefault="002678AD" w:rsidP="002678AD">
      <w:pPr>
        <w:numPr>
          <w:ilvl w:val="0"/>
          <w:numId w:val="24"/>
        </w:numPr>
        <w:tabs>
          <w:tab w:val="clear" w:pos="700"/>
          <w:tab w:val="left" w:pos="180"/>
          <w:tab w:val="num" w:pos="540"/>
          <w:tab w:val="num" w:pos="1495"/>
          <w:tab w:val="num" w:pos="9858"/>
        </w:tabs>
        <w:ind w:left="538" w:hanging="357"/>
        <w:jc w:val="both"/>
        <w:rPr>
          <w:lang w:eastAsia="bg-BG"/>
        </w:rPr>
      </w:pPr>
      <w:r w:rsidRPr="002678AD">
        <w:rPr>
          <w:lang w:eastAsia="bg-BG"/>
        </w:rPr>
        <w:t>бюджетните взаимоотношения с общините включват нето трансфери в размер на 4 578,6 млн. лв., от които субсидии от централния бюджет в размер на 3 841,0 млн. лв., други целеви трансфери от централния бюджет в размер на 457,8 млн. лв., нетни трансфери от</w:t>
      </w:r>
      <w:r w:rsidRPr="002678AD">
        <w:rPr>
          <w:lang w:val="en-US" w:eastAsia="bg-BG"/>
        </w:rPr>
        <w:t>/</w:t>
      </w:r>
      <w:r w:rsidRPr="002678AD">
        <w:rPr>
          <w:lang w:eastAsia="bg-BG"/>
        </w:rPr>
        <w:t>за други бюджети в размер на 283,3 млн. лв. и възстановени трансфери от предходни години в централния бюджет – 3,6 млн. лева;</w:t>
      </w:r>
    </w:p>
    <w:p w:rsidR="002678AD" w:rsidRPr="002678AD" w:rsidRDefault="002678AD" w:rsidP="002678AD">
      <w:pPr>
        <w:numPr>
          <w:ilvl w:val="0"/>
          <w:numId w:val="24"/>
        </w:numPr>
        <w:tabs>
          <w:tab w:val="clear" w:pos="700"/>
          <w:tab w:val="left" w:pos="180"/>
          <w:tab w:val="num" w:pos="540"/>
          <w:tab w:val="num" w:pos="1495"/>
          <w:tab w:val="num" w:pos="9858"/>
        </w:tabs>
        <w:ind w:left="538" w:hanging="357"/>
        <w:jc w:val="both"/>
        <w:rPr>
          <w:lang w:eastAsia="bg-BG"/>
        </w:rPr>
      </w:pPr>
      <w:r w:rsidRPr="002678AD">
        <w:rPr>
          <w:lang w:eastAsia="bg-BG"/>
        </w:rPr>
        <w:t xml:space="preserve">на </w:t>
      </w:r>
      <w:proofErr w:type="spellStart"/>
      <w:r w:rsidRPr="002678AD">
        <w:rPr>
          <w:lang w:eastAsia="bg-BG"/>
        </w:rPr>
        <w:t>социалноосигурителните</w:t>
      </w:r>
      <w:proofErr w:type="spellEnd"/>
      <w:r w:rsidRPr="002678AD">
        <w:rPr>
          <w:lang w:eastAsia="bg-BG"/>
        </w:rPr>
        <w:t xml:space="preserve"> фондове (нето) – 5 260,3 млн. лв.,</w:t>
      </w:r>
      <w:r w:rsidRPr="002678AD">
        <w:rPr>
          <w:b/>
          <w:lang w:eastAsia="bg-BG"/>
        </w:rPr>
        <w:t xml:space="preserve"> </w:t>
      </w:r>
      <w:r w:rsidRPr="002678AD">
        <w:rPr>
          <w:lang w:eastAsia="bg-BG"/>
        </w:rPr>
        <w:t>което представлява 93,0 % от годишния разчет;</w:t>
      </w:r>
    </w:p>
    <w:p w:rsidR="002678AD" w:rsidRPr="002678AD" w:rsidRDefault="002678AD" w:rsidP="002678AD">
      <w:pPr>
        <w:numPr>
          <w:ilvl w:val="0"/>
          <w:numId w:val="24"/>
        </w:numPr>
        <w:tabs>
          <w:tab w:val="clear" w:pos="700"/>
          <w:tab w:val="left" w:pos="180"/>
          <w:tab w:val="num" w:pos="540"/>
          <w:tab w:val="num" w:pos="1495"/>
          <w:tab w:val="num" w:pos="9858"/>
        </w:tabs>
        <w:ind w:left="538" w:hanging="357"/>
        <w:jc w:val="both"/>
        <w:rPr>
          <w:lang w:eastAsia="bg-BG"/>
        </w:rPr>
      </w:pPr>
      <w:r w:rsidRPr="002678AD">
        <w:rPr>
          <w:lang w:eastAsia="bg-BG"/>
        </w:rPr>
        <w:t>на други автономни бюджети (ДВУ, БАН, ССА, БНТ, БНР и БТА) – 832,2 млн. лв., 119,3 % спрямо годишния разчет.</w:t>
      </w:r>
    </w:p>
    <w:p w:rsidR="002678AD" w:rsidRPr="002678AD" w:rsidRDefault="002678AD" w:rsidP="002678AD">
      <w:pPr>
        <w:numPr>
          <w:ilvl w:val="0"/>
          <w:numId w:val="6"/>
        </w:numPr>
        <w:tabs>
          <w:tab w:val="clear" w:pos="700"/>
          <w:tab w:val="left" w:pos="426"/>
          <w:tab w:val="num" w:pos="786"/>
        </w:tabs>
        <w:spacing w:before="120"/>
        <w:ind w:left="0"/>
        <w:jc w:val="both"/>
        <w:rPr>
          <w:bCs/>
          <w:lang w:eastAsia="bg-BG"/>
        </w:rPr>
      </w:pPr>
      <w:r w:rsidRPr="002678AD">
        <w:rPr>
          <w:lang w:eastAsia="bg-BG"/>
        </w:rPr>
        <w:t>Частта от</w:t>
      </w:r>
      <w:r w:rsidRPr="002678AD">
        <w:rPr>
          <w:b/>
          <w:lang w:eastAsia="bg-BG"/>
        </w:rPr>
        <w:t xml:space="preserve"> вноската на Република България в общия бюджет на ЕС, </w:t>
      </w:r>
      <w:r w:rsidRPr="002678AD">
        <w:rPr>
          <w:lang w:eastAsia="bg-BG"/>
        </w:rPr>
        <w:t>изплатена през 2019 г. от централния бюджет, възлиза на</w:t>
      </w:r>
      <w:r w:rsidRPr="002678AD">
        <w:rPr>
          <w:b/>
          <w:lang w:eastAsia="bg-BG"/>
        </w:rPr>
        <w:t xml:space="preserve"> 1 193,1 млн. лева.</w:t>
      </w:r>
      <w:r w:rsidRPr="002678AD">
        <w:rPr>
          <w:lang w:eastAsia="bg-BG"/>
        </w:rPr>
        <w:t xml:space="preserve"> </w:t>
      </w:r>
    </w:p>
    <w:p w:rsidR="002678AD" w:rsidRPr="002678AD" w:rsidRDefault="002678AD" w:rsidP="002678AD">
      <w:pPr>
        <w:numPr>
          <w:ilvl w:val="0"/>
          <w:numId w:val="6"/>
        </w:numPr>
        <w:tabs>
          <w:tab w:val="clear" w:pos="700"/>
          <w:tab w:val="num" w:pos="426"/>
          <w:tab w:val="num" w:pos="786"/>
        </w:tabs>
        <w:spacing w:before="240" w:after="240"/>
        <w:ind w:left="0"/>
        <w:jc w:val="both"/>
        <w:rPr>
          <w:sz w:val="16"/>
          <w:szCs w:val="16"/>
          <w:lang w:eastAsia="bg-BG"/>
        </w:rPr>
      </w:pPr>
      <w:r w:rsidRPr="002678AD">
        <w:rPr>
          <w:b/>
          <w:lang w:eastAsia="bg-BG"/>
        </w:rPr>
        <w:t xml:space="preserve">Бюджетното салдо по държавния бюджет </w:t>
      </w:r>
      <w:r w:rsidRPr="002678AD">
        <w:rPr>
          <w:lang w:eastAsia="bg-BG"/>
        </w:rPr>
        <w:t>за 2019 г.</w:t>
      </w:r>
      <w:r w:rsidRPr="002678AD">
        <w:rPr>
          <w:b/>
          <w:lang w:eastAsia="bg-BG"/>
        </w:rPr>
        <w:t xml:space="preserve"> е отрицателно </w:t>
      </w:r>
      <w:r w:rsidRPr="002678AD">
        <w:rPr>
          <w:lang w:eastAsia="bg-BG"/>
        </w:rPr>
        <w:t xml:space="preserve">в размер на </w:t>
      </w:r>
      <w:r w:rsidRPr="002678AD">
        <w:rPr>
          <w:b/>
          <w:lang w:eastAsia="bg-BG"/>
        </w:rPr>
        <w:t>912,3 млн. лева.</w:t>
      </w:r>
      <w:r w:rsidRPr="002678AD">
        <w:rPr>
          <w:lang w:eastAsia="bg-BG"/>
        </w:rPr>
        <w:t xml:space="preserve"> </w:t>
      </w:r>
    </w:p>
    <w:p w:rsidR="002678AD" w:rsidRPr="002678AD" w:rsidRDefault="002678AD" w:rsidP="002678AD">
      <w:pPr>
        <w:numPr>
          <w:ilvl w:val="0"/>
          <w:numId w:val="6"/>
        </w:numPr>
        <w:tabs>
          <w:tab w:val="clear" w:pos="700"/>
          <w:tab w:val="num" w:pos="426"/>
          <w:tab w:val="num" w:pos="786"/>
        </w:tabs>
        <w:spacing w:before="240" w:after="240"/>
        <w:ind w:left="0"/>
        <w:jc w:val="both"/>
        <w:rPr>
          <w:b/>
          <w:lang w:eastAsia="bg-BG"/>
        </w:rPr>
      </w:pPr>
      <w:r w:rsidRPr="002678AD">
        <w:rPr>
          <w:b/>
          <w:lang w:eastAsia="bg-BG"/>
        </w:rPr>
        <w:t>Финансиране на бюджета чрез операции по дълга</w:t>
      </w:r>
    </w:p>
    <w:p w:rsidR="002678AD" w:rsidRPr="002678AD" w:rsidRDefault="002678AD" w:rsidP="002678AD">
      <w:pPr>
        <w:spacing w:after="120"/>
        <w:jc w:val="both"/>
        <w:rPr>
          <w:lang w:eastAsia="bg-BG"/>
        </w:rPr>
      </w:pPr>
      <w:r w:rsidRPr="002678AD">
        <w:rPr>
          <w:lang w:eastAsia="bg-BG"/>
        </w:rPr>
        <w:t>Към 31.12.2019 г.</w:t>
      </w:r>
      <w:r w:rsidRPr="002678AD">
        <w:rPr>
          <w:b/>
          <w:lang w:eastAsia="bg-BG"/>
        </w:rPr>
        <w:t xml:space="preserve"> </w:t>
      </w:r>
      <w:r w:rsidRPr="002678AD">
        <w:rPr>
          <w:lang w:eastAsia="bg-BG"/>
        </w:rPr>
        <w:t xml:space="preserve">е отчетено положително нетно външно финансиране по централния бюджет в размер на 75,3 млн. лева. </w:t>
      </w:r>
      <w:r w:rsidRPr="002678AD">
        <w:rPr>
          <w:lang w:val="en-US" w:eastAsia="bg-BG"/>
        </w:rPr>
        <w:t>(</w:t>
      </w:r>
      <w:proofErr w:type="gramStart"/>
      <w:r w:rsidRPr="002678AD">
        <w:rPr>
          <w:lang w:eastAsia="bg-BG"/>
        </w:rPr>
        <w:t>в</w:t>
      </w:r>
      <w:proofErr w:type="gramEnd"/>
      <w:r w:rsidRPr="002678AD">
        <w:rPr>
          <w:lang w:eastAsia="bg-BG"/>
        </w:rPr>
        <w:t xml:space="preserve"> т. ч. 1,8 млн. лв. п</w:t>
      </w:r>
      <w:proofErr w:type="spellStart"/>
      <w:r w:rsidRPr="002678AD">
        <w:rPr>
          <w:lang w:val="en-US" w:eastAsia="bg-BG"/>
        </w:rPr>
        <w:t>олучени</w:t>
      </w:r>
      <w:proofErr w:type="spellEnd"/>
      <w:r w:rsidRPr="002678AD">
        <w:rPr>
          <w:lang w:val="en-US" w:eastAsia="bg-BG"/>
        </w:rPr>
        <w:t xml:space="preserve"> </w:t>
      </w:r>
      <w:proofErr w:type="spellStart"/>
      <w:r w:rsidRPr="002678AD">
        <w:rPr>
          <w:lang w:val="en-US" w:eastAsia="bg-BG"/>
        </w:rPr>
        <w:t>погашения</w:t>
      </w:r>
      <w:proofErr w:type="spellEnd"/>
      <w:r w:rsidRPr="002678AD">
        <w:rPr>
          <w:lang w:val="en-US" w:eastAsia="bg-BG"/>
        </w:rPr>
        <w:t xml:space="preserve"> </w:t>
      </w:r>
      <w:proofErr w:type="spellStart"/>
      <w:r w:rsidRPr="002678AD">
        <w:rPr>
          <w:lang w:val="en-US" w:eastAsia="bg-BG"/>
        </w:rPr>
        <w:t>по</w:t>
      </w:r>
      <w:proofErr w:type="spellEnd"/>
      <w:r w:rsidRPr="002678AD">
        <w:rPr>
          <w:lang w:val="en-US" w:eastAsia="bg-BG"/>
        </w:rPr>
        <w:t xml:space="preserve"> </w:t>
      </w:r>
      <w:r w:rsidRPr="002678AD">
        <w:rPr>
          <w:lang w:eastAsia="bg-BG"/>
        </w:rPr>
        <w:t>предоставени кредити на други държави</w:t>
      </w:r>
      <w:r w:rsidRPr="002678AD">
        <w:rPr>
          <w:lang w:val="en-US" w:eastAsia="bg-BG"/>
        </w:rPr>
        <w:t>)</w:t>
      </w:r>
      <w:r w:rsidRPr="002678AD">
        <w:rPr>
          <w:lang w:eastAsia="bg-BG"/>
        </w:rPr>
        <w:t xml:space="preserve">. </w:t>
      </w:r>
    </w:p>
    <w:p w:rsidR="002678AD" w:rsidRPr="002678AD" w:rsidRDefault="002678AD" w:rsidP="002678AD">
      <w:pPr>
        <w:spacing w:after="120"/>
        <w:jc w:val="both"/>
        <w:rPr>
          <w:lang w:val="en-US" w:eastAsia="bg-BG"/>
        </w:rPr>
      </w:pPr>
      <w:r w:rsidRPr="002678AD">
        <w:rPr>
          <w:lang w:eastAsia="bg-BG"/>
        </w:rPr>
        <w:t xml:space="preserve">През отчетния период по централния бюджет са </w:t>
      </w:r>
      <w:r w:rsidRPr="002678AD">
        <w:rPr>
          <w:b/>
          <w:i/>
          <w:lang w:eastAsia="bg-BG"/>
        </w:rPr>
        <w:t>усвоени</w:t>
      </w:r>
      <w:r w:rsidRPr="002678AD">
        <w:rPr>
          <w:lang w:eastAsia="bg-BG"/>
        </w:rPr>
        <w:t xml:space="preserve"> 195,6 млн. лв. по заеми от чужбина. Средствата са усвоени през месец ноември, както следва</w:t>
      </w:r>
      <w:r w:rsidRPr="002678AD">
        <w:rPr>
          <w:lang w:val="en-US" w:eastAsia="bg-BG"/>
        </w:rPr>
        <w:t>:</w:t>
      </w:r>
    </w:p>
    <w:p w:rsidR="002678AD" w:rsidRPr="002678AD" w:rsidRDefault="002678AD" w:rsidP="002678AD">
      <w:pPr>
        <w:numPr>
          <w:ilvl w:val="0"/>
          <w:numId w:val="23"/>
        </w:numPr>
        <w:tabs>
          <w:tab w:val="num" w:pos="900"/>
          <w:tab w:val="left" w:pos="993"/>
          <w:tab w:val="left" w:pos="1080"/>
          <w:tab w:val="left" w:pos="10348"/>
        </w:tabs>
        <w:spacing w:after="60"/>
        <w:ind w:left="0" w:right="42" w:firstLine="720"/>
        <w:jc w:val="both"/>
        <w:rPr>
          <w:lang w:eastAsia="bg-BG"/>
        </w:rPr>
      </w:pPr>
      <w:r w:rsidRPr="002678AD">
        <w:rPr>
          <w:lang w:eastAsia="bg-BG"/>
        </w:rPr>
        <w:t xml:space="preserve">97,8 млн. лв. по Рамково споразумение за заем между Банката за развитие на Съвета на Европа и Република България по Механизъм за </w:t>
      </w:r>
      <w:proofErr w:type="spellStart"/>
      <w:r w:rsidRPr="002678AD">
        <w:rPr>
          <w:lang w:eastAsia="bg-BG"/>
        </w:rPr>
        <w:t>съфинансиране</w:t>
      </w:r>
      <w:proofErr w:type="spellEnd"/>
      <w:r w:rsidRPr="002678AD">
        <w:rPr>
          <w:lang w:eastAsia="bg-BG"/>
        </w:rPr>
        <w:t xml:space="preserve"> на проекти, изпълнявани със средства от ЕС по оперативните програми, </w:t>
      </w:r>
      <w:proofErr w:type="spellStart"/>
      <w:r w:rsidRPr="002678AD">
        <w:rPr>
          <w:lang w:eastAsia="bg-BG"/>
        </w:rPr>
        <w:t>съфинансирани</w:t>
      </w:r>
      <w:proofErr w:type="spellEnd"/>
      <w:r w:rsidRPr="002678AD">
        <w:rPr>
          <w:lang w:eastAsia="bg-BG"/>
        </w:rPr>
        <w:t xml:space="preserve"> от Европейските структурни и инвестиционни фондове за програмния период 2014-2020 г.;</w:t>
      </w:r>
    </w:p>
    <w:p w:rsidR="002678AD" w:rsidRPr="002678AD" w:rsidRDefault="002678AD" w:rsidP="002678AD">
      <w:pPr>
        <w:numPr>
          <w:ilvl w:val="0"/>
          <w:numId w:val="23"/>
        </w:numPr>
        <w:tabs>
          <w:tab w:val="num" w:pos="900"/>
          <w:tab w:val="left" w:pos="993"/>
          <w:tab w:val="left" w:pos="1080"/>
          <w:tab w:val="left" w:pos="10348"/>
        </w:tabs>
        <w:spacing w:after="60"/>
        <w:ind w:left="0" w:right="42" w:firstLine="720"/>
        <w:jc w:val="both"/>
        <w:rPr>
          <w:lang w:eastAsia="bg-BG"/>
        </w:rPr>
      </w:pPr>
      <w:r w:rsidRPr="002678AD">
        <w:rPr>
          <w:lang w:eastAsia="bg-BG"/>
        </w:rPr>
        <w:t xml:space="preserve">97,8 млн. лв. по Финансов договор между Република България и Европейска инвестиционна банка за финансиране на проект „България – </w:t>
      </w:r>
      <w:proofErr w:type="spellStart"/>
      <w:r w:rsidRPr="002678AD">
        <w:rPr>
          <w:lang w:eastAsia="bg-BG"/>
        </w:rPr>
        <w:t>съфинансиране</w:t>
      </w:r>
      <w:proofErr w:type="spellEnd"/>
      <w:r w:rsidRPr="002678AD">
        <w:rPr>
          <w:lang w:eastAsia="bg-BG"/>
        </w:rPr>
        <w:t xml:space="preserve"> по Фондовете на ЕС 2014-2020 (СПЗ)</w:t>
      </w:r>
      <w:r w:rsidRPr="002678AD">
        <w:rPr>
          <w:vertAlign w:val="superscript"/>
          <w:lang w:eastAsia="bg-BG"/>
        </w:rPr>
        <w:footnoteReference w:id="12"/>
      </w:r>
      <w:r w:rsidRPr="002678AD">
        <w:rPr>
          <w:lang w:eastAsia="bg-BG"/>
        </w:rPr>
        <w:t>“.</w:t>
      </w:r>
    </w:p>
    <w:p w:rsidR="002678AD" w:rsidRPr="002678AD" w:rsidRDefault="002678AD" w:rsidP="002678AD">
      <w:pPr>
        <w:spacing w:before="120" w:after="60"/>
        <w:jc w:val="both"/>
        <w:rPr>
          <w:lang w:eastAsia="bg-BG"/>
        </w:rPr>
      </w:pPr>
      <w:r w:rsidRPr="002678AD">
        <w:rPr>
          <w:b/>
          <w:i/>
          <w:lang w:eastAsia="bg-BG"/>
        </w:rPr>
        <w:t>Извършените погашения</w:t>
      </w:r>
      <w:r w:rsidRPr="002678AD">
        <w:rPr>
          <w:lang w:eastAsia="bg-BG"/>
        </w:rPr>
        <w:t xml:space="preserve"> по заеми от чужбина по централния бюджет възлизат на 122,0 млн. лв., в т.ч.:</w:t>
      </w:r>
    </w:p>
    <w:p w:rsidR="002678AD" w:rsidRPr="002678AD" w:rsidRDefault="002678AD" w:rsidP="002678AD">
      <w:pPr>
        <w:numPr>
          <w:ilvl w:val="0"/>
          <w:numId w:val="23"/>
        </w:numPr>
        <w:tabs>
          <w:tab w:val="num" w:pos="900"/>
          <w:tab w:val="left" w:pos="993"/>
          <w:tab w:val="left" w:pos="1080"/>
          <w:tab w:val="left" w:pos="10348"/>
        </w:tabs>
        <w:spacing w:after="60"/>
        <w:ind w:left="0" w:right="42" w:firstLine="720"/>
        <w:jc w:val="both"/>
        <w:rPr>
          <w:rFonts w:ascii="Arial" w:hAnsi="Arial" w:cs="Arial"/>
          <w:lang w:eastAsia="bg-BG"/>
        </w:rPr>
      </w:pPr>
      <w:r w:rsidRPr="002678AD">
        <w:rPr>
          <w:lang w:eastAsia="bg-BG"/>
        </w:rPr>
        <w:t>95,3 млн. лв. по заем към Международната банка за възстановяване и развитие;</w:t>
      </w:r>
    </w:p>
    <w:p w:rsidR="002678AD" w:rsidRPr="002678AD" w:rsidRDefault="002678AD" w:rsidP="002678AD">
      <w:pPr>
        <w:numPr>
          <w:ilvl w:val="0"/>
          <w:numId w:val="23"/>
        </w:numPr>
        <w:tabs>
          <w:tab w:val="num" w:pos="900"/>
          <w:tab w:val="left" w:pos="993"/>
          <w:tab w:val="left" w:pos="1080"/>
          <w:tab w:val="left" w:pos="10348"/>
        </w:tabs>
        <w:spacing w:after="60"/>
        <w:ind w:left="0" w:right="42" w:firstLine="720"/>
        <w:jc w:val="both"/>
        <w:rPr>
          <w:rFonts w:ascii="Arial" w:hAnsi="Arial" w:cs="Arial"/>
          <w:lang w:eastAsia="bg-BG"/>
        </w:rPr>
      </w:pPr>
      <w:r w:rsidRPr="002678AD">
        <w:rPr>
          <w:lang w:eastAsia="bg-BG"/>
        </w:rPr>
        <w:t>17,0 млн. лв. по заем към Европейска инвестиционна банка;</w:t>
      </w:r>
    </w:p>
    <w:p w:rsidR="002678AD" w:rsidRPr="002678AD" w:rsidRDefault="002678AD" w:rsidP="002678AD">
      <w:pPr>
        <w:numPr>
          <w:ilvl w:val="0"/>
          <w:numId w:val="23"/>
        </w:numPr>
        <w:tabs>
          <w:tab w:val="num" w:pos="900"/>
          <w:tab w:val="left" w:pos="993"/>
          <w:tab w:val="left" w:pos="1080"/>
          <w:tab w:val="left" w:pos="10348"/>
        </w:tabs>
        <w:spacing w:after="60"/>
        <w:ind w:left="0" w:right="42" w:firstLine="720"/>
        <w:jc w:val="both"/>
        <w:rPr>
          <w:lang w:eastAsia="bg-BG"/>
        </w:rPr>
      </w:pPr>
      <w:r w:rsidRPr="002678AD">
        <w:rPr>
          <w:lang w:eastAsia="bg-BG"/>
        </w:rPr>
        <w:t>9,8 млн. лв. към Банка за развитие на Съвета на Европа.</w:t>
      </w:r>
    </w:p>
    <w:p w:rsidR="002678AD" w:rsidRPr="002678AD" w:rsidRDefault="002678AD" w:rsidP="002678AD">
      <w:pPr>
        <w:spacing w:after="120"/>
        <w:jc w:val="both"/>
        <w:rPr>
          <w:lang w:eastAsia="bg-BG"/>
        </w:rPr>
      </w:pPr>
      <w:r w:rsidRPr="002678AD">
        <w:rPr>
          <w:lang w:eastAsia="bg-BG"/>
        </w:rPr>
        <w:t xml:space="preserve">По </w:t>
      </w:r>
      <w:r w:rsidRPr="002678AD">
        <w:rPr>
          <w:b/>
          <w:lang w:eastAsia="bg-BG"/>
        </w:rPr>
        <w:t>държавните инвестиционни заеми</w:t>
      </w:r>
      <w:r w:rsidRPr="002678AD">
        <w:rPr>
          <w:lang w:eastAsia="bg-BG"/>
        </w:rPr>
        <w:t xml:space="preserve">, управлявани от министерства и ведомства през 2019 г. са </w:t>
      </w:r>
      <w:r w:rsidRPr="002678AD">
        <w:rPr>
          <w:b/>
          <w:i/>
          <w:lang w:eastAsia="bg-BG"/>
        </w:rPr>
        <w:t>усвоени</w:t>
      </w:r>
      <w:r w:rsidRPr="002678AD">
        <w:rPr>
          <w:lang w:eastAsia="bg-BG"/>
        </w:rPr>
        <w:t xml:space="preserve"> 12,9 млн. лв. по заем „Проект за развитие на общинската инфраструктура“ - Световна банка. По заеми с краен бенефициент търговско дружество няма усвоявания. </w:t>
      </w:r>
      <w:r w:rsidRPr="002678AD">
        <w:rPr>
          <w:b/>
          <w:i/>
          <w:lang w:eastAsia="bg-BG"/>
        </w:rPr>
        <w:t>Изплатените погашения</w:t>
      </w:r>
      <w:r w:rsidRPr="002678AD">
        <w:rPr>
          <w:lang w:eastAsia="bg-BG"/>
        </w:rPr>
        <w:t xml:space="preserve"> по ДИЗ, управлявани от министерства и ведомства, са в размер на 138,1 млн. лева. По заемите с краен бенефициент търговско дружество са извършени погашения  в размер на 20,0 млн. лева. </w:t>
      </w:r>
    </w:p>
    <w:p w:rsidR="002678AD" w:rsidRPr="002678AD" w:rsidRDefault="002678AD" w:rsidP="002678AD">
      <w:pPr>
        <w:spacing w:after="120"/>
        <w:jc w:val="both"/>
        <w:rPr>
          <w:lang w:eastAsia="bg-BG"/>
        </w:rPr>
      </w:pPr>
      <w:r w:rsidRPr="002678AD">
        <w:rPr>
          <w:lang w:eastAsia="bg-BG"/>
        </w:rPr>
        <w:t>Не са използвани средства, предвидени за покриване на риска от активиране на държавни гаранции.</w:t>
      </w:r>
    </w:p>
    <w:p w:rsidR="002678AD" w:rsidRPr="002678AD" w:rsidRDefault="002678AD" w:rsidP="002678AD">
      <w:pPr>
        <w:spacing w:after="60"/>
        <w:jc w:val="both"/>
        <w:rPr>
          <w:lang w:eastAsia="bg-BG"/>
        </w:rPr>
      </w:pPr>
      <w:r w:rsidRPr="002678AD">
        <w:rPr>
          <w:lang w:eastAsia="bg-BG"/>
        </w:rPr>
        <w:t xml:space="preserve">Операции с </w:t>
      </w:r>
      <w:r w:rsidRPr="002678AD">
        <w:rPr>
          <w:b/>
          <w:lang w:eastAsia="bg-BG"/>
        </w:rPr>
        <w:t xml:space="preserve">държавни ценни книжа </w:t>
      </w:r>
      <w:r w:rsidRPr="002678AD">
        <w:rPr>
          <w:lang w:eastAsia="bg-BG"/>
        </w:rPr>
        <w:t xml:space="preserve">по централния бюджет </w:t>
      </w:r>
      <w:r w:rsidRPr="002678AD">
        <w:rPr>
          <w:b/>
          <w:lang w:eastAsia="bg-BG"/>
        </w:rPr>
        <w:t>(позиция във вътрешното финансиране):</w:t>
      </w:r>
      <w:r w:rsidRPr="002678AD">
        <w:rPr>
          <w:lang w:eastAsia="bg-BG"/>
        </w:rPr>
        <w:t xml:space="preserve"> Към 31 декември 2019 г. е реализирано положително нетно вътрешно финансиране на бюджета с държавни ценни книжа (ДЦК) в размер на 47,0 млн. лв. Общият </w:t>
      </w:r>
      <w:r w:rsidRPr="002678AD">
        <w:rPr>
          <w:lang w:eastAsia="bg-BG"/>
        </w:rPr>
        <w:lastRenderedPageBreak/>
        <w:t xml:space="preserve">размер на постъпленията от емисии на ДЦК е 967,3 млн. лв. Емитирани </w:t>
      </w:r>
      <w:bookmarkStart w:id="48" w:name="OLE_LINK4"/>
      <w:bookmarkStart w:id="49" w:name="OLE_LINK5"/>
      <w:r w:rsidRPr="002678AD">
        <w:rPr>
          <w:lang w:eastAsia="bg-BG"/>
        </w:rPr>
        <w:t xml:space="preserve">са ДЦК на съвкупна номинална стойност, както следва: 400,0 </w:t>
      </w:r>
      <w:bookmarkEnd w:id="48"/>
      <w:bookmarkEnd w:id="49"/>
      <w:r w:rsidRPr="002678AD">
        <w:rPr>
          <w:lang w:eastAsia="bg-BG"/>
        </w:rPr>
        <w:t>млн. лв. - 10,5-годишни ДЦК и 567,3 млн. лв. - 20-годишни ДЦК, деноминирани в лева.</w:t>
      </w:r>
    </w:p>
    <w:p w:rsidR="002678AD" w:rsidRPr="002678AD" w:rsidRDefault="002678AD" w:rsidP="002678AD">
      <w:pPr>
        <w:spacing w:before="120" w:after="120"/>
        <w:jc w:val="both"/>
        <w:rPr>
          <w:lang w:eastAsia="bg-BG"/>
        </w:rPr>
      </w:pPr>
      <w:r w:rsidRPr="002678AD">
        <w:rPr>
          <w:lang w:eastAsia="bg-BG"/>
        </w:rPr>
        <w:t xml:space="preserve">През месец декември не са провеждани </w:t>
      </w:r>
      <w:proofErr w:type="spellStart"/>
      <w:r w:rsidRPr="002678AD">
        <w:rPr>
          <w:lang w:eastAsia="bg-BG"/>
        </w:rPr>
        <w:t>аукциони</w:t>
      </w:r>
      <w:proofErr w:type="spellEnd"/>
      <w:r w:rsidRPr="002678AD">
        <w:rPr>
          <w:lang w:eastAsia="bg-BG"/>
        </w:rPr>
        <w:t xml:space="preserve"> на ДЦК. На последния проведен </w:t>
      </w:r>
      <w:proofErr w:type="spellStart"/>
      <w:r w:rsidRPr="002678AD">
        <w:rPr>
          <w:lang w:eastAsia="bg-BG"/>
        </w:rPr>
        <w:t>аукцион</w:t>
      </w:r>
      <w:proofErr w:type="spellEnd"/>
      <w:r w:rsidRPr="002678AD">
        <w:rPr>
          <w:lang w:eastAsia="bg-BG"/>
        </w:rPr>
        <w:t xml:space="preserve"> - 07 октомври 2019 г. Министерството на финансите </w:t>
      </w:r>
      <w:proofErr w:type="spellStart"/>
      <w:r w:rsidRPr="002678AD">
        <w:rPr>
          <w:lang w:eastAsia="bg-BG"/>
        </w:rPr>
        <w:t>преотвори</w:t>
      </w:r>
      <w:proofErr w:type="spellEnd"/>
      <w:r w:rsidRPr="002678AD">
        <w:rPr>
          <w:lang w:eastAsia="bg-BG"/>
        </w:rPr>
        <w:t xml:space="preserve"> емисия 20-годишни ДЦК, деноминирана в лева, пусната в </w:t>
      </w:r>
      <w:proofErr w:type="spellStart"/>
      <w:r w:rsidRPr="002678AD">
        <w:rPr>
          <w:lang w:eastAsia="bg-BG"/>
        </w:rPr>
        <w:t>обращение</w:t>
      </w:r>
      <w:proofErr w:type="spellEnd"/>
      <w:r w:rsidRPr="002678AD">
        <w:rPr>
          <w:lang w:eastAsia="bg-BG"/>
        </w:rPr>
        <w:t xml:space="preserve"> на 21.06.2019 г., с падеж 21.06.2039 година. На проведения </w:t>
      </w:r>
      <w:proofErr w:type="spellStart"/>
      <w:r w:rsidRPr="002678AD">
        <w:rPr>
          <w:lang w:eastAsia="bg-BG"/>
        </w:rPr>
        <w:t>аукцион</w:t>
      </w:r>
      <w:proofErr w:type="spellEnd"/>
      <w:r w:rsidRPr="002678AD">
        <w:rPr>
          <w:lang w:eastAsia="bg-BG"/>
        </w:rPr>
        <w:t xml:space="preserve"> бяха пласирани ДЦК за 69,18 млн. лв. съвкупна номинална стойност при постигната </w:t>
      </w:r>
      <w:proofErr w:type="spellStart"/>
      <w:r w:rsidRPr="002678AD">
        <w:rPr>
          <w:lang w:eastAsia="bg-BG"/>
        </w:rPr>
        <w:t>среднопретеглена</w:t>
      </w:r>
      <w:proofErr w:type="spellEnd"/>
      <w:r w:rsidRPr="002678AD">
        <w:rPr>
          <w:lang w:eastAsia="bg-BG"/>
        </w:rPr>
        <w:t xml:space="preserve"> доходност в размер на 1,38 %.  Общият размер на подадените поръчки достигна 132,25 млн. лв., което съответства на коефициент на покритие от 1,39. </w:t>
      </w:r>
    </w:p>
    <w:p w:rsidR="002678AD" w:rsidRPr="002678AD" w:rsidRDefault="002678AD" w:rsidP="002678AD">
      <w:pPr>
        <w:spacing w:before="120" w:after="120"/>
        <w:jc w:val="both"/>
        <w:rPr>
          <w:lang w:eastAsia="bg-BG"/>
        </w:rPr>
      </w:pPr>
      <w:r w:rsidRPr="002678AD">
        <w:rPr>
          <w:lang w:eastAsia="bg-BG"/>
        </w:rPr>
        <w:t>Отчетените погашения за периода са в размер на 920,3 млн. лв., в т.ч. 887,9 млн. лв. по ДЦК, емитирани за финансиране на дефицита и 32,4 млн. лв. по ДЦК, емитирани за структурната реформа.</w:t>
      </w:r>
    </w:p>
    <w:p w:rsidR="0004753C" w:rsidRPr="004C7D8C" w:rsidRDefault="0004753C" w:rsidP="00C2409D">
      <w:pPr>
        <w:pStyle w:val="Heading1"/>
        <w:numPr>
          <w:ilvl w:val="1"/>
          <w:numId w:val="10"/>
        </w:numPr>
        <w:spacing w:before="240" w:after="120"/>
        <w:ind w:right="-108" w:hanging="357"/>
        <w:jc w:val="both"/>
        <w:rPr>
          <w:sz w:val="24"/>
        </w:rPr>
      </w:pPr>
      <w:r w:rsidRPr="004C7D8C">
        <w:rPr>
          <w:sz w:val="24"/>
        </w:rPr>
        <w:t>Бюджет на съдебната власт</w:t>
      </w:r>
    </w:p>
    <w:p w:rsidR="004C7D8C" w:rsidRPr="00B05D20" w:rsidRDefault="004C7D8C" w:rsidP="001A3E89">
      <w:pPr>
        <w:jc w:val="both"/>
        <w:rPr>
          <w:color w:val="0070C0"/>
        </w:rPr>
      </w:pPr>
      <w:r w:rsidRPr="00D54982">
        <w:t xml:space="preserve">Със ЗДБРБ за 2019 г. са предвидени общо </w:t>
      </w:r>
      <w:r w:rsidRPr="00D54982">
        <w:rPr>
          <w:b/>
        </w:rPr>
        <w:t>приходи</w:t>
      </w:r>
      <w:r w:rsidRPr="00D54982">
        <w:t xml:space="preserve"> по бюджета на съдебната власт в размер на 116,0 млн.</w:t>
      </w:r>
      <w:r w:rsidRPr="00D54982">
        <w:rPr>
          <w:lang w:val="en-US"/>
        </w:rPr>
        <w:t xml:space="preserve"> </w:t>
      </w:r>
      <w:r w:rsidRPr="00D54982">
        <w:t>лв., от тях 100,0 млн.</w:t>
      </w:r>
      <w:r w:rsidRPr="00D54982">
        <w:rPr>
          <w:lang w:val="en-US"/>
        </w:rPr>
        <w:t xml:space="preserve"> </w:t>
      </w:r>
      <w:r w:rsidRPr="00D54982">
        <w:t>лв. са приходи от съдебни такси. През 2019 г. са отчетени приходи в размер на 109,7 млн. лв. (94,6 % от планираните</w:t>
      </w:r>
      <w:r>
        <w:t xml:space="preserve"> в </w:t>
      </w:r>
      <w:r w:rsidRPr="00D54982">
        <w:t xml:space="preserve">закона), от които </w:t>
      </w:r>
      <w:r>
        <w:t>с</w:t>
      </w:r>
      <w:r w:rsidRPr="00407000">
        <w:t xml:space="preserve"> най-голям дял са събраните приходи от съдебните такси в размер на 91,0 млн. лв.</w:t>
      </w:r>
      <w:r>
        <w:t>,</w:t>
      </w:r>
      <w:r w:rsidRPr="00407000">
        <w:t xml:space="preserve"> което представлява 83,0 % от </w:t>
      </w:r>
      <w:r>
        <w:t>ре</w:t>
      </w:r>
      <w:r w:rsidRPr="00407000">
        <w:t>ализираните приходи</w:t>
      </w:r>
      <w:r w:rsidRPr="00D54982">
        <w:t xml:space="preserve">. </w:t>
      </w:r>
    </w:p>
    <w:p w:rsidR="004C7D8C" w:rsidRPr="00FC0AA9" w:rsidRDefault="004C7D8C" w:rsidP="001A3E89">
      <w:pPr>
        <w:spacing w:before="120"/>
        <w:jc w:val="both"/>
        <w:rPr>
          <w:lang w:val="en-US"/>
        </w:rPr>
      </w:pPr>
      <w:r w:rsidRPr="00FC0AA9">
        <w:rPr>
          <w:b/>
        </w:rPr>
        <w:t xml:space="preserve">Разходите </w:t>
      </w:r>
      <w:r w:rsidRPr="00FC0AA9">
        <w:t>по бюджета на съдебната власт</w:t>
      </w:r>
      <w:r w:rsidRPr="00FC0AA9">
        <w:rPr>
          <w:b/>
        </w:rPr>
        <w:t xml:space="preserve"> </w:t>
      </w:r>
      <w:r w:rsidRPr="00FC0AA9">
        <w:t>към 31.12.2019 г.</w:t>
      </w:r>
      <w:r w:rsidRPr="00FC0AA9">
        <w:rPr>
          <w:b/>
        </w:rPr>
        <w:t xml:space="preserve"> </w:t>
      </w:r>
      <w:r w:rsidRPr="00FC0AA9">
        <w:t>са в размер на 693,7 млн. лв. или 98,5 % от планираните за годината (704,3 млн. лв.). С най-голям относителен дял от отчетените разходи са тези за персонал – 89,5 % (620,9 млн. лв.).</w:t>
      </w:r>
    </w:p>
    <w:p w:rsidR="00F521AA" w:rsidRPr="00150E70" w:rsidRDefault="00F521AA" w:rsidP="00F521AA">
      <w:pPr>
        <w:pStyle w:val="Heading1"/>
        <w:numPr>
          <w:ilvl w:val="0"/>
          <w:numId w:val="10"/>
        </w:numPr>
        <w:spacing w:before="240" w:after="120"/>
        <w:ind w:left="748" w:right="-108" w:hanging="391"/>
        <w:jc w:val="both"/>
        <w:rPr>
          <w:sz w:val="24"/>
        </w:rPr>
      </w:pPr>
      <w:r w:rsidRPr="00150E70">
        <w:rPr>
          <w:sz w:val="24"/>
        </w:rPr>
        <w:t xml:space="preserve">Сметки за средства от ЕС на Разплащателната агенция към ДФ „Земеделие“ и на Националния фонд към Министерството на финансите </w:t>
      </w:r>
    </w:p>
    <w:p w:rsidR="00F521AA" w:rsidRPr="00150E70" w:rsidRDefault="00F521AA" w:rsidP="00F521AA">
      <w:pPr>
        <w:pStyle w:val="Heading1"/>
        <w:numPr>
          <w:ilvl w:val="1"/>
          <w:numId w:val="10"/>
        </w:numPr>
        <w:spacing w:after="120"/>
        <w:ind w:left="788" w:right="-108" w:hanging="431"/>
        <w:jc w:val="both"/>
        <w:rPr>
          <w:sz w:val="24"/>
          <w:lang w:val="en-US"/>
        </w:rPr>
      </w:pPr>
      <w:r w:rsidRPr="00150E70">
        <w:rPr>
          <w:sz w:val="24"/>
        </w:rPr>
        <w:t xml:space="preserve"> Сметка за Европейски средства на Разплащателна агенция към Държавен фонд „Земеделие” </w:t>
      </w:r>
    </w:p>
    <w:p w:rsidR="00063CF1" w:rsidRPr="00150E70" w:rsidRDefault="00063CF1" w:rsidP="00063CF1">
      <w:pPr>
        <w:numPr>
          <w:ilvl w:val="0"/>
          <w:numId w:val="28"/>
        </w:numPr>
        <w:tabs>
          <w:tab w:val="num" w:pos="540"/>
        </w:tabs>
        <w:spacing w:before="120" w:after="120" w:line="276" w:lineRule="auto"/>
        <w:contextualSpacing/>
        <w:jc w:val="both"/>
        <w:rPr>
          <w:b/>
          <w:lang w:eastAsia="bg-BG"/>
        </w:rPr>
      </w:pPr>
      <w:r w:rsidRPr="00150E70">
        <w:rPr>
          <w:b/>
          <w:lang w:eastAsia="bg-BG"/>
        </w:rPr>
        <w:t>Приходи</w:t>
      </w:r>
    </w:p>
    <w:p w:rsidR="00150E70" w:rsidRPr="00F27F0F" w:rsidRDefault="00150E70" w:rsidP="00150E70">
      <w:pPr>
        <w:ind w:firstLine="708"/>
        <w:jc w:val="both"/>
      </w:pPr>
      <w:r w:rsidRPr="00F27F0F">
        <w:t xml:space="preserve">За 2019 г. планираните приходи по утвърдените годишни разчети на сметката за средства от Европейския съюз на Разплащателната агенция към ДФ „Земеделие” са в размер на 415,4 млн. лева. </w:t>
      </w:r>
      <w:r w:rsidR="00B74960">
        <w:t>Отчетените</w:t>
      </w:r>
      <w:r w:rsidRPr="00F27F0F">
        <w:t xml:space="preserve"> постъпления са в размер на 415,7 млн. лв., което представлява 100,1 % спрямо годишния план, при 27,9 % изпълнение на годишния план за предходната година.</w:t>
      </w:r>
      <w:r w:rsidRPr="00F27F0F">
        <w:rPr>
          <w:lang w:val="en-US"/>
        </w:rPr>
        <w:t xml:space="preserve"> </w:t>
      </w:r>
      <w:r w:rsidRPr="00F27F0F">
        <w:rPr>
          <w:rFonts w:eastAsiaTheme="minorHAnsi"/>
        </w:rPr>
        <w:t>Приходната част е формирана от помощи и дарения от чужбина</w:t>
      </w:r>
      <w:r>
        <w:rPr>
          <w:rFonts w:eastAsiaTheme="minorHAnsi"/>
        </w:rPr>
        <w:t xml:space="preserve"> и приходи от наказателни лихви</w:t>
      </w:r>
      <w:r w:rsidR="00B74960">
        <w:rPr>
          <w:rFonts w:eastAsiaTheme="minorHAnsi"/>
        </w:rPr>
        <w:t xml:space="preserve"> и е</w:t>
      </w:r>
      <w:r w:rsidRPr="00F27F0F">
        <w:rPr>
          <w:rFonts w:eastAsiaTheme="minorHAnsi"/>
        </w:rPr>
        <w:t xml:space="preserve"> разпределен</w:t>
      </w:r>
      <w:r w:rsidR="00B74960">
        <w:rPr>
          <w:rFonts w:eastAsiaTheme="minorHAnsi"/>
        </w:rPr>
        <w:t>а</w:t>
      </w:r>
      <w:r w:rsidRPr="00F27F0F">
        <w:rPr>
          <w:rFonts w:eastAsiaTheme="minorHAnsi"/>
        </w:rPr>
        <w:t xml:space="preserve"> както следва:</w:t>
      </w:r>
    </w:p>
    <w:p w:rsidR="00150E70" w:rsidRPr="00F27F0F" w:rsidRDefault="00150E70" w:rsidP="00150E70">
      <w:pPr>
        <w:numPr>
          <w:ilvl w:val="0"/>
          <w:numId w:val="25"/>
        </w:numPr>
        <w:tabs>
          <w:tab w:val="left" w:pos="993"/>
        </w:tabs>
        <w:spacing w:before="120" w:after="120" w:line="276" w:lineRule="auto"/>
        <w:ind w:left="1321" w:hanging="612"/>
        <w:jc w:val="both"/>
        <w:rPr>
          <w:b/>
          <w:i/>
        </w:rPr>
      </w:pPr>
      <w:r w:rsidRPr="00F27F0F">
        <w:rPr>
          <w:b/>
          <w:i/>
        </w:rPr>
        <w:t>Текущи помощи и дарения от Европейския съюз</w:t>
      </w:r>
    </w:p>
    <w:p w:rsidR="00150E70" w:rsidRPr="00F27F0F" w:rsidRDefault="00150E70" w:rsidP="00150E70">
      <w:pPr>
        <w:ind w:firstLine="708"/>
        <w:jc w:val="both"/>
      </w:pPr>
      <w:r w:rsidRPr="00F27F0F">
        <w:t>Общият размер на получените приходи, отчетени в „Текущи помощи и дарения от Европейския съюз“ за 2019 г. е 52,0 млн. лв. при планирани за годината средства в размер на 46,2 млн. лева.</w:t>
      </w:r>
    </w:p>
    <w:p w:rsidR="00150E70" w:rsidRPr="00C85532" w:rsidRDefault="00150E70" w:rsidP="00150E70">
      <w:pPr>
        <w:ind w:firstLine="708"/>
        <w:jc w:val="both"/>
        <w:rPr>
          <w:color w:val="0070C0"/>
          <w:lang w:val="en-US"/>
        </w:rPr>
      </w:pPr>
      <w:r w:rsidRPr="00F27F0F">
        <w:t xml:space="preserve">Получените текущи приходи от възстановяване на средства от Европейски земеделски фонд за развитие на селските райони (ЕЗФРСР) по линия на ПРСР, без директни плащания, са 40,4 млн. лв., което е 116,4 % спрямо планираните за годината 34,7 млн. лева, при </w:t>
      </w:r>
      <w:r>
        <w:t>63,1</w:t>
      </w:r>
      <w:r w:rsidRPr="00F27F0F">
        <w:t xml:space="preserve"> % изпълнение на годишния план за предходната година.</w:t>
      </w:r>
    </w:p>
    <w:p w:rsidR="00150E70" w:rsidRPr="00E550CC" w:rsidRDefault="00150E70" w:rsidP="00150E70">
      <w:pPr>
        <w:ind w:firstLine="708"/>
        <w:jc w:val="both"/>
      </w:pPr>
      <w:r w:rsidRPr="00E550CC">
        <w:t>Получените текущи приходи от възстановяване на средства по линия на схемите „Училищен плод“ и „Училищно мляко“ от Европейски фонд за гарантиране на земеделието (EФГЗ) за 201</w:t>
      </w:r>
      <w:r w:rsidRPr="00E550CC">
        <w:rPr>
          <w:lang w:val="en-US"/>
        </w:rPr>
        <w:t>9</w:t>
      </w:r>
      <w:r w:rsidRPr="00E550CC">
        <w:t xml:space="preserve"> г. са 5,6 млн. лв., което представлява 100 % изпълнение на планираните за годината средства. За сравнение, за 2018 г. възстановените суми по това направление са 84,0</w:t>
      </w:r>
      <w:r w:rsidR="00B74960">
        <w:t> </w:t>
      </w:r>
      <w:r w:rsidRPr="00E550CC">
        <w:t xml:space="preserve">% от годишния план. </w:t>
      </w:r>
    </w:p>
    <w:p w:rsidR="00150E70" w:rsidRPr="00E550CC" w:rsidRDefault="00150E70" w:rsidP="00150E70">
      <w:pPr>
        <w:ind w:firstLine="708"/>
        <w:jc w:val="both"/>
      </w:pPr>
      <w:r w:rsidRPr="00E550CC">
        <w:t xml:space="preserve">През 2019 г. са получени 6,0 млн. лв. текущи приходи от възстановяване от Европейския фонд за морско дело и рибарство (ЕФМДР), което представлява 100 % </w:t>
      </w:r>
      <w:r w:rsidRPr="00E550CC">
        <w:lastRenderedPageBreak/>
        <w:t xml:space="preserve">изпълнение на планираните за годината средства. За предходната година изпълнението е било 50,0 %. </w:t>
      </w:r>
    </w:p>
    <w:p w:rsidR="00150E70" w:rsidRPr="00E550CC" w:rsidRDefault="00150E70" w:rsidP="00150E70">
      <w:pPr>
        <w:numPr>
          <w:ilvl w:val="0"/>
          <w:numId w:val="25"/>
        </w:numPr>
        <w:tabs>
          <w:tab w:val="left" w:pos="993"/>
        </w:tabs>
        <w:spacing w:before="120" w:after="120" w:line="276" w:lineRule="auto"/>
        <w:ind w:left="1321" w:hanging="612"/>
        <w:jc w:val="both"/>
        <w:rPr>
          <w:b/>
          <w:i/>
        </w:rPr>
      </w:pPr>
      <w:r w:rsidRPr="00E550CC">
        <w:rPr>
          <w:b/>
          <w:i/>
        </w:rPr>
        <w:t>Капиталови помощи и дарения от Европейския съюз</w:t>
      </w:r>
    </w:p>
    <w:p w:rsidR="00150E70" w:rsidRPr="00E550CC" w:rsidRDefault="00150E70" w:rsidP="00150E70">
      <w:pPr>
        <w:ind w:firstLine="708"/>
        <w:jc w:val="both"/>
      </w:pPr>
      <w:r w:rsidRPr="00E550CC">
        <w:t>Общият размер на получените приходи, отчетени в „Капиталови помощи и дарения от Европейския съюз“ през 2019 г. е 363,4 млн. лв. при планирани за годината 369,1 млн. лева.</w:t>
      </w:r>
    </w:p>
    <w:p w:rsidR="00150E70" w:rsidRPr="00E550CC" w:rsidRDefault="00150E70" w:rsidP="00150E70">
      <w:pPr>
        <w:ind w:firstLine="708"/>
        <w:jc w:val="both"/>
      </w:pPr>
      <w:r w:rsidRPr="00E550CC">
        <w:t>Получените капиталови приходи от ЕЗФРСР по линия на ПРСР</w:t>
      </w:r>
      <w:r w:rsidR="00B74960">
        <w:t>,</w:t>
      </w:r>
      <w:r w:rsidRPr="00E550CC">
        <w:t xml:space="preserve"> без директни плащания</w:t>
      </w:r>
      <w:r w:rsidR="00B74960">
        <w:t>,</w:t>
      </w:r>
      <w:r w:rsidRPr="00E550CC">
        <w:t xml:space="preserve"> през 2019 г. са 354,5 млн. лева. Общото изпълнение е 98,4  % от годишния план </w:t>
      </w:r>
      <w:r w:rsidRPr="00E550CC">
        <w:rPr>
          <w:lang w:val="en-US"/>
        </w:rPr>
        <w:t>(</w:t>
      </w:r>
      <w:r w:rsidRPr="00E550CC">
        <w:t>360,2 млн. лв.</w:t>
      </w:r>
      <w:r w:rsidRPr="00E550CC">
        <w:rPr>
          <w:lang w:val="en-US"/>
        </w:rPr>
        <w:t>).</w:t>
      </w:r>
      <w:r w:rsidRPr="00E550CC">
        <w:t xml:space="preserve"> За сравнение – изпълнението на годишния план за предходната година е 23,4 процента.</w:t>
      </w:r>
    </w:p>
    <w:p w:rsidR="00150E70" w:rsidRDefault="00150E70" w:rsidP="00150E70">
      <w:pPr>
        <w:ind w:firstLine="708"/>
        <w:jc w:val="both"/>
      </w:pPr>
      <w:r w:rsidRPr="00F8014A">
        <w:t xml:space="preserve">През 2019 г. са  получени капиталови приходи в размер на 8,9 млн. лв. </w:t>
      </w:r>
      <w:r w:rsidRPr="00F8014A">
        <w:rPr>
          <w:rFonts w:eastAsiaTheme="minorHAnsi"/>
        </w:rPr>
        <w:t>от фонд ЕФМДР</w:t>
      </w:r>
      <w:r w:rsidRPr="00F8014A">
        <w:t>, което е 100</w:t>
      </w:r>
      <w:r w:rsidRPr="00F8014A">
        <w:rPr>
          <w:rFonts w:eastAsiaTheme="minorHAnsi"/>
        </w:rPr>
        <w:t xml:space="preserve"> % изпълнение на плана за годината. </w:t>
      </w:r>
      <w:r w:rsidRPr="00F8014A">
        <w:t>За сравнение</w:t>
      </w:r>
      <w:r w:rsidR="00B74960">
        <w:t>,</w:t>
      </w:r>
      <w:r w:rsidRPr="00F8014A">
        <w:t xml:space="preserve"> през 2018 г. по това направление са получени 0,4 млн. лева.</w:t>
      </w:r>
    </w:p>
    <w:p w:rsidR="00150E70" w:rsidRPr="007223FB" w:rsidRDefault="00150E70" w:rsidP="00150E70">
      <w:pPr>
        <w:numPr>
          <w:ilvl w:val="0"/>
          <w:numId w:val="25"/>
        </w:numPr>
        <w:tabs>
          <w:tab w:val="left" w:pos="993"/>
        </w:tabs>
        <w:spacing w:before="120" w:after="120" w:line="276" w:lineRule="auto"/>
        <w:ind w:left="1321" w:hanging="612"/>
        <w:jc w:val="both"/>
        <w:rPr>
          <w:b/>
          <w:i/>
        </w:rPr>
      </w:pPr>
      <w:r w:rsidRPr="007223FB">
        <w:rPr>
          <w:b/>
          <w:i/>
        </w:rPr>
        <w:t>Приходи от наказателни лихви</w:t>
      </w:r>
    </w:p>
    <w:p w:rsidR="00150E70" w:rsidRPr="007223FB" w:rsidRDefault="00150E70" w:rsidP="00B74960">
      <w:pPr>
        <w:ind w:firstLine="708"/>
        <w:jc w:val="both"/>
      </w:pPr>
      <w:r w:rsidRPr="007223FB">
        <w:t>През 2019</w:t>
      </w:r>
      <w:r>
        <w:t xml:space="preserve"> </w:t>
      </w:r>
      <w:r w:rsidRPr="007223FB">
        <w:t>г. са отчетени приходи от наказателни лихви, свързани с вземания за възстановяване на средства от ЕК в размер на 0,3 млн.</w:t>
      </w:r>
      <w:r>
        <w:t xml:space="preserve"> </w:t>
      </w:r>
      <w:r w:rsidRPr="007223FB">
        <w:t>л</w:t>
      </w:r>
      <w:r>
        <w:t>е</w:t>
      </w:r>
      <w:r w:rsidRPr="007223FB">
        <w:t>в</w:t>
      </w:r>
      <w:r>
        <w:t>а</w:t>
      </w:r>
      <w:r w:rsidRPr="007223FB">
        <w:t>.</w:t>
      </w:r>
    </w:p>
    <w:p w:rsidR="00150E70" w:rsidRPr="00F8014A" w:rsidRDefault="00150E70" w:rsidP="00150E70">
      <w:pPr>
        <w:jc w:val="both"/>
        <w:rPr>
          <w:sz w:val="10"/>
        </w:rPr>
      </w:pPr>
    </w:p>
    <w:p w:rsidR="00150E70" w:rsidRPr="00F8014A" w:rsidRDefault="00150E70" w:rsidP="00150E70">
      <w:pPr>
        <w:numPr>
          <w:ilvl w:val="0"/>
          <w:numId w:val="28"/>
        </w:numPr>
        <w:tabs>
          <w:tab w:val="num" w:pos="540"/>
        </w:tabs>
        <w:spacing w:before="240" w:after="120" w:line="276" w:lineRule="auto"/>
        <w:ind w:left="777" w:hanging="357"/>
        <w:contextualSpacing/>
        <w:jc w:val="both"/>
        <w:rPr>
          <w:b/>
          <w:lang w:eastAsia="bg-BG"/>
        </w:rPr>
      </w:pPr>
      <w:r w:rsidRPr="00F8014A">
        <w:rPr>
          <w:b/>
          <w:lang w:eastAsia="bg-BG"/>
        </w:rPr>
        <w:t xml:space="preserve">Разходи </w:t>
      </w:r>
    </w:p>
    <w:p w:rsidR="00150E70" w:rsidRPr="00F25624" w:rsidRDefault="00150E70" w:rsidP="00150E70">
      <w:pPr>
        <w:ind w:firstLine="708"/>
        <w:jc w:val="both"/>
      </w:pPr>
      <w:r w:rsidRPr="00F25624">
        <w:t xml:space="preserve">Общият размер на планираните за 2019 г. разходи по утвърдените годишни разчети на сметката за средства от Европейския съюз на Разплащателната агенция към ДФ „Земеделие” е 696,6 млн. лева. </w:t>
      </w:r>
    </w:p>
    <w:p w:rsidR="00150E70" w:rsidRDefault="00150E70" w:rsidP="00150E70">
      <w:pPr>
        <w:ind w:firstLine="708"/>
        <w:jc w:val="both"/>
      </w:pPr>
      <w:r w:rsidRPr="00F25624">
        <w:t>Уточненият план на субсидиите за текуща дейност и капиталовите трансфери за 2019 г. е 398,2 млн. лева. Изпълнението за 2019 г. възлиза на 91,1 % от годишния план и е в размер на 362,7 млн. лева.</w:t>
      </w:r>
    </w:p>
    <w:p w:rsidR="00150E70" w:rsidRPr="00E84380" w:rsidRDefault="00150E70" w:rsidP="00150E70">
      <w:pPr>
        <w:spacing w:before="120" w:line="276" w:lineRule="auto"/>
        <w:jc w:val="both"/>
      </w:pPr>
      <w:r w:rsidRPr="00E84380">
        <w:tab/>
      </w:r>
      <w:r>
        <w:t>Изпълнението</w:t>
      </w:r>
      <w:r w:rsidRPr="00E84380">
        <w:t xml:space="preserve"> на разходите е както следва:</w:t>
      </w:r>
    </w:p>
    <w:p w:rsidR="00150E70" w:rsidRPr="007236FE" w:rsidRDefault="00150E70" w:rsidP="00150E70">
      <w:pPr>
        <w:numPr>
          <w:ilvl w:val="0"/>
          <w:numId w:val="25"/>
        </w:numPr>
        <w:tabs>
          <w:tab w:val="left" w:pos="993"/>
        </w:tabs>
        <w:spacing w:before="120" w:after="120" w:line="276" w:lineRule="auto"/>
        <w:ind w:left="1321" w:hanging="612"/>
        <w:jc w:val="both"/>
        <w:rPr>
          <w:b/>
          <w:i/>
        </w:rPr>
      </w:pPr>
      <w:r w:rsidRPr="007236FE">
        <w:rPr>
          <w:b/>
          <w:i/>
        </w:rPr>
        <w:t>Субсидии и други текущи трансфери за нефинансови предприятия</w:t>
      </w:r>
    </w:p>
    <w:p w:rsidR="00150E70" w:rsidRPr="00FF12A4" w:rsidRDefault="00150E70" w:rsidP="00150E70">
      <w:pPr>
        <w:tabs>
          <w:tab w:val="left" w:pos="851"/>
          <w:tab w:val="left" w:pos="1134"/>
        </w:tabs>
        <w:ind w:firstLine="720"/>
        <w:contextualSpacing/>
        <w:jc w:val="both"/>
      </w:pPr>
      <w:r w:rsidRPr="00FF12A4">
        <w:t>За 2019</w:t>
      </w:r>
      <w:r w:rsidRPr="00FF12A4">
        <w:rPr>
          <w:lang w:val="en-US"/>
        </w:rPr>
        <w:t xml:space="preserve"> </w:t>
      </w:r>
      <w:r w:rsidRPr="00FF12A4">
        <w:t>г. са планирани средства в размер на 157,4 млн. лв. за субсидии и други текущи трансфери за нефинансови предприятия. Отчетените средства представляват 86,9</w:t>
      </w:r>
      <w:r w:rsidRPr="00FF12A4">
        <w:rPr>
          <w:lang w:val="en-US"/>
        </w:rPr>
        <w:t xml:space="preserve"> </w:t>
      </w:r>
      <w:r w:rsidRPr="00FF12A4">
        <w:t>% от планираните за годината и са в размер на 136,8 млн. лева. През 2018 г. размерът на текущите субсидии също е бил 136,8 млн. лева.</w:t>
      </w:r>
    </w:p>
    <w:p w:rsidR="00150E70" w:rsidRPr="00FF12A4" w:rsidRDefault="00150E70" w:rsidP="00150E70">
      <w:pPr>
        <w:tabs>
          <w:tab w:val="left" w:pos="851"/>
          <w:tab w:val="left" w:pos="1134"/>
        </w:tabs>
        <w:ind w:firstLine="720"/>
        <w:contextualSpacing/>
        <w:jc w:val="both"/>
      </w:pPr>
      <w:r w:rsidRPr="00FF12A4">
        <w:t xml:space="preserve"> Изпълнението по дейности е както следва:</w:t>
      </w:r>
    </w:p>
    <w:p w:rsidR="00150E70" w:rsidRPr="00FF12A4" w:rsidRDefault="00150E70" w:rsidP="00150E70">
      <w:pPr>
        <w:tabs>
          <w:tab w:val="left" w:pos="851"/>
          <w:tab w:val="left" w:pos="1134"/>
        </w:tabs>
        <w:ind w:firstLine="720"/>
        <w:contextualSpacing/>
        <w:jc w:val="both"/>
      </w:pPr>
      <w:r w:rsidRPr="00FF12A4">
        <w:t xml:space="preserve">- национално </w:t>
      </w:r>
      <w:proofErr w:type="spellStart"/>
      <w:r w:rsidRPr="00FF12A4">
        <w:t>съфинансиране</w:t>
      </w:r>
      <w:proofErr w:type="spellEnd"/>
      <w:r w:rsidRPr="00FF12A4">
        <w:t xml:space="preserve"> към ЕЗФРСР за директни плащания – 83,0 млн. лв., изпълнение 101,1 % спрямо планираните за годината 82,2 млн. лева;</w:t>
      </w:r>
    </w:p>
    <w:p w:rsidR="00150E70" w:rsidRPr="00FF12A4" w:rsidRDefault="00150E70" w:rsidP="00150E70">
      <w:pPr>
        <w:tabs>
          <w:tab w:val="left" w:pos="851"/>
          <w:tab w:val="left" w:pos="1134"/>
        </w:tabs>
        <w:ind w:firstLine="720"/>
        <w:contextualSpacing/>
        <w:jc w:val="both"/>
      </w:pPr>
      <w:r w:rsidRPr="00FF12A4">
        <w:t>- текущи субсидии по Програмата за морско дело и рибарство – не са усвоени средства при планирани за годината 2,7 млн. лева;</w:t>
      </w:r>
    </w:p>
    <w:p w:rsidR="00150E70" w:rsidRPr="00FF12A4" w:rsidRDefault="00150E70" w:rsidP="00150E70">
      <w:pPr>
        <w:tabs>
          <w:tab w:val="left" w:pos="851"/>
          <w:tab w:val="left" w:pos="1134"/>
        </w:tabs>
        <w:ind w:firstLine="720"/>
        <w:contextualSpacing/>
        <w:jc w:val="both"/>
      </w:pPr>
      <w:r w:rsidRPr="00FF12A4">
        <w:t>- текущи субсидии по Програмата за развитие на селските райони – 31,5 млн. лв., изпълнение от 64,8 % на планираните за годината 48,6 млн. лева;</w:t>
      </w:r>
    </w:p>
    <w:p w:rsidR="00150E70" w:rsidRPr="00FF12A4" w:rsidRDefault="00150E70" w:rsidP="00150E70">
      <w:pPr>
        <w:tabs>
          <w:tab w:val="left" w:pos="851"/>
          <w:tab w:val="left" w:pos="1134"/>
        </w:tabs>
        <w:ind w:firstLine="720"/>
        <w:contextualSpacing/>
        <w:jc w:val="both"/>
      </w:pPr>
      <w:r w:rsidRPr="00FF12A4">
        <w:t>- текущи субсидии за пазарни мерки – 22,3 млн. лв., изпълнение от 93,3 % на планираните за 2019 г. 23,9 млн. лева.</w:t>
      </w:r>
    </w:p>
    <w:p w:rsidR="00150E70" w:rsidRPr="001231EB" w:rsidRDefault="00150E70" w:rsidP="00150E70">
      <w:pPr>
        <w:numPr>
          <w:ilvl w:val="0"/>
          <w:numId w:val="25"/>
        </w:numPr>
        <w:tabs>
          <w:tab w:val="left" w:pos="993"/>
        </w:tabs>
        <w:spacing w:before="120" w:after="120" w:line="276" w:lineRule="auto"/>
        <w:ind w:left="1321" w:hanging="612"/>
        <w:jc w:val="both"/>
        <w:rPr>
          <w:b/>
          <w:i/>
        </w:rPr>
      </w:pPr>
      <w:r w:rsidRPr="001231EB">
        <w:rPr>
          <w:b/>
          <w:i/>
        </w:rPr>
        <w:t>Субсидии и други текущи трансфери за юридически лица с нестопанска цел</w:t>
      </w:r>
    </w:p>
    <w:p w:rsidR="00150E70" w:rsidRPr="001231EB" w:rsidRDefault="00150E70" w:rsidP="00150E70">
      <w:pPr>
        <w:contextualSpacing/>
        <w:jc w:val="both"/>
      </w:pPr>
      <w:r w:rsidRPr="001231EB">
        <w:tab/>
        <w:t>За 2019 г. за субсидии и други текущи трансфери за юридически лица с нестопанска цел са планирани 12,1 млн. лева. Отчетените разходи са в размер на 12,2 млн. лв. при 9,7 млн.</w:t>
      </w:r>
      <w:r w:rsidR="00B74960">
        <w:t> </w:t>
      </w:r>
      <w:r w:rsidRPr="001231EB">
        <w:t>лв. за 2018 година.</w:t>
      </w:r>
    </w:p>
    <w:p w:rsidR="00150E70" w:rsidRPr="001231EB" w:rsidRDefault="00150E70" w:rsidP="00150E70">
      <w:pPr>
        <w:ind w:firstLine="708"/>
        <w:contextualSpacing/>
        <w:jc w:val="both"/>
      </w:pPr>
      <w:r w:rsidRPr="001231EB">
        <w:t>Разпределението по дейности е както следва:</w:t>
      </w:r>
    </w:p>
    <w:p w:rsidR="00150E70" w:rsidRPr="004171B5" w:rsidRDefault="00150E70" w:rsidP="00B74960">
      <w:pPr>
        <w:tabs>
          <w:tab w:val="left" w:pos="851"/>
        </w:tabs>
        <w:ind w:firstLine="720"/>
        <w:contextualSpacing/>
        <w:jc w:val="both"/>
      </w:pPr>
      <w:r w:rsidRPr="004171B5">
        <w:t>-</w:t>
      </w:r>
      <w:r w:rsidR="00B74960">
        <w:t xml:space="preserve"> </w:t>
      </w:r>
      <w:r w:rsidRPr="004171B5">
        <w:t xml:space="preserve"> </w:t>
      </w:r>
      <w:r w:rsidR="00B74960">
        <w:t xml:space="preserve"> </w:t>
      </w:r>
      <w:r w:rsidRPr="004171B5">
        <w:t xml:space="preserve">национално </w:t>
      </w:r>
      <w:proofErr w:type="spellStart"/>
      <w:r w:rsidRPr="004171B5">
        <w:t>съфинансиране</w:t>
      </w:r>
      <w:proofErr w:type="spellEnd"/>
      <w:r w:rsidRPr="004171B5">
        <w:t xml:space="preserve"> към ЕЗФРСР за директни плащания  – 0,1 млн. л</w:t>
      </w:r>
      <w:r>
        <w:t>ева</w:t>
      </w:r>
      <w:r w:rsidRPr="004171B5">
        <w:t xml:space="preserve">; </w:t>
      </w:r>
    </w:p>
    <w:p w:rsidR="00150E70" w:rsidRPr="004171B5" w:rsidRDefault="00150E70" w:rsidP="00150E70">
      <w:pPr>
        <w:tabs>
          <w:tab w:val="left" w:pos="851"/>
        </w:tabs>
        <w:ind w:firstLine="720"/>
        <w:contextualSpacing/>
        <w:jc w:val="both"/>
      </w:pPr>
      <w:r w:rsidRPr="004171B5">
        <w:t>-  текущи субсидии по ПМДР – 1,6 млн. лв., възлизащи на 66,7</w:t>
      </w:r>
      <w:r>
        <w:t xml:space="preserve"> </w:t>
      </w:r>
      <w:r w:rsidRPr="004171B5">
        <w:t>% от планираните 2,4 млн. л</w:t>
      </w:r>
      <w:r>
        <w:t>е</w:t>
      </w:r>
      <w:r w:rsidRPr="004171B5">
        <w:t>в</w:t>
      </w:r>
      <w:r>
        <w:t>а</w:t>
      </w:r>
      <w:r w:rsidRPr="004171B5">
        <w:t>;</w:t>
      </w:r>
    </w:p>
    <w:p w:rsidR="00150E70" w:rsidRPr="004171B5" w:rsidRDefault="00150E70" w:rsidP="00150E70">
      <w:pPr>
        <w:ind w:firstLine="720"/>
        <w:contextualSpacing/>
        <w:jc w:val="both"/>
      </w:pPr>
      <w:r w:rsidRPr="004171B5">
        <w:t>-  текущи субсидии по Програмата за развитие на селските райони – 8,9 млн. лв., при планирани 8,2 млн.</w:t>
      </w:r>
      <w:r>
        <w:t xml:space="preserve"> </w:t>
      </w:r>
      <w:r w:rsidRPr="004171B5">
        <w:t>лв., изпълнение 108,5</w:t>
      </w:r>
      <w:r>
        <w:t xml:space="preserve"> </w:t>
      </w:r>
      <w:r w:rsidRPr="004171B5">
        <w:t>%</w:t>
      </w:r>
      <w:r>
        <w:t xml:space="preserve"> спрямо планираните за годината средства</w:t>
      </w:r>
      <w:r w:rsidRPr="004171B5">
        <w:t>;</w:t>
      </w:r>
    </w:p>
    <w:p w:rsidR="00150E70" w:rsidRPr="004171B5" w:rsidRDefault="00150E70" w:rsidP="00150E70">
      <w:pPr>
        <w:ind w:firstLine="709"/>
        <w:contextualSpacing/>
        <w:jc w:val="both"/>
      </w:pPr>
      <w:r w:rsidRPr="004171B5">
        <w:t xml:space="preserve">-  текущи субсидии за пазарни мерки – 1,5 млн. лв., </w:t>
      </w:r>
      <w:r>
        <w:t xml:space="preserve">100 % изпълнение на </w:t>
      </w:r>
      <w:r w:rsidRPr="004171B5">
        <w:t>годишн</w:t>
      </w:r>
      <w:r>
        <w:t>ите</w:t>
      </w:r>
      <w:r w:rsidRPr="004171B5">
        <w:t xml:space="preserve"> разчет</w:t>
      </w:r>
      <w:r>
        <w:t>и.</w:t>
      </w:r>
    </w:p>
    <w:p w:rsidR="00150E70" w:rsidRPr="008F3908" w:rsidRDefault="00150E70" w:rsidP="00150E70">
      <w:pPr>
        <w:numPr>
          <w:ilvl w:val="0"/>
          <w:numId w:val="25"/>
        </w:numPr>
        <w:tabs>
          <w:tab w:val="left" w:pos="993"/>
        </w:tabs>
        <w:spacing w:before="120" w:after="120" w:line="276" w:lineRule="auto"/>
        <w:ind w:left="1321" w:hanging="612"/>
        <w:jc w:val="both"/>
        <w:rPr>
          <w:b/>
          <w:i/>
        </w:rPr>
      </w:pPr>
      <w:r w:rsidRPr="008F3908">
        <w:rPr>
          <w:b/>
          <w:i/>
        </w:rPr>
        <w:lastRenderedPageBreak/>
        <w:t>Капиталови трансфери за нефинансови предприятия</w:t>
      </w:r>
    </w:p>
    <w:p w:rsidR="00150E70" w:rsidRPr="006E7AD8" w:rsidRDefault="00150E70" w:rsidP="00150E70">
      <w:pPr>
        <w:ind w:firstLine="708"/>
        <w:jc w:val="both"/>
      </w:pPr>
      <w:r w:rsidRPr="006D11E4">
        <w:t xml:space="preserve">За 2019 г. за капиталови трансфери за нефинансови предприятия са планирани </w:t>
      </w:r>
      <w:r w:rsidRPr="006D11E4">
        <w:rPr>
          <w:lang w:val="en-US"/>
        </w:rPr>
        <w:t>195</w:t>
      </w:r>
      <w:r w:rsidR="00B74960">
        <w:t>,</w:t>
      </w:r>
      <w:r w:rsidRPr="006D11E4">
        <w:rPr>
          <w:lang w:val="en-US"/>
        </w:rPr>
        <w:t>2</w:t>
      </w:r>
      <w:r w:rsidRPr="006D11E4">
        <w:t xml:space="preserve"> млн. лева. </w:t>
      </w:r>
      <w:r w:rsidR="00B74960">
        <w:t>О</w:t>
      </w:r>
      <w:r w:rsidRPr="006D11E4">
        <w:t>тчетени</w:t>
      </w:r>
      <w:r w:rsidR="00B74960">
        <w:t xml:space="preserve"> са </w:t>
      </w:r>
      <w:r w:rsidRPr="006D11E4">
        <w:t>1</w:t>
      </w:r>
      <w:r w:rsidRPr="006D11E4">
        <w:rPr>
          <w:lang w:val="en-US"/>
        </w:rPr>
        <w:t>82</w:t>
      </w:r>
      <w:r w:rsidR="00B74960">
        <w:t>,</w:t>
      </w:r>
      <w:r w:rsidRPr="006D11E4">
        <w:rPr>
          <w:lang w:val="en-US"/>
        </w:rPr>
        <w:t>9</w:t>
      </w:r>
      <w:r w:rsidRPr="006D11E4">
        <w:t xml:space="preserve"> млн. лв., което е </w:t>
      </w:r>
      <w:r w:rsidRPr="006D11E4">
        <w:rPr>
          <w:lang w:val="en-US"/>
        </w:rPr>
        <w:t>93</w:t>
      </w:r>
      <w:r w:rsidR="00B74960">
        <w:t>,</w:t>
      </w:r>
      <w:r w:rsidRPr="006D11E4">
        <w:rPr>
          <w:lang w:val="en-US"/>
        </w:rPr>
        <w:t>7</w:t>
      </w:r>
      <w:r w:rsidRPr="006D11E4">
        <w:t xml:space="preserve"> % изпълнение на годишния план. </w:t>
      </w:r>
      <w:r w:rsidRPr="004171B5">
        <w:t>Отчетените през 2018</w:t>
      </w:r>
      <w:r w:rsidR="00B74960">
        <w:t xml:space="preserve"> </w:t>
      </w:r>
      <w:r w:rsidRPr="004171B5">
        <w:t xml:space="preserve">г. разходи за капиталови субсидии за физически лица и предприятия са били </w:t>
      </w:r>
      <w:r w:rsidRPr="006E7AD8">
        <w:t>185,1 млн.</w:t>
      </w:r>
      <w:r w:rsidRPr="006E7AD8">
        <w:rPr>
          <w:lang w:val="en-US"/>
        </w:rPr>
        <w:t xml:space="preserve"> </w:t>
      </w:r>
      <w:r w:rsidRPr="006E7AD8">
        <w:t>лева.</w:t>
      </w:r>
    </w:p>
    <w:p w:rsidR="00150E70" w:rsidRPr="00291AF5" w:rsidRDefault="00150E70" w:rsidP="00150E70">
      <w:pPr>
        <w:ind w:firstLine="708"/>
        <w:jc w:val="both"/>
      </w:pPr>
      <w:r w:rsidRPr="00291AF5">
        <w:t>Разпределението по дейности е както следва:</w:t>
      </w:r>
    </w:p>
    <w:p w:rsidR="00150E70" w:rsidRPr="00291AF5" w:rsidRDefault="00150E70" w:rsidP="00150E70">
      <w:pPr>
        <w:ind w:firstLine="720"/>
        <w:contextualSpacing/>
        <w:jc w:val="both"/>
      </w:pPr>
      <w:r w:rsidRPr="00291AF5">
        <w:t xml:space="preserve">- капиталови трансфери по Програмата за морско дело и рибарство </w:t>
      </w:r>
      <w:r w:rsidRPr="00291AF5">
        <w:rPr>
          <w:lang w:val="en-US"/>
        </w:rPr>
        <w:t>(</w:t>
      </w:r>
      <w:r w:rsidRPr="00291AF5">
        <w:t>ПМДР</w:t>
      </w:r>
      <w:r w:rsidRPr="00291AF5">
        <w:rPr>
          <w:lang w:val="en-US"/>
        </w:rPr>
        <w:t>)</w:t>
      </w:r>
      <w:r w:rsidRPr="00291AF5">
        <w:t xml:space="preserve"> – 15,7 млн.</w:t>
      </w:r>
      <w:r w:rsidR="00B74960">
        <w:t> </w:t>
      </w:r>
      <w:r w:rsidRPr="00291AF5">
        <w:t>лв., което е 99,4 %  изпълнение на годишния план (15,8 млн. лева);</w:t>
      </w:r>
    </w:p>
    <w:p w:rsidR="00150E70" w:rsidRPr="00291AF5" w:rsidRDefault="00150E70" w:rsidP="00150E70">
      <w:pPr>
        <w:ind w:firstLine="720"/>
        <w:contextualSpacing/>
        <w:jc w:val="both"/>
      </w:pPr>
      <w:r w:rsidRPr="00291AF5">
        <w:t>-  капиталови трансфери по ПРСР – 163,0 млн. лв., 93,0 %  изпълнение на годишния план (175,2 млн. лв.);</w:t>
      </w:r>
    </w:p>
    <w:p w:rsidR="00150E70" w:rsidRPr="00291AF5" w:rsidRDefault="00150E70" w:rsidP="00150E70">
      <w:pPr>
        <w:ind w:firstLine="720"/>
        <w:contextualSpacing/>
        <w:jc w:val="both"/>
      </w:pPr>
      <w:r w:rsidRPr="00291AF5">
        <w:t xml:space="preserve">-  капиталови трансфери за пазарни мерки – 4,2 млн. лв., 100 % изпълнение на планираните за годината средства. </w:t>
      </w:r>
    </w:p>
    <w:p w:rsidR="00150E70" w:rsidRPr="00291AF5" w:rsidRDefault="00150E70" w:rsidP="00150E70">
      <w:pPr>
        <w:numPr>
          <w:ilvl w:val="0"/>
          <w:numId w:val="25"/>
        </w:numPr>
        <w:tabs>
          <w:tab w:val="left" w:pos="993"/>
        </w:tabs>
        <w:spacing w:before="120" w:after="120" w:line="276" w:lineRule="auto"/>
        <w:ind w:left="1321" w:hanging="612"/>
        <w:jc w:val="both"/>
        <w:rPr>
          <w:b/>
          <w:i/>
        </w:rPr>
      </w:pPr>
      <w:r w:rsidRPr="00291AF5">
        <w:rPr>
          <w:b/>
          <w:i/>
        </w:rPr>
        <w:t>Капиталови трансфери за организации с нестопанска цел</w:t>
      </w:r>
    </w:p>
    <w:p w:rsidR="00150E70" w:rsidRPr="004171B5" w:rsidRDefault="00150E70" w:rsidP="00150E70">
      <w:pPr>
        <w:ind w:firstLine="708"/>
        <w:jc w:val="both"/>
      </w:pPr>
      <w:r w:rsidRPr="004171B5">
        <w:t>Актуализираните разчети за капиталови трансфери за организации с нестопанска цел за 2019</w:t>
      </w:r>
      <w:r>
        <w:t xml:space="preserve"> </w:t>
      </w:r>
      <w:r w:rsidRPr="004171B5">
        <w:t>г. възлизат на 33,5 млн. л</w:t>
      </w:r>
      <w:r>
        <w:t>е</w:t>
      </w:r>
      <w:r w:rsidRPr="004171B5">
        <w:t>в</w:t>
      </w:r>
      <w:r>
        <w:t>а</w:t>
      </w:r>
      <w:r w:rsidRPr="004171B5">
        <w:t>. Към 31.12.2019</w:t>
      </w:r>
      <w:r>
        <w:t xml:space="preserve"> </w:t>
      </w:r>
      <w:r w:rsidRPr="004171B5">
        <w:t>г. са отчетени 30,8 млн. лв., в т.ч.:</w:t>
      </w:r>
    </w:p>
    <w:p w:rsidR="00150E70" w:rsidRPr="004171B5" w:rsidRDefault="00150E70" w:rsidP="00150E70">
      <w:pPr>
        <w:ind w:firstLine="720"/>
        <w:contextualSpacing/>
        <w:jc w:val="both"/>
      </w:pPr>
      <w:r w:rsidRPr="004171B5">
        <w:t>- капиталови трансфери по ПМДР – 0,1 млн. лв., 100</w:t>
      </w:r>
      <w:r>
        <w:t xml:space="preserve"> </w:t>
      </w:r>
      <w:r w:rsidRPr="004171B5">
        <w:t>% изпълнение на годишните разчети;</w:t>
      </w:r>
    </w:p>
    <w:p w:rsidR="00150E70" w:rsidRDefault="00150E70" w:rsidP="00150E70">
      <w:pPr>
        <w:spacing w:before="120"/>
        <w:ind w:firstLine="709"/>
        <w:contextualSpacing/>
        <w:jc w:val="both"/>
      </w:pPr>
      <w:r w:rsidRPr="004171B5">
        <w:t>- капиталови трансфери по ПРСР – 30,7 млн. лв., 91,9</w:t>
      </w:r>
      <w:r>
        <w:t xml:space="preserve"> </w:t>
      </w:r>
      <w:r w:rsidRPr="004171B5">
        <w:t>%  изпълнение н</w:t>
      </w:r>
      <w:r>
        <w:t>а годишния план (33,4 млн. лв.).</w:t>
      </w:r>
    </w:p>
    <w:p w:rsidR="00150E70" w:rsidRPr="00C85532" w:rsidRDefault="00150E70" w:rsidP="00150E70">
      <w:pPr>
        <w:spacing w:before="120"/>
        <w:ind w:firstLine="709"/>
        <w:jc w:val="both"/>
        <w:rPr>
          <w:color w:val="0070C0"/>
        </w:rPr>
      </w:pPr>
      <w:r w:rsidRPr="00FE73B1">
        <w:t>Планираните разходи в размер 298,4 млн.</w:t>
      </w:r>
      <w:r w:rsidRPr="00FE73B1">
        <w:rPr>
          <w:lang w:val="en-US"/>
        </w:rPr>
        <w:t xml:space="preserve"> </w:t>
      </w:r>
      <w:r w:rsidRPr="00FE73B1">
        <w:t>лв.</w:t>
      </w:r>
      <w:r>
        <w:t>, в т.ч.</w:t>
      </w:r>
      <w:r w:rsidRPr="005064FB">
        <w:t xml:space="preserve"> разходи за заплати и възнаграждения на персонала 9,1 млн. лв., задължителни осигурителни вноски от работодатели 2,6 млн. лв., издръжка 1,6 млн. лв. и придобиване на ДМА 285,1 млн. лв. подлежат на отчитане в § 63-00 </w:t>
      </w:r>
      <w:r>
        <w:t>„</w:t>
      </w:r>
      <w:r w:rsidRPr="005064FB">
        <w:t>Трансфери между сметки за средствата от ЕС</w:t>
      </w:r>
      <w:r>
        <w:t>“</w:t>
      </w:r>
      <w:r w:rsidRPr="005064FB">
        <w:t>.</w:t>
      </w:r>
    </w:p>
    <w:p w:rsidR="00150E70" w:rsidRPr="00C85532" w:rsidRDefault="00150E70" w:rsidP="00150E70">
      <w:pPr>
        <w:jc w:val="both"/>
        <w:rPr>
          <w:b/>
          <w:color w:val="0070C0"/>
          <w:sz w:val="12"/>
          <w:u w:val="single"/>
        </w:rPr>
      </w:pPr>
    </w:p>
    <w:p w:rsidR="00150E70" w:rsidRPr="00FE73B1" w:rsidRDefault="00150E70" w:rsidP="00150E70">
      <w:pPr>
        <w:numPr>
          <w:ilvl w:val="0"/>
          <w:numId w:val="28"/>
        </w:numPr>
        <w:tabs>
          <w:tab w:val="num" w:pos="540"/>
        </w:tabs>
        <w:spacing w:before="240" w:after="120" w:line="276" w:lineRule="auto"/>
        <w:ind w:left="777" w:hanging="357"/>
        <w:contextualSpacing/>
        <w:jc w:val="both"/>
        <w:rPr>
          <w:b/>
          <w:lang w:eastAsia="bg-BG"/>
        </w:rPr>
      </w:pPr>
      <w:r w:rsidRPr="00FE73B1">
        <w:rPr>
          <w:b/>
          <w:lang w:eastAsia="bg-BG"/>
        </w:rPr>
        <w:t xml:space="preserve">Трансфери </w:t>
      </w:r>
    </w:p>
    <w:p w:rsidR="00150E70" w:rsidRPr="004171B5" w:rsidRDefault="00150E70" w:rsidP="00150E70">
      <w:pPr>
        <w:tabs>
          <w:tab w:val="left" w:pos="540"/>
        </w:tabs>
        <w:jc w:val="both"/>
      </w:pPr>
      <w:r>
        <w:tab/>
      </w:r>
      <w:r w:rsidRPr="004171B5">
        <w:t>В частта на трансферите, в касовия отчет на ДФЗ-РА към 31.12.2019</w:t>
      </w:r>
      <w:r w:rsidR="00B74960">
        <w:t xml:space="preserve"> </w:t>
      </w:r>
      <w:r w:rsidRPr="004171B5">
        <w:t>г. са отразени следните касови потоци:</w:t>
      </w:r>
    </w:p>
    <w:p w:rsidR="00150E70" w:rsidRPr="004171B5" w:rsidRDefault="00150E70" w:rsidP="00150E70">
      <w:pPr>
        <w:numPr>
          <w:ilvl w:val="0"/>
          <w:numId w:val="25"/>
        </w:numPr>
        <w:tabs>
          <w:tab w:val="left" w:pos="540"/>
          <w:tab w:val="left" w:pos="993"/>
        </w:tabs>
        <w:spacing w:line="276" w:lineRule="auto"/>
        <w:ind w:left="0" w:firstLine="709"/>
        <w:jc w:val="both"/>
        <w:rPr>
          <w:b/>
          <w:i/>
        </w:rPr>
      </w:pPr>
      <w:r w:rsidRPr="004171B5">
        <w:rPr>
          <w:b/>
          <w:i/>
        </w:rPr>
        <w:t>Трансфери между ЦБ и сметки за средствата от ЕС</w:t>
      </w:r>
    </w:p>
    <w:p w:rsidR="00150E70" w:rsidRPr="004171B5" w:rsidRDefault="00150E70" w:rsidP="00150E70">
      <w:pPr>
        <w:tabs>
          <w:tab w:val="left" w:pos="540"/>
          <w:tab w:val="left" w:pos="993"/>
        </w:tabs>
        <w:ind w:firstLine="709"/>
        <w:jc w:val="both"/>
      </w:pPr>
      <w:r w:rsidRPr="004171B5">
        <w:t>Планираната сума на трансфера, получен от ЦБ е в размер 201,4 млн.</w:t>
      </w:r>
      <w:r>
        <w:t xml:space="preserve"> </w:t>
      </w:r>
      <w:r w:rsidRPr="004171B5">
        <w:t>л</w:t>
      </w:r>
      <w:r>
        <w:t>е</w:t>
      </w:r>
      <w:r w:rsidRPr="004171B5">
        <w:t>в</w:t>
      </w:r>
      <w:r>
        <w:t>а</w:t>
      </w:r>
      <w:r w:rsidRPr="004171B5">
        <w:t>. Отчетената стойност е 191,2 млн.</w:t>
      </w:r>
      <w:r>
        <w:t xml:space="preserve"> </w:t>
      </w:r>
      <w:r w:rsidRPr="004171B5">
        <w:t>лв., съответстваща на получения в края на 2019</w:t>
      </w:r>
      <w:r>
        <w:t xml:space="preserve"> </w:t>
      </w:r>
      <w:r w:rsidRPr="004171B5">
        <w:t xml:space="preserve">г. трансфер от ЦБ за компенсиране на средствата, изплатени от РА за сметка на национално </w:t>
      </w:r>
      <w:proofErr w:type="spellStart"/>
      <w:r w:rsidRPr="004171B5">
        <w:t>съфинансиране</w:t>
      </w:r>
      <w:proofErr w:type="spellEnd"/>
      <w:r w:rsidRPr="004171B5">
        <w:t xml:space="preserve"> към фондовете ЕФГЗ, ЕЗФРСР, ЕФМДР и ЕФР.</w:t>
      </w:r>
    </w:p>
    <w:p w:rsidR="00150E70" w:rsidRPr="004171B5" w:rsidRDefault="00150E70" w:rsidP="00150E70">
      <w:pPr>
        <w:tabs>
          <w:tab w:val="left" w:pos="540"/>
        </w:tabs>
        <w:jc w:val="both"/>
      </w:pPr>
      <w:r w:rsidRPr="004171B5">
        <w:tab/>
      </w:r>
      <w:r w:rsidRPr="004171B5">
        <w:tab/>
        <w:t>Отчетената сума на трансфера, предоставен на ЦБ е в размер на 190,2 млн. лв., равняваща се на сумата по уточнения план за 2019</w:t>
      </w:r>
      <w:r>
        <w:t xml:space="preserve"> </w:t>
      </w:r>
      <w:r w:rsidRPr="004171B5">
        <w:t>г</w:t>
      </w:r>
      <w:r>
        <w:t>одина</w:t>
      </w:r>
      <w:r w:rsidRPr="004171B5">
        <w:t xml:space="preserve">. </w:t>
      </w:r>
    </w:p>
    <w:p w:rsidR="00150E70" w:rsidRPr="004171B5" w:rsidRDefault="00150E70" w:rsidP="00150E70">
      <w:pPr>
        <w:numPr>
          <w:ilvl w:val="0"/>
          <w:numId w:val="25"/>
        </w:numPr>
        <w:tabs>
          <w:tab w:val="left" w:pos="993"/>
        </w:tabs>
        <w:spacing w:before="120" w:after="120" w:line="276" w:lineRule="auto"/>
        <w:ind w:left="1321" w:hanging="612"/>
        <w:jc w:val="both"/>
        <w:rPr>
          <w:b/>
          <w:i/>
        </w:rPr>
      </w:pPr>
      <w:r w:rsidRPr="004171B5">
        <w:rPr>
          <w:b/>
          <w:i/>
        </w:rPr>
        <w:t xml:space="preserve">Трансфери между бюджети и сметки за средства от Европейския съюз </w:t>
      </w:r>
    </w:p>
    <w:p w:rsidR="00150E70" w:rsidRPr="004171B5" w:rsidRDefault="00150E70" w:rsidP="00150E70">
      <w:pPr>
        <w:jc w:val="both"/>
      </w:pPr>
      <w:r w:rsidRPr="004171B5">
        <w:tab/>
      </w:r>
      <w:r>
        <w:t>През 2019 г. п</w:t>
      </w:r>
      <w:r w:rsidRPr="004171B5">
        <w:t>олучените трансфери от бюджетни сметки на бюджетни организации и общини</w:t>
      </w:r>
      <w:r>
        <w:t>,</w:t>
      </w:r>
      <w:r w:rsidRPr="004171B5">
        <w:t xml:space="preserve"> формирани при възстановяване на суми по вземания по ПРСР и ОПРСР</w:t>
      </w:r>
      <w:r>
        <w:t xml:space="preserve">, са в </w:t>
      </w:r>
      <w:r w:rsidRPr="004171B5">
        <w:t xml:space="preserve">размер </w:t>
      </w:r>
      <w:r>
        <w:t>на</w:t>
      </w:r>
      <w:r w:rsidRPr="004171B5">
        <w:t xml:space="preserve"> 1,3 млн. л</w:t>
      </w:r>
      <w:r>
        <w:t>е</w:t>
      </w:r>
      <w:r w:rsidRPr="004171B5">
        <w:t>в</w:t>
      </w:r>
      <w:r>
        <w:t>а</w:t>
      </w:r>
      <w:r w:rsidRPr="004171B5">
        <w:t xml:space="preserve">. </w:t>
      </w:r>
    </w:p>
    <w:p w:rsidR="00150E70" w:rsidRPr="004171B5" w:rsidRDefault="00150E70" w:rsidP="00150E70">
      <w:pPr>
        <w:jc w:val="both"/>
      </w:pPr>
      <w:r w:rsidRPr="004171B5">
        <w:tab/>
        <w:t>Предоставените през 2019</w:t>
      </w:r>
      <w:r>
        <w:t xml:space="preserve"> </w:t>
      </w:r>
      <w:r w:rsidRPr="004171B5">
        <w:t>г. трансфери във връзка с чл.14 от Закона за подпомагане на земеделските производители възлизат на 0,3 млн. л</w:t>
      </w:r>
      <w:r>
        <w:t>е</w:t>
      </w:r>
      <w:r w:rsidRPr="004171B5">
        <w:t>в</w:t>
      </w:r>
      <w:r>
        <w:t>а</w:t>
      </w:r>
      <w:r w:rsidRPr="004171B5">
        <w:t>.</w:t>
      </w:r>
    </w:p>
    <w:p w:rsidR="00150E70" w:rsidRPr="004171B5" w:rsidRDefault="00150E70" w:rsidP="00150E70">
      <w:pPr>
        <w:numPr>
          <w:ilvl w:val="0"/>
          <w:numId w:val="25"/>
        </w:numPr>
        <w:tabs>
          <w:tab w:val="left" w:pos="993"/>
        </w:tabs>
        <w:spacing w:before="120" w:after="120" w:line="276" w:lineRule="auto"/>
        <w:ind w:left="1321" w:hanging="612"/>
        <w:jc w:val="both"/>
        <w:rPr>
          <w:b/>
          <w:i/>
        </w:rPr>
      </w:pPr>
      <w:r w:rsidRPr="004171B5">
        <w:rPr>
          <w:b/>
          <w:i/>
        </w:rPr>
        <w:t>Трансфери между сметки за средства от Европейския съюз:</w:t>
      </w:r>
    </w:p>
    <w:p w:rsidR="00150E70" w:rsidRPr="004171B5" w:rsidRDefault="00150E70" w:rsidP="00150E70">
      <w:pPr>
        <w:tabs>
          <w:tab w:val="left" w:pos="709"/>
        </w:tabs>
        <w:jc w:val="both"/>
      </w:pPr>
      <w:r w:rsidRPr="004171B5">
        <w:tab/>
        <w:t>Получените трансфери от сметки за СЕС са в размер на 0,3 млн.</w:t>
      </w:r>
      <w:r>
        <w:t xml:space="preserve"> </w:t>
      </w:r>
      <w:r w:rsidRPr="004171B5">
        <w:t>лв. и са формирани от възстановени лихви по вземания по ПРСР и директни плащания.</w:t>
      </w:r>
    </w:p>
    <w:p w:rsidR="00150E70" w:rsidRPr="004171B5" w:rsidRDefault="00150E70" w:rsidP="00150E70">
      <w:pPr>
        <w:tabs>
          <w:tab w:val="left" w:pos="540"/>
        </w:tabs>
        <w:jc w:val="both"/>
      </w:pPr>
      <w:r w:rsidRPr="004171B5">
        <w:tab/>
      </w:r>
      <w:r>
        <w:tab/>
      </w:r>
      <w:r w:rsidRPr="004171B5">
        <w:t xml:space="preserve">Предоставените трансфери са формирани от изплатените субсидии на публични бенефициенти и възстановените от тях суми. За 2019 г. са отчетени 289,7 млн. лв., в т.ч.: </w:t>
      </w:r>
    </w:p>
    <w:p w:rsidR="00150E70" w:rsidRPr="004171B5" w:rsidRDefault="00150E70" w:rsidP="00150E70">
      <w:pPr>
        <w:numPr>
          <w:ilvl w:val="0"/>
          <w:numId w:val="37"/>
        </w:numPr>
        <w:tabs>
          <w:tab w:val="left" w:pos="540"/>
          <w:tab w:val="left" w:pos="851"/>
        </w:tabs>
        <w:ind w:left="0" w:firstLine="709"/>
        <w:contextualSpacing/>
        <w:jc w:val="both"/>
      </w:pPr>
      <w:r w:rsidRPr="004171B5">
        <w:t>по Програмата за развитие на селските райони: 274,2 млн.</w:t>
      </w:r>
      <w:r>
        <w:t xml:space="preserve"> </w:t>
      </w:r>
      <w:r w:rsidRPr="004171B5">
        <w:t>л</w:t>
      </w:r>
      <w:r>
        <w:t>е</w:t>
      </w:r>
      <w:r w:rsidRPr="004171B5">
        <w:t>в</w:t>
      </w:r>
      <w:r>
        <w:t>а</w:t>
      </w:r>
      <w:r w:rsidRPr="004171B5">
        <w:t xml:space="preserve">, </w:t>
      </w:r>
    </w:p>
    <w:p w:rsidR="00150E70" w:rsidRPr="004171B5" w:rsidRDefault="00150E70" w:rsidP="00150E70">
      <w:pPr>
        <w:numPr>
          <w:ilvl w:val="0"/>
          <w:numId w:val="37"/>
        </w:numPr>
        <w:tabs>
          <w:tab w:val="left" w:pos="540"/>
          <w:tab w:val="left" w:pos="851"/>
        </w:tabs>
        <w:ind w:left="0" w:firstLine="709"/>
        <w:contextualSpacing/>
        <w:jc w:val="both"/>
      </w:pPr>
      <w:r w:rsidRPr="004171B5">
        <w:t>по схеми „Училищен плод“ и „Училищно мляко“: 0,1 млн. л</w:t>
      </w:r>
      <w:r>
        <w:t>е</w:t>
      </w:r>
      <w:r w:rsidRPr="004171B5">
        <w:t>в</w:t>
      </w:r>
      <w:r>
        <w:t>а</w:t>
      </w:r>
      <w:r w:rsidRPr="004171B5">
        <w:t xml:space="preserve">; </w:t>
      </w:r>
    </w:p>
    <w:p w:rsidR="00150E70" w:rsidRPr="004171B5" w:rsidRDefault="00150E70" w:rsidP="00150E70">
      <w:pPr>
        <w:numPr>
          <w:ilvl w:val="0"/>
          <w:numId w:val="37"/>
        </w:numPr>
        <w:tabs>
          <w:tab w:val="left" w:pos="540"/>
          <w:tab w:val="left" w:pos="851"/>
        </w:tabs>
        <w:ind w:left="0" w:firstLine="709"/>
        <w:contextualSpacing/>
        <w:jc w:val="both"/>
      </w:pPr>
      <w:r w:rsidRPr="004171B5">
        <w:t xml:space="preserve">национално </w:t>
      </w:r>
      <w:proofErr w:type="spellStart"/>
      <w:r w:rsidRPr="004171B5">
        <w:t>съфинансиране</w:t>
      </w:r>
      <w:proofErr w:type="spellEnd"/>
      <w:r w:rsidRPr="004171B5">
        <w:t xml:space="preserve"> към директни плащания: 0,2 млн. л</w:t>
      </w:r>
      <w:r>
        <w:t>е</w:t>
      </w:r>
      <w:r w:rsidRPr="004171B5">
        <w:t>в</w:t>
      </w:r>
      <w:r>
        <w:t>а</w:t>
      </w:r>
      <w:r w:rsidRPr="004171B5">
        <w:t>;</w:t>
      </w:r>
    </w:p>
    <w:p w:rsidR="00150E70" w:rsidRPr="004171B5" w:rsidRDefault="00150E70" w:rsidP="00150E70">
      <w:pPr>
        <w:numPr>
          <w:ilvl w:val="0"/>
          <w:numId w:val="37"/>
        </w:numPr>
        <w:tabs>
          <w:tab w:val="left" w:pos="540"/>
          <w:tab w:val="left" w:pos="851"/>
        </w:tabs>
        <w:ind w:left="0" w:firstLine="709"/>
        <w:contextualSpacing/>
        <w:jc w:val="both"/>
      </w:pPr>
      <w:r w:rsidRPr="004171B5">
        <w:t>по Програмата за морско дело и рибарство: 15,2 млн. лева.</w:t>
      </w:r>
    </w:p>
    <w:p w:rsidR="00150E70" w:rsidRPr="004171B5" w:rsidRDefault="00150E70" w:rsidP="00150E70">
      <w:pPr>
        <w:tabs>
          <w:tab w:val="left" w:pos="540"/>
        </w:tabs>
        <w:jc w:val="both"/>
      </w:pPr>
      <w:r w:rsidRPr="004171B5">
        <w:lastRenderedPageBreak/>
        <w:tab/>
      </w:r>
      <w:r w:rsidRPr="004171B5">
        <w:tab/>
        <w:t>В сравнение с 2018</w:t>
      </w:r>
      <w:r>
        <w:t xml:space="preserve"> </w:t>
      </w:r>
      <w:r w:rsidRPr="004171B5">
        <w:t>г. се наблюдава увеличение с 218,7 млн.</w:t>
      </w:r>
      <w:r>
        <w:t xml:space="preserve"> </w:t>
      </w:r>
      <w:r w:rsidRPr="004171B5">
        <w:t>лв. в размера на предоставените трансфери по ПРСР и с 8,1 млн.</w:t>
      </w:r>
      <w:r>
        <w:t xml:space="preserve"> </w:t>
      </w:r>
      <w:r w:rsidRPr="004171B5">
        <w:t>лв</w:t>
      </w:r>
      <w:r>
        <w:t>.</w:t>
      </w:r>
      <w:r w:rsidRPr="004171B5">
        <w:t xml:space="preserve"> по ПМДР.</w:t>
      </w:r>
      <w:r w:rsidRPr="004171B5">
        <w:tab/>
      </w:r>
    </w:p>
    <w:p w:rsidR="00150E70" w:rsidRDefault="00150E70" w:rsidP="00150E70">
      <w:pPr>
        <w:numPr>
          <w:ilvl w:val="0"/>
          <w:numId w:val="28"/>
        </w:numPr>
        <w:tabs>
          <w:tab w:val="num" w:pos="540"/>
        </w:tabs>
        <w:spacing w:before="240" w:after="240"/>
        <w:ind w:left="778"/>
        <w:jc w:val="both"/>
        <w:rPr>
          <w:b/>
          <w:lang w:eastAsia="bg-BG"/>
        </w:rPr>
      </w:pPr>
      <w:r w:rsidRPr="000775D9">
        <w:rPr>
          <w:b/>
          <w:lang w:eastAsia="bg-BG"/>
        </w:rPr>
        <w:t>Финансиране</w:t>
      </w:r>
    </w:p>
    <w:p w:rsidR="00150E70" w:rsidRPr="00AC6143" w:rsidRDefault="00150E70" w:rsidP="00150E70">
      <w:pPr>
        <w:numPr>
          <w:ilvl w:val="0"/>
          <w:numId w:val="25"/>
        </w:numPr>
        <w:tabs>
          <w:tab w:val="left" w:pos="993"/>
        </w:tabs>
        <w:spacing w:before="120" w:after="120" w:line="276" w:lineRule="auto"/>
        <w:ind w:left="1321" w:hanging="612"/>
        <w:jc w:val="both"/>
        <w:rPr>
          <w:b/>
          <w:i/>
        </w:rPr>
      </w:pPr>
      <w:r w:rsidRPr="00AC6143">
        <w:rPr>
          <w:b/>
          <w:i/>
        </w:rPr>
        <w:t>Суми по разчети за поети осигурителни вноски и данъци</w:t>
      </w:r>
    </w:p>
    <w:p w:rsidR="00150E70" w:rsidRPr="004171B5" w:rsidRDefault="00150E70" w:rsidP="00150E70">
      <w:pPr>
        <w:tabs>
          <w:tab w:val="left" w:pos="851"/>
        </w:tabs>
        <w:jc w:val="both"/>
      </w:pPr>
      <w:r w:rsidRPr="004171B5">
        <w:tab/>
        <w:t>Към 31.12.2019</w:t>
      </w:r>
      <w:r>
        <w:t xml:space="preserve"> </w:t>
      </w:r>
      <w:r w:rsidRPr="004171B5">
        <w:t>г. сумата по разчети за поети данъци, формирани от удържан и внесен окончателен данък на физически лица, съгл. чл. 65, ал. 14 от ЗДДФЛ възлиза на 0,2 млн.</w:t>
      </w:r>
      <w:r>
        <w:t xml:space="preserve"> </w:t>
      </w:r>
      <w:r w:rsidRPr="004171B5">
        <w:t>л</w:t>
      </w:r>
      <w:r>
        <w:t>е</w:t>
      </w:r>
      <w:r w:rsidRPr="004171B5">
        <w:t>в</w:t>
      </w:r>
      <w:r>
        <w:t>а</w:t>
      </w:r>
      <w:r w:rsidRPr="004171B5">
        <w:t>.</w:t>
      </w:r>
    </w:p>
    <w:p w:rsidR="00150E70" w:rsidRPr="00AC6143" w:rsidRDefault="00150E70" w:rsidP="00150E70">
      <w:pPr>
        <w:numPr>
          <w:ilvl w:val="0"/>
          <w:numId w:val="25"/>
        </w:numPr>
        <w:tabs>
          <w:tab w:val="left" w:pos="993"/>
        </w:tabs>
        <w:spacing w:before="120" w:after="120" w:line="276" w:lineRule="auto"/>
        <w:ind w:left="1321" w:hanging="612"/>
        <w:jc w:val="both"/>
        <w:rPr>
          <w:b/>
          <w:i/>
        </w:rPr>
      </w:pPr>
      <w:r w:rsidRPr="00AC6143">
        <w:rPr>
          <w:b/>
          <w:i/>
        </w:rPr>
        <w:t>Друго финансиране</w:t>
      </w:r>
    </w:p>
    <w:p w:rsidR="00150E70" w:rsidRPr="004171B5" w:rsidRDefault="00150E70" w:rsidP="00150E70">
      <w:pPr>
        <w:jc w:val="both"/>
      </w:pPr>
      <w:r w:rsidRPr="004171B5">
        <w:rPr>
          <w:color w:val="0070C0"/>
        </w:rPr>
        <w:tab/>
      </w:r>
      <w:r w:rsidRPr="004171B5">
        <w:t>Към 31.12.2019</w:t>
      </w:r>
      <w:r>
        <w:t xml:space="preserve"> </w:t>
      </w:r>
      <w:r w:rsidRPr="004171B5">
        <w:t>г. извършените плащания, възстановените суми и разчетът с централния бюджет, включени в отчетността в „Друго финансиране“ възлизат общо на 234,3 млн. лв., при планирани 270</w:t>
      </w:r>
      <w:r>
        <w:t>,0</w:t>
      </w:r>
      <w:r w:rsidRPr="004171B5">
        <w:t xml:space="preserve"> млн. л</w:t>
      </w:r>
      <w:r>
        <w:t>е</w:t>
      </w:r>
      <w:r w:rsidRPr="004171B5">
        <w:t>в</w:t>
      </w:r>
      <w:r>
        <w:t>а</w:t>
      </w:r>
      <w:r w:rsidRPr="004171B5">
        <w:t>.</w:t>
      </w:r>
      <w:r w:rsidRPr="004171B5">
        <w:tab/>
      </w:r>
    </w:p>
    <w:p w:rsidR="00150E70" w:rsidRPr="004171B5" w:rsidRDefault="00150E70" w:rsidP="00150E70">
      <w:pPr>
        <w:jc w:val="both"/>
      </w:pPr>
      <w:r w:rsidRPr="004171B5">
        <w:tab/>
      </w:r>
      <w:r>
        <w:t>З</w:t>
      </w:r>
      <w:r w:rsidRPr="004171B5">
        <w:t>а 2019</w:t>
      </w:r>
      <w:r>
        <w:t xml:space="preserve"> </w:t>
      </w:r>
      <w:r w:rsidRPr="004171B5">
        <w:t>г. са отчетени плащания в общ размер 1 807,6 млн. лв., представляващи 99,7</w:t>
      </w:r>
      <w:r>
        <w:t xml:space="preserve"> </w:t>
      </w:r>
      <w:r w:rsidRPr="004171B5">
        <w:t>% от годишните разчети. През 2018</w:t>
      </w:r>
      <w:r>
        <w:t xml:space="preserve"> </w:t>
      </w:r>
      <w:r w:rsidRPr="004171B5">
        <w:t>г. плащанията, отчитани като финансиране</w:t>
      </w:r>
      <w:r>
        <w:t>,</w:t>
      </w:r>
      <w:r w:rsidRPr="004171B5">
        <w:t xml:space="preserve"> са били 1 805,7 млн.</w:t>
      </w:r>
      <w:r>
        <w:t xml:space="preserve"> </w:t>
      </w:r>
      <w:r w:rsidRPr="004171B5">
        <w:t>л</w:t>
      </w:r>
      <w:r>
        <w:t>е</w:t>
      </w:r>
      <w:r w:rsidRPr="004171B5">
        <w:t>в</w:t>
      </w:r>
      <w:r>
        <w:t>а</w:t>
      </w:r>
      <w:r w:rsidRPr="004171B5">
        <w:t>.</w:t>
      </w:r>
    </w:p>
    <w:p w:rsidR="00150E70" w:rsidRPr="004171B5" w:rsidRDefault="00150E70" w:rsidP="00150E70">
      <w:pPr>
        <w:jc w:val="both"/>
      </w:pPr>
      <w:r w:rsidRPr="004171B5">
        <w:tab/>
        <w:t>Отчетените плащания са по следните направления:</w:t>
      </w:r>
    </w:p>
    <w:p w:rsidR="00150E70" w:rsidRPr="004171B5" w:rsidRDefault="00150E70" w:rsidP="00150E70">
      <w:pPr>
        <w:numPr>
          <w:ilvl w:val="0"/>
          <w:numId w:val="30"/>
        </w:numPr>
        <w:tabs>
          <w:tab w:val="left" w:pos="993"/>
        </w:tabs>
        <w:ind w:left="0" w:firstLine="709"/>
        <w:contextualSpacing/>
        <w:jc w:val="both"/>
        <w:rPr>
          <w:szCs w:val="20"/>
        </w:rPr>
      </w:pPr>
      <w:r w:rsidRPr="004171B5">
        <w:rPr>
          <w:szCs w:val="20"/>
        </w:rPr>
        <w:t>1 526,8 млн. лв. за директни плащания за сметка на ЕФГЗ, представляващи 99,6</w:t>
      </w:r>
      <w:r>
        <w:rPr>
          <w:szCs w:val="20"/>
        </w:rPr>
        <w:t xml:space="preserve"> </w:t>
      </w:r>
      <w:r w:rsidRPr="004171B5">
        <w:rPr>
          <w:szCs w:val="20"/>
        </w:rPr>
        <w:t>% от планираните 1 533,3 млн. лв.;</w:t>
      </w:r>
    </w:p>
    <w:p w:rsidR="00150E70" w:rsidRPr="004171B5" w:rsidRDefault="00150E70" w:rsidP="00150E70">
      <w:pPr>
        <w:numPr>
          <w:ilvl w:val="0"/>
          <w:numId w:val="30"/>
        </w:numPr>
        <w:tabs>
          <w:tab w:val="left" w:pos="993"/>
        </w:tabs>
        <w:ind w:left="0" w:firstLine="709"/>
        <w:contextualSpacing/>
        <w:jc w:val="both"/>
        <w:rPr>
          <w:szCs w:val="20"/>
        </w:rPr>
      </w:pPr>
      <w:r w:rsidRPr="004171B5">
        <w:rPr>
          <w:szCs w:val="20"/>
        </w:rPr>
        <w:t>251,1 млн. лв. средства от ЕЗФРСР, прехвърлени към директни плащания, което е 101,4</w:t>
      </w:r>
      <w:r>
        <w:rPr>
          <w:szCs w:val="20"/>
        </w:rPr>
        <w:t xml:space="preserve"> </w:t>
      </w:r>
      <w:r w:rsidRPr="004171B5">
        <w:rPr>
          <w:szCs w:val="20"/>
        </w:rPr>
        <w:t xml:space="preserve">% </w:t>
      </w:r>
      <w:r>
        <w:rPr>
          <w:szCs w:val="20"/>
        </w:rPr>
        <w:t>спрямо</w:t>
      </w:r>
      <w:r w:rsidRPr="004171B5">
        <w:rPr>
          <w:szCs w:val="20"/>
        </w:rPr>
        <w:t xml:space="preserve"> планираните 247,5 млн. лв.;</w:t>
      </w:r>
    </w:p>
    <w:p w:rsidR="00150E70" w:rsidRPr="004171B5" w:rsidRDefault="00150E70" w:rsidP="00150E70">
      <w:pPr>
        <w:numPr>
          <w:ilvl w:val="0"/>
          <w:numId w:val="30"/>
        </w:numPr>
        <w:tabs>
          <w:tab w:val="left" w:pos="993"/>
        </w:tabs>
        <w:ind w:left="0" w:firstLine="709"/>
        <w:contextualSpacing/>
        <w:jc w:val="both"/>
        <w:rPr>
          <w:szCs w:val="20"/>
        </w:rPr>
      </w:pPr>
      <w:r w:rsidRPr="004171B5">
        <w:rPr>
          <w:szCs w:val="20"/>
        </w:rPr>
        <w:t>14,4 млн. лв. за пазарни мерки - изпълнение 91,1</w:t>
      </w:r>
      <w:r>
        <w:rPr>
          <w:szCs w:val="20"/>
        </w:rPr>
        <w:t xml:space="preserve"> </w:t>
      </w:r>
      <w:r w:rsidRPr="004171B5">
        <w:rPr>
          <w:szCs w:val="20"/>
        </w:rPr>
        <w:t>% от планираните 15,8 млн. лв.;</w:t>
      </w:r>
    </w:p>
    <w:p w:rsidR="00150E70" w:rsidRPr="004171B5" w:rsidRDefault="00150E70" w:rsidP="00150E70">
      <w:pPr>
        <w:numPr>
          <w:ilvl w:val="0"/>
          <w:numId w:val="30"/>
        </w:numPr>
        <w:tabs>
          <w:tab w:val="left" w:pos="993"/>
        </w:tabs>
        <w:ind w:left="0" w:firstLine="709"/>
        <w:contextualSpacing/>
        <w:jc w:val="both"/>
        <w:rPr>
          <w:szCs w:val="20"/>
        </w:rPr>
      </w:pPr>
      <w:r w:rsidRPr="004171B5">
        <w:rPr>
          <w:szCs w:val="20"/>
        </w:rPr>
        <w:t xml:space="preserve">15,3 млн. лв. суми за преструктуриране </w:t>
      </w:r>
      <w:r>
        <w:rPr>
          <w:szCs w:val="20"/>
        </w:rPr>
        <w:t>–</w:t>
      </w:r>
      <w:r w:rsidRPr="004171B5">
        <w:rPr>
          <w:szCs w:val="20"/>
        </w:rPr>
        <w:t xml:space="preserve"> 90</w:t>
      </w:r>
      <w:r>
        <w:rPr>
          <w:szCs w:val="20"/>
        </w:rPr>
        <w:t xml:space="preserve">,0 </w:t>
      </w:r>
      <w:r w:rsidRPr="004171B5">
        <w:rPr>
          <w:szCs w:val="20"/>
        </w:rPr>
        <w:t>% от планираните 17</w:t>
      </w:r>
      <w:r w:rsidR="00B74960">
        <w:rPr>
          <w:szCs w:val="20"/>
        </w:rPr>
        <w:t>,0</w:t>
      </w:r>
      <w:r w:rsidRPr="004171B5">
        <w:rPr>
          <w:szCs w:val="20"/>
        </w:rPr>
        <w:t xml:space="preserve"> млн. л</w:t>
      </w:r>
      <w:r>
        <w:rPr>
          <w:szCs w:val="20"/>
        </w:rPr>
        <w:t>е</w:t>
      </w:r>
      <w:r w:rsidRPr="004171B5">
        <w:rPr>
          <w:szCs w:val="20"/>
        </w:rPr>
        <w:t>в</w:t>
      </w:r>
      <w:r>
        <w:rPr>
          <w:szCs w:val="20"/>
        </w:rPr>
        <w:t>а</w:t>
      </w:r>
      <w:r w:rsidRPr="004171B5">
        <w:rPr>
          <w:szCs w:val="20"/>
        </w:rPr>
        <w:t>.</w:t>
      </w:r>
    </w:p>
    <w:p w:rsidR="00150E70" w:rsidRPr="004171B5" w:rsidRDefault="00150E70" w:rsidP="00150E70">
      <w:pPr>
        <w:jc w:val="both"/>
      </w:pPr>
      <w:r w:rsidRPr="004171B5">
        <w:tab/>
      </w:r>
    </w:p>
    <w:p w:rsidR="00150E70" w:rsidRPr="004171B5" w:rsidRDefault="00150E70" w:rsidP="00150E70">
      <w:pPr>
        <w:jc w:val="both"/>
      </w:pPr>
      <w:r w:rsidRPr="004171B5">
        <w:tab/>
        <w:t xml:space="preserve">Възстановените суми от Европейския съюз </w:t>
      </w:r>
      <w:r w:rsidR="00B74960">
        <w:t xml:space="preserve">през </w:t>
      </w:r>
      <w:r w:rsidRPr="004171B5">
        <w:t>2019</w:t>
      </w:r>
      <w:r>
        <w:t xml:space="preserve"> </w:t>
      </w:r>
      <w:r w:rsidRPr="004171B5">
        <w:t>г. възлизат общо на 1 932,2 млн.</w:t>
      </w:r>
      <w:r w:rsidR="00B74960">
        <w:t> </w:t>
      </w:r>
      <w:r w:rsidRPr="004171B5">
        <w:t>лв., което е 99,9</w:t>
      </w:r>
      <w:r>
        <w:t xml:space="preserve"> </w:t>
      </w:r>
      <w:r w:rsidRPr="004171B5">
        <w:t>% от планираните и с 149,8 млн. лв. повече</w:t>
      </w:r>
      <w:r>
        <w:t xml:space="preserve"> спрямо</w:t>
      </w:r>
      <w:r w:rsidRPr="004171B5">
        <w:t xml:space="preserve"> предходната година.</w:t>
      </w:r>
    </w:p>
    <w:p w:rsidR="00150E70" w:rsidRPr="004171B5" w:rsidRDefault="00150E70" w:rsidP="00150E70">
      <w:pPr>
        <w:jc w:val="both"/>
        <w:rPr>
          <w:color w:val="0070C0"/>
        </w:rPr>
      </w:pPr>
      <w:r w:rsidRPr="004171B5">
        <w:tab/>
        <w:t>Възстановени са суми по следните направления:</w:t>
      </w:r>
    </w:p>
    <w:p w:rsidR="00150E70" w:rsidRPr="004171B5" w:rsidRDefault="00150E70" w:rsidP="00150E70">
      <w:pPr>
        <w:numPr>
          <w:ilvl w:val="0"/>
          <w:numId w:val="30"/>
        </w:numPr>
        <w:tabs>
          <w:tab w:val="left" w:pos="993"/>
        </w:tabs>
        <w:ind w:left="0" w:firstLine="709"/>
        <w:contextualSpacing/>
        <w:jc w:val="both"/>
        <w:rPr>
          <w:szCs w:val="20"/>
        </w:rPr>
      </w:pPr>
      <w:r w:rsidRPr="004171B5">
        <w:rPr>
          <w:szCs w:val="20"/>
        </w:rPr>
        <w:t>1 528,6  млн. лв. за директни плащания от ЕФГЗ – 100</w:t>
      </w:r>
      <w:r>
        <w:rPr>
          <w:szCs w:val="20"/>
        </w:rPr>
        <w:t xml:space="preserve"> </w:t>
      </w:r>
      <w:r w:rsidRPr="004171B5">
        <w:rPr>
          <w:szCs w:val="20"/>
        </w:rPr>
        <w:t xml:space="preserve">% </w:t>
      </w:r>
      <w:r>
        <w:rPr>
          <w:szCs w:val="20"/>
        </w:rPr>
        <w:t>спрямо</w:t>
      </w:r>
      <w:r w:rsidRPr="004171B5">
        <w:rPr>
          <w:szCs w:val="20"/>
        </w:rPr>
        <w:t xml:space="preserve"> заложените </w:t>
      </w:r>
      <w:r>
        <w:rPr>
          <w:szCs w:val="20"/>
        </w:rPr>
        <w:t>в плана за годината</w:t>
      </w:r>
      <w:r w:rsidRPr="004171B5">
        <w:rPr>
          <w:szCs w:val="20"/>
        </w:rPr>
        <w:t>;</w:t>
      </w:r>
    </w:p>
    <w:p w:rsidR="00150E70" w:rsidRPr="004171B5" w:rsidRDefault="00150E70" w:rsidP="00150E70">
      <w:pPr>
        <w:numPr>
          <w:ilvl w:val="0"/>
          <w:numId w:val="30"/>
        </w:numPr>
        <w:tabs>
          <w:tab w:val="left" w:pos="993"/>
        </w:tabs>
        <w:ind w:left="0" w:firstLine="709"/>
        <w:contextualSpacing/>
        <w:jc w:val="both"/>
        <w:rPr>
          <w:szCs w:val="20"/>
        </w:rPr>
      </w:pPr>
      <w:r w:rsidRPr="004171B5">
        <w:rPr>
          <w:szCs w:val="20"/>
        </w:rPr>
        <w:t>374,9 млн. лв. от ЕЗФРСР, прехвърлени към директни плащания – 99,8</w:t>
      </w:r>
      <w:r>
        <w:rPr>
          <w:szCs w:val="20"/>
        </w:rPr>
        <w:t xml:space="preserve"> </w:t>
      </w:r>
      <w:r w:rsidRPr="004171B5">
        <w:rPr>
          <w:szCs w:val="20"/>
        </w:rPr>
        <w:t>% от заложените 375,7 млн. л</w:t>
      </w:r>
      <w:r>
        <w:rPr>
          <w:szCs w:val="20"/>
        </w:rPr>
        <w:t>е</w:t>
      </w:r>
      <w:r w:rsidRPr="004171B5">
        <w:rPr>
          <w:szCs w:val="20"/>
        </w:rPr>
        <w:t>в</w:t>
      </w:r>
      <w:r>
        <w:rPr>
          <w:szCs w:val="20"/>
        </w:rPr>
        <w:t>а</w:t>
      </w:r>
      <w:r w:rsidRPr="004171B5">
        <w:rPr>
          <w:szCs w:val="20"/>
        </w:rPr>
        <w:t>;</w:t>
      </w:r>
    </w:p>
    <w:p w:rsidR="00150E70" w:rsidRPr="004171B5" w:rsidRDefault="00150E70" w:rsidP="00150E70">
      <w:pPr>
        <w:numPr>
          <w:ilvl w:val="0"/>
          <w:numId w:val="30"/>
        </w:numPr>
        <w:tabs>
          <w:tab w:val="left" w:pos="993"/>
        </w:tabs>
        <w:ind w:left="0" w:firstLine="709"/>
        <w:contextualSpacing/>
        <w:jc w:val="both"/>
        <w:rPr>
          <w:szCs w:val="20"/>
        </w:rPr>
      </w:pPr>
      <w:r w:rsidRPr="004171B5">
        <w:rPr>
          <w:szCs w:val="20"/>
        </w:rPr>
        <w:t>12,8 млн. лв. за пазарни мерки</w:t>
      </w:r>
      <w:r>
        <w:rPr>
          <w:szCs w:val="20"/>
        </w:rPr>
        <w:t xml:space="preserve">, </w:t>
      </w:r>
      <w:r w:rsidRPr="004171B5">
        <w:rPr>
          <w:szCs w:val="20"/>
        </w:rPr>
        <w:t>125,4</w:t>
      </w:r>
      <w:r>
        <w:rPr>
          <w:szCs w:val="20"/>
        </w:rPr>
        <w:t xml:space="preserve"> </w:t>
      </w:r>
      <w:r w:rsidRPr="004171B5">
        <w:rPr>
          <w:szCs w:val="20"/>
        </w:rPr>
        <w:t>% изпълнение спрямо планираните 10,2 млн.</w:t>
      </w:r>
      <w:r>
        <w:rPr>
          <w:szCs w:val="20"/>
        </w:rPr>
        <w:t> </w:t>
      </w:r>
      <w:r w:rsidRPr="004171B5">
        <w:rPr>
          <w:szCs w:val="20"/>
        </w:rPr>
        <w:t>лв.;</w:t>
      </w:r>
    </w:p>
    <w:p w:rsidR="00150E70" w:rsidRPr="004171B5" w:rsidRDefault="00150E70" w:rsidP="00150E70">
      <w:pPr>
        <w:numPr>
          <w:ilvl w:val="0"/>
          <w:numId w:val="30"/>
        </w:numPr>
        <w:tabs>
          <w:tab w:val="left" w:pos="993"/>
        </w:tabs>
        <w:ind w:left="0" w:firstLine="709"/>
        <w:contextualSpacing/>
        <w:jc w:val="both"/>
      </w:pPr>
      <w:r w:rsidRPr="004171B5">
        <w:rPr>
          <w:szCs w:val="20"/>
        </w:rPr>
        <w:t>15,9 млн. лв. суми за преструктуриране</w:t>
      </w:r>
      <w:r>
        <w:rPr>
          <w:szCs w:val="20"/>
        </w:rPr>
        <w:t>,</w:t>
      </w:r>
      <w:r w:rsidRPr="004171B5">
        <w:rPr>
          <w:szCs w:val="20"/>
        </w:rPr>
        <w:t xml:space="preserve"> 86</w:t>
      </w:r>
      <w:r>
        <w:rPr>
          <w:szCs w:val="20"/>
        </w:rPr>
        <w:t xml:space="preserve">,0 </w:t>
      </w:r>
      <w:r w:rsidRPr="004171B5">
        <w:rPr>
          <w:szCs w:val="20"/>
        </w:rPr>
        <w:t>% изпълнение на планираните 18,5 млн.</w:t>
      </w:r>
      <w:r>
        <w:rPr>
          <w:szCs w:val="20"/>
        </w:rPr>
        <w:t> </w:t>
      </w:r>
      <w:r w:rsidRPr="004171B5">
        <w:rPr>
          <w:szCs w:val="20"/>
        </w:rPr>
        <w:t>л</w:t>
      </w:r>
      <w:r>
        <w:rPr>
          <w:szCs w:val="20"/>
        </w:rPr>
        <w:t>е</w:t>
      </w:r>
      <w:r w:rsidRPr="004171B5">
        <w:rPr>
          <w:szCs w:val="20"/>
        </w:rPr>
        <w:t>в</w:t>
      </w:r>
      <w:r>
        <w:rPr>
          <w:szCs w:val="20"/>
        </w:rPr>
        <w:t>а</w:t>
      </w:r>
      <w:r w:rsidRPr="004171B5">
        <w:rPr>
          <w:szCs w:val="20"/>
        </w:rPr>
        <w:t>.</w:t>
      </w:r>
    </w:p>
    <w:p w:rsidR="00063CF1" w:rsidRPr="00C85532" w:rsidRDefault="00063CF1" w:rsidP="00063CF1">
      <w:pPr>
        <w:rPr>
          <w:color w:val="0070C0"/>
          <w:lang w:val="en-US"/>
        </w:rPr>
      </w:pPr>
    </w:p>
    <w:p w:rsidR="002B1377" w:rsidRPr="00CE0567" w:rsidRDefault="002B1377" w:rsidP="005F3781">
      <w:pPr>
        <w:pStyle w:val="Heading1"/>
        <w:numPr>
          <w:ilvl w:val="1"/>
          <w:numId w:val="10"/>
        </w:numPr>
        <w:ind w:left="788" w:right="-108" w:hanging="431"/>
        <w:jc w:val="both"/>
        <w:rPr>
          <w:sz w:val="24"/>
        </w:rPr>
      </w:pPr>
      <w:r w:rsidRPr="00CE0567">
        <w:rPr>
          <w:sz w:val="24"/>
        </w:rPr>
        <w:t>Национален фонд към Министерство на финансите</w:t>
      </w:r>
    </w:p>
    <w:p w:rsidR="00022B97" w:rsidRDefault="00022B97" w:rsidP="00022B97">
      <w:pPr>
        <w:pStyle w:val="BodyTextIndent"/>
        <w:spacing w:before="120"/>
        <w:ind w:left="288" w:firstLine="691"/>
        <w:jc w:val="both"/>
        <w:rPr>
          <w:bCs/>
        </w:rPr>
      </w:pPr>
      <w:r w:rsidRPr="00F42046">
        <w:rPr>
          <w:bCs/>
        </w:rPr>
        <w:t>По сметките на НФ към 3</w:t>
      </w:r>
      <w:r w:rsidRPr="00F42046">
        <w:rPr>
          <w:bCs/>
          <w:lang w:val="ru-RU"/>
        </w:rPr>
        <w:t>1</w:t>
      </w:r>
      <w:r w:rsidRPr="00F42046">
        <w:rPr>
          <w:bCs/>
        </w:rPr>
        <w:t>.</w:t>
      </w:r>
      <w:r w:rsidRPr="00F42046">
        <w:rPr>
          <w:bCs/>
          <w:lang w:val="ru-RU"/>
        </w:rPr>
        <w:t>12</w:t>
      </w:r>
      <w:r w:rsidRPr="00F42046">
        <w:rPr>
          <w:bCs/>
        </w:rPr>
        <w:t>.2019 г. са постъпили приходи  (нето) в размер на 1</w:t>
      </w:r>
      <w:r>
        <w:rPr>
          <w:bCs/>
        </w:rPr>
        <w:t> </w:t>
      </w:r>
      <w:r w:rsidRPr="00F42046">
        <w:rPr>
          <w:bCs/>
          <w:lang w:val="ru-RU"/>
        </w:rPr>
        <w:t>608</w:t>
      </w:r>
      <w:r>
        <w:rPr>
          <w:bCs/>
          <w:lang w:val="ru-RU"/>
        </w:rPr>
        <w:t>,</w:t>
      </w:r>
      <w:r w:rsidRPr="00F42046">
        <w:rPr>
          <w:bCs/>
          <w:lang w:val="ru-RU"/>
        </w:rPr>
        <w:t>3</w:t>
      </w:r>
      <w:r w:rsidRPr="00F42046">
        <w:rPr>
          <w:bCs/>
        </w:rPr>
        <w:t xml:space="preserve"> млн. лева по програмите, </w:t>
      </w:r>
      <w:proofErr w:type="spellStart"/>
      <w:r w:rsidRPr="002643E6">
        <w:rPr>
          <w:bCs/>
        </w:rPr>
        <w:t>съфинансирани</w:t>
      </w:r>
      <w:proofErr w:type="spellEnd"/>
      <w:r w:rsidRPr="002643E6">
        <w:rPr>
          <w:bCs/>
        </w:rPr>
        <w:t xml:space="preserve"> от Структурните и </w:t>
      </w:r>
      <w:proofErr w:type="spellStart"/>
      <w:r w:rsidRPr="002643E6">
        <w:rPr>
          <w:bCs/>
        </w:rPr>
        <w:t>Кохезионния</w:t>
      </w:r>
      <w:proofErr w:type="spellEnd"/>
      <w:r w:rsidRPr="002643E6">
        <w:rPr>
          <w:bCs/>
        </w:rPr>
        <w:t xml:space="preserve"> фондове на ЕС за финансовата рамка 2007 – 2013 г.</w:t>
      </w:r>
      <w:r>
        <w:rPr>
          <w:bCs/>
        </w:rPr>
        <w:t xml:space="preserve">, по програмите, </w:t>
      </w:r>
      <w:proofErr w:type="spellStart"/>
      <w:r w:rsidRPr="00F42046">
        <w:rPr>
          <w:bCs/>
        </w:rPr>
        <w:t>съфинансирани</w:t>
      </w:r>
      <w:proofErr w:type="spellEnd"/>
      <w:r w:rsidRPr="00F42046">
        <w:rPr>
          <w:bCs/>
        </w:rPr>
        <w:t xml:space="preserve"> от Европейския фонд за регионално развитие, Европейския социален фонд (включително Инициативата за младежка заетост), </w:t>
      </w:r>
      <w:proofErr w:type="spellStart"/>
      <w:r w:rsidRPr="00F42046">
        <w:rPr>
          <w:bCs/>
        </w:rPr>
        <w:t>Кохезионния</w:t>
      </w:r>
      <w:proofErr w:type="spellEnd"/>
      <w:r w:rsidRPr="00F42046">
        <w:rPr>
          <w:bCs/>
        </w:rPr>
        <w:t xml:space="preserve"> фонд и Фонда за европейско подпомагане на най-нуждаещите се лица (ФЕПНЛ) на ЕС за финансовата рамка 2014–2020 г., Финансовия механизъм на Европейското икономическо пространство (ФМ на ЕИП) 2009–2014 г. и 2014–2021 г., Норвежкия финансов механизъм (НФМ) 2009–2014 г. и 2014–2021 г., двустранните програми за трансгранично сътрудничество по външните граници на EС (ПТСВГ) за периода 2007–2013 г. и 2014–2020 г., Българо-швейцарската програма за сътрудничество (БШПС) и програма ИСПА/</w:t>
      </w:r>
      <w:proofErr w:type="spellStart"/>
      <w:r w:rsidRPr="00F42046">
        <w:rPr>
          <w:bCs/>
        </w:rPr>
        <w:t>Кохезионен</w:t>
      </w:r>
      <w:proofErr w:type="spellEnd"/>
      <w:r w:rsidRPr="00F42046">
        <w:rPr>
          <w:bCs/>
        </w:rPr>
        <w:t xml:space="preserve"> фонд (Регламент 1164/94), като в тази сума са включени и отразените (нето) в отчетността на НФ операции по постъпването по банковите бюджетни сметки на Министерство на регионалното развитие и благоустройството (МРРБ) на чуждото финансиране по ПТСВГ и изплатените средства от получения ресурс к</w:t>
      </w:r>
      <w:r>
        <w:rPr>
          <w:bCs/>
        </w:rPr>
        <w:t>ъм бенефициенти извън страната.</w:t>
      </w:r>
    </w:p>
    <w:p w:rsidR="00022B97" w:rsidRPr="00F42046" w:rsidRDefault="00022B97" w:rsidP="00022B97">
      <w:pPr>
        <w:pStyle w:val="BodyTextIndent"/>
        <w:ind w:firstLine="686"/>
        <w:jc w:val="both"/>
        <w:rPr>
          <w:bCs/>
        </w:rPr>
      </w:pPr>
      <w:r w:rsidRPr="00E2760B">
        <w:rPr>
          <w:bCs/>
        </w:rPr>
        <w:lastRenderedPageBreak/>
        <w:t xml:space="preserve">Спрямо заложените приходи в план-сметката на НФ изпълнението </w:t>
      </w:r>
      <w:r w:rsidR="00A92D5F">
        <w:rPr>
          <w:bCs/>
        </w:rPr>
        <w:t xml:space="preserve">за </w:t>
      </w:r>
      <w:r w:rsidRPr="00E2760B">
        <w:rPr>
          <w:bCs/>
        </w:rPr>
        <w:t>2019 г. е в размер на 106</w:t>
      </w:r>
      <w:r>
        <w:rPr>
          <w:bCs/>
        </w:rPr>
        <w:t>,</w:t>
      </w:r>
      <w:r w:rsidRPr="00E2760B">
        <w:rPr>
          <w:bCs/>
        </w:rPr>
        <w:t>8</w:t>
      </w:r>
      <w:r>
        <w:rPr>
          <w:bCs/>
        </w:rPr>
        <w:t xml:space="preserve"> </w:t>
      </w:r>
      <w:r w:rsidRPr="00E2760B">
        <w:rPr>
          <w:bCs/>
        </w:rPr>
        <w:t>%.</w:t>
      </w:r>
    </w:p>
    <w:p w:rsidR="00022B97" w:rsidRPr="008647FA" w:rsidRDefault="00022B97" w:rsidP="00022B97">
      <w:pPr>
        <w:pStyle w:val="BodyTextIndent"/>
        <w:ind w:firstLine="686"/>
        <w:jc w:val="both"/>
        <w:rPr>
          <w:bCs/>
          <w:color w:val="0070C0"/>
        </w:rPr>
      </w:pPr>
      <w:r w:rsidRPr="00CC05D4">
        <w:rPr>
          <w:bCs/>
        </w:rPr>
        <w:t>Извършените разходи (нето) за периода с натрупване чрез сметките на НФ възлизат на 620</w:t>
      </w:r>
      <w:r>
        <w:rPr>
          <w:bCs/>
        </w:rPr>
        <w:t>,</w:t>
      </w:r>
      <w:r w:rsidRPr="00CC05D4">
        <w:rPr>
          <w:bCs/>
        </w:rPr>
        <w:t>8 млн. лева. По видове разходи изпълнението е както следва: 71</w:t>
      </w:r>
      <w:r>
        <w:rPr>
          <w:bCs/>
        </w:rPr>
        <w:t>,</w:t>
      </w:r>
      <w:r w:rsidRPr="00CC05D4">
        <w:rPr>
          <w:bCs/>
        </w:rPr>
        <w:t>69</w:t>
      </w:r>
      <w:r>
        <w:rPr>
          <w:bCs/>
        </w:rPr>
        <w:t xml:space="preserve"> </w:t>
      </w:r>
      <w:r w:rsidRPr="00CC05D4">
        <w:rPr>
          <w:bCs/>
        </w:rPr>
        <w:t>% от общата стойност са капиталови трансфери, 26</w:t>
      </w:r>
      <w:r>
        <w:rPr>
          <w:bCs/>
        </w:rPr>
        <w:t>,</w:t>
      </w:r>
      <w:r w:rsidRPr="00CC05D4">
        <w:rPr>
          <w:bCs/>
        </w:rPr>
        <w:t>8</w:t>
      </w:r>
      <w:r w:rsidRPr="00E74067">
        <w:rPr>
          <w:bCs/>
          <w:lang w:val="ru-RU"/>
        </w:rPr>
        <w:t>0</w:t>
      </w:r>
      <w:r>
        <w:rPr>
          <w:bCs/>
          <w:lang w:val="ru-RU"/>
        </w:rPr>
        <w:t xml:space="preserve"> </w:t>
      </w:r>
      <w:r w:rsidRPr="00CC05D4">
        <w:rPr>
          <w:bCs/>
        </w:rPr>
        <w:t>% са субсидии, 1</w:t>
      </w:r>
      <w:r>
        <w:rPr>
          <w:bCs/>
        </w:rPr>
        <w:t>,</w:t>
      </w:r>
      <w:r w:rsidRPr="00CC05D4">
        <w:rPr>
          <w:bCs/>
        </w:rPr>
        <w:t>50</w:t>
      </w:r>
      <w:r>
        <w:rPr>
          <w:bCs/>
        </w:rPr>
        <w:t xml:space="preserve"> </w:t>
      </w:r>
      <w:r w:rsidRPr="00CC05D4">
        <w:rPr>
          <w:bCs/>
        </w:rPr>
        <w:t>% предоставени текущи и капиталови трансфери за чужбина и 0</w:t>
      </w:r>
      <w:r>
        <w:rPr>
          <w:bCs/>
        </w:rPr>
        <w:t>,</w:t>
      </w:r>
      <w:proofErr w:type="spellStart"/>
      <w:r w:rsidRPr="00CC05D4">
        <w:rPr>
          <w:bCs/>
        </w:rPr>
        <w:t>0</w:t>
      </w:r>
      <w:proofErr w:type="spellEnd"/>
      <w:r w:rsidRPr="00CC05D4">
        <w:rPr>
          <w:bCs/>
          <w:lang w:val="ru-RU"/>
        </w:rPr>
        <w:t>1</w:t>
      </w:r>
      <w:r>
        <w:rPr>
          <w:bCs/>
          <w:lang w:val="ru-RU"/>
        </w:rPr>
        <w:t xml:space="preserve"> </w:t>
      </w:r>
      <w:r w:rsidRPr="00CC05D4">
        <w:rPr>
          <w:bCs/>
        </w:rPr>
        <w:t>% - издръжка.</w:t>
      </w:r>
    </w:p>
    <w:p w:rsidR="00022B97" w:rsidRDefault="00022B97" w:rsidP="00022B97">
      <w:pPr>
        <w:pStyle w:val="BodyTextIndent"/>
        <w:ind w:firstLine="686"/>
        <w:jc w:val="both"/>
        <w:rPr>
          <w:bCs/>
          <w:color w:val="0070C0"/>
        </w:rPr>
      </w:pPr>
      <w:r w:rsidRPr="00E778F9">
        <w:rPr>
          <w:bCs/>
        </w:rPr>
        <w:t>Трансферите (нето), временните безлихвени заеми (нето) и временна възмездна финансова помощ за разглеждания период са на стойност 1</w:t>
      </w:r>
      <w:r>
        <w:rPr>
          <w:bCs/>
        </w:rPr>
        <w:t> </w:t>
      </w:r>
      <w:r w:rsidRPr="00E778F9">
        <w:rPr>
          <w:bCs/>
        </w:rPr>
        <w:t>50</w:t>
      </w:r>
      <w:r w:rsidRPr="00E74067">
        <w:rPr>
          <w:bCs/>
          <w:lang w:val="ru-RU"/>
        </w:rPr>
        <w:t>0</w:t>
      </w:r>
      <w:r>
        <w:rPr>
          <w:bCs/>
          <w:lang w:val="ru-RU"/>
        </w:rPr>
        <w:t>,</w:t>
      </w:r>
      <w:r w:rsidRPr="003111E4">
        <w:rPr>
          <w:bCs/>
          <w:lang w:val="ru-RU"/>
        </w:rPr>
        <w:t>7</w:t>
      </w:r>
      <w:r w:rsidRPr="00E778F9">
        <w:rPr>
          <w:bCs/>
        </w:rPr>
        <w:t xml:space="preserve"> млн. лв. (включват предоставените трансфери към бенефициенти по Оперативните програми (ОП) на ЕС - програмен период 2014 – 2020 г., ПТСВГ за периода 2014 – 2020 г., ФМ на ЕИП и 2009 – 2014 г., НФМ 2009 – 2014 г. и за периода 2014–2021 г. и БШПС, както и възстановени трансфери за неусвоени суми </w:t>
      </w:r>
      <w:r>
        <w:rPr>
          <w:bCs/>
        </w:rPr>
        <w:t xml:space="preserve">по </w:t>
      </w:r>
      <w:r w:rsidRPr="00E778F9">
        <w:rPr>
          <w:bCs/>
        </w:rPr>
        <w:t>приключили проекти, недопустими разходи и др. суми от бенефициенти-бюджетни организации. В консолидираната отчетност на НФ са отразени и трансфери (нето) към бенефициенти, които са за сметка на средства, предоставени на МРРБ от държавите-партньори по ПТСВГ.</w:t>
      </w:r>
    </w:p>
    <w:p w:rsidR="00022B97" w:rsidRPr="008647FA" w:rsidRDefault="00022B97" w:rsidP="00022B97">
      <w:pPr>
        <w:pStyle w:val="BodyTextIndent"/>
        <w:ind w:firstLine="686"/>
        <w:jc w:val="both"/>
        <w:rPr>
          <w:bCs/>
          <w:color w:val="0070C0"/>
        </w:rPr>
      </w:pPr>
      <w:r w:rsidRPr="0031799F">
        <w:rPr>
          <w:bCs/>
        </w:rPr>
        <w:t xml:space="preserve">Спрямо заложените разходи и трансфери в план-сметката на НФ изпълнението за 2019 г. е </w:t>
      </w:r>
      <w:r w:rsidRPr="003111E4">
        <w:rPr>
          <w:bCs/>
        </w:rPr>
        <w:t>83</w:t>
      </w:r>
      <w:r>
        <w:rPr>
          <w:bCs/>
        </w:rPr>
        <w:t>,3</w:t>
      </w:r>
      <w:r>
        <w:rPr>
          <w:bCs/>
          <w:lang w:val="ru-RU"/>
        </w:rPr>
        <w:t xml:space="preserve"> </w:t>
      </w:r>
      <w:r w:rsidRPr="003111E4">
        <w:rPr>
          <w:bCs/>
        </w:rPr>
        <w:t>%.</w:t>
      </w:r>
    </w:p>
    <w:p w:rsidR="00022B97" w:rsidRPr="008647FA" w:rsidRDefault="00022B97" w:rsidP="00022B97">
      <w:pPr>
        <w:pStyle w:val="BodyTextIndent"/>
        <w:ind w:firstLine="686"/>
        <w:jc w:val="both"/>
        <w:rPr>
          <w:bCs/>
          <w:color w:val="0070C0"/>
        </w:rPr>
      </w:pPr>
      <w:r w:rsidRPr="00974E7E">
        <w:rPr>
          <w:bCs/>
        </w:rPr>
        <w:t>Във връзка с изпълнение на ОП - програмен период 2014 – 2020 г., ЕИП и НФМ 2014–2021 г. и ПТСВГ 2014 – 2020 г. по сметките на НФ са получени трансфери от централния бюджет на стойност 330</w:t>
      </w:r>
      <w:r>
        <w:rPr>
          <w:bCs/>
        </w:rPr>
        <w:t>,</w:t>
      </w:r>
      <w:r w:rsidRPr="00974E7E">
        <w:rPr>
          <w:bCs/>
        </w:rPr>
        <w:t>6 млн. лева.</w:t>
      </w:r>
    </w:p>
    <w:p w:rsidR="00022B97" w:rsidRPr="008647FA" w:rsidRDefault="00022B97" w:rsidP="00022B97">
      <w:pPr>
        <w:pStyle w:val="BodyTextIndent"/>
        <w:ind w:firstLine="686"/>
        <w:jc w:val="both"/>
        <w:rPr>
          <w:bCs/>
          <w:color w:val="0070C0"/>
        </w:rPr>
      </w:pPr>
      <w:r w:rsidRPr="00B6334B">
        <w:rPr>
          <w:bCs/>
        </w:rPr>
        <w:t xml:space="preserve">Общата сума от други приходи, постъпили по сметките на НФ, </w:t>
      </w:r>
      <w:r>
        <w:rPr>
          <w:bCs/>
        </w:rPr>
        <w:t>е</w:t>
      </w:r>
      <w:r w:rsidRPr="00B6334B">
        <w:rPr>
          <w:bCs/>
        </w:rPr>
        <w:t xml:space="preserve"> в размер на 0</w:t>
      </w:r>
      <w:r>
        <w:rPr>
          <w:bCs/>
        </w:rPr>
        <w:t>,</w:t>
      </w:r>
      <w:r w:rsidRPr="00B6334B">
        <w:rPr>
          <w:bCs/>
          <w:lang w:val="ru-RU"/>
        </w:rPr>
        <w:t>3</w:t>
      </w:r>
      <w:r w:rsidRPr="00B6334B">
        <w:rPr>
          <w:bCs/>
        </w:rPr>
        <w:t xml:space="preserve"> млн.</w:t>
      </w:r>
      <w:r>
        <w:rPr>
          <w:bCs/>
        </w:rPr>
        <w:t> </w:t>
      </w:r>
      <w:r w:rsidRPr="00B6334B">
        <w:rPr>
          <w:bCs/>
        </w:rPr>
        <w:t>лв. като в тази сума влизат и натрупаните лихви в резултат на управлението на свободните средства в обслужващите търговски банки, както и получени наказателни лихви.</w:t>
      </w:r>
    </w:p>
    <w:p w:rsidR="00022B97" w:rsidRPr="008647FA" w:rsidRDefault="00022B97" w:rsidP="00022B97">
      <w:pPr>
        <w:pStyle w:val="BodyTextIndent"/>
        <w:ind w:firstLine="686"/>
        <w:jc w:val="both"/>
        <w:rPr>
          <w:bCs/>
          <w:color w:val="0070C0"/>
        </w:rPr>
      </w:pPr>
      <w:r w:rsidRPr="00903963">
        <w:rPr>
          <w:bCs/>
        </w:rPr>
        <w:t>Наличностите по сметката за средства от ЕС на НФ към 31.12.2019 г. възлизат на 3</w:t>
      </w:r>
      <w:r>
        <w:rPr>
          <w:bCs/>
        </w:rPr>
        <w:t> </w:t>
      </w:r>
      <w:r w:rsidRPr="00903963">
        <w:rPr>
          <w:bCs/>
          <w:lang w:val="ru-RU"/>
        </w:rPr>
        <w:t>059</w:t>
      </w:r>
      <w:r>
        <w:rPr>
          <w:bCs/>
          <w:lang w:val="ru-RU"/>
        </w:rPr>
        <w:t>,</w:t>
      </w:r>
      <w:r w:rsidRPr="00903963">
        <w:rPr>
          <w:bCs/>
          <w:lang w:val="ru-RU"/>
        </w:rPr>
        <w:t>4</w:t>
      </w:r>
      <w:r w:rsidRPr="00903963">
        <w:rPr>
          <w:bCs/>
        </w:rPr>
        <w:t xml:space="preserve"> млн. лв. (в отчета на НФ са включени и наличностите на Фонда мениджър на финансови инструменти в България (Фонд на фондовете), които са на стойност 233</w:t>
      </w:r>
      <w:r>
        <w:rPr>
          <w:bCs/>
        </w:rPr>
        <w:t>,</w:t>
      </w:r>
      <w:r w:rsidRPr="00903963">
        <w:rPr>
          <w:bCs/>
        </w:rPr>
        <w:t>3 млн.</w:t>
      </w:r>
      <w:r>
        <w:rPr>
          <w:bCs/>
        </w:rPr>
        <w:t> </w:t>
      </w:r>
      <w:r w:rsidRPr="00903963">
        <w:rPr>
          <w:bCs/>
        </w:rPr>
        <w:t>лв.), като в БНБ наличните средства са в размер на 3</w:t>
      </w:r>
      <w:r>
        <w:rPr>
          <w:bCs/>
        </w:rPr>
        <w:t> </w:t>
      </w:r>
      <w:r w:rsidRPr="00903963">
        <w:rPr>
          <w:bCs/>
          <w:lang w:val="ru-RU"/>
        </w:rPr>
        <w:t>055</w:t>
      </w:r>
      <w:r>
        <w:rPr>
          <w:bCs/>
          <w:lang w:val="ru-RU"/>
        </w:rPr>
        <w:t>,</w:t>
      </w:r>
      <w:r w:rsidRPr="00903963">
        <w:rPr>
          <w:bCs/>
          <w:lang w:val="ru-RU"/>
        </w:rPr>
        <w:t>2</w:t>
      </w:r>
      <w:r w:rsidRPr="00903963">
        <w:rPr>
          <w:bCs/>
        </w:rPr>
        <w:t xml:space="preserve"> млн. лв., а в търговските банки (</w:t>
      </w:r>
      <w:proofErr w:type="spellStart"/>
      <w:r w:rsidRPr="00903963">
        <w:rPr>
          <w:bCs/>
        </w:rPr>
        <w:t>УниКредит</w:t>
      </w:r>
      <w:proofErr w:type="spellEnd"/>
      <w:r w:rsidRPr="00903963">
        <w:rPr>
          <w:bCs/>
        </w:rPr>
        <w:t xml:space="preserve"> Булбанк АД и Банка ДСК ЕАД) са в размер на 4</w:t>
      </w:r>
      <w:r>
        <w:rPr>
          <w:bCs/>
        </w:rPr>
        <w:t>,</w:t>
      </w:r>
      <w:r w:rsidRPr="00903963">
        <w:rPr>
          <w:bCs/>
        </w:rPr>
        <w:t>2 млн. лева.</w:t>
      </w:r>
    </w:p>
    <w:p w:rsidR="00022B97" w:rsidRPr="00655398" w:rsidRDefault="00022B97" w:rsidP="00022B97">
      <w:pPr>
        <w:pStyle w:val="BodyTextIndent"/>
        <w:spacing w:before="120"/>
        <w:ind w:left="544" w:firstLine="425"/>
        <w:jc w:val="both"/>
        <w:rPr>
          <w:b/>
          <w:bCs/>
        </w:rPr>
      </w:pPr>
      <w:r w:rsidRPr="00655398">
        <w:rPr>
          <w:b/>
          <w:bCs/>
        </w:rPr>
        <w:t xml:space="preserve">Структурни и </w:t>
      </w:r>
      <w:proofErr w:type="spellStart"/>
      <w:r w:rsidRPr="00655398">
        <w:rPr>
          <w:b/>
          <w:bCs/>
        </w:rPr>
        <w:t>Кохезионен</w:t>
      </w:r>
      <w:proofErr w:type="spellEnd"/>
      <w:r w:rsidRPr="00655398">
        <w:rPr>
          <w:b/>
          <w:bCs/>
        </w:rPr>
        <w:t xml:space="preserve"> фондове (СКФ) 2007 – 2013 г.</w:t>
      </w:r>
    </w:p>
    <w:p w:rsidR="00022B97" w:rsidRPr="008647FA" w:rsidRDefault="00022B97" w:rsidP="00022B97">
      <w:pPr>
        <w:pStyle w:val="BodyTextIndent"/>
        <w:ind w:firstLine="686"/>
        <w:jc w:val="both"/>
        <w:rPr>
          <w:b/>
          <w:bCs/>
          <w:color w:val="0070C0"/>
        </w:rPr>
      </w:pPr>
      <w:r w:rsidRPr="00655398">
        <w:rPr>
          <w:bCs/>
        </w:rPr>
        <w:t xml:space="preserve">Във връзка със затваряне на Оперативните програми, </w:t>
      </w:r>
      <w:proofErr w:type="spellStart"/>
      <w:r w:rsidRPr="00655398">
        <w:rPr>
          <w:bCs/>
        </w:rPr>
        <w:t>съфинансирани</w:t>
      </w:r>
      <w:proofErr w:type="spellEnd"/>
      <w:r w:rsidRPr="00655398">
        <w:rPr>
          <w:bCs/>
        </w:rPr>
        <w:t xml:space="preserve"> </w:t>
      </w:r>
      <w:r w:rsidRPr="000C5461">
        <w:rPr>
          <w:bCs/>
        </w:rPr>
        <w:t>от СКФ 2007-2013 г., през отчетния период са получени окончателни плащания на обща стойност 36</w:t>
      </w:r>
      <w:r>
        <w:rPr>
          <w:bCs/>
        </w:rPr>
        <w:t>,</w:t>
      </w:r>
      <w:r w:rsidRPr="000C5461">
        <w:rPr>
          <w:bCs/>
        </w:rPr>
        <w:t>0 млн. лева.</w:t>
      </w:r>
    </w:p>
    <w:p w:rsidR="00022B97" w:rsidRPr="00655398" w:rsidRDefault="00022B97" w:rsidP="00022B97">
      <w:pPr>
        <w:pStyle w:val="BodyTextIndent"/>
        <w:ind w:firstLine="686"/>
        <w:jc w:val="both"/>
        <w:rPr>
          <w:bCs/>
        </w:rPr>
      </w:pPr>
      <w:r w:rsidRPr="00655398">
        <w:rPr>
          <w:bCs/>
        </w:rPr>
        <w:t>През отчетния период са постъпили (нето) възстановени суми от бенефициенти по сметките на Национален фонд на стойност на 0</w:t>
      </w:r>
      <w:r>
        <w:rPr>
          <w:bCs/>
        </w:rPr>
        <w:t>,</w:t>
      </w:r>
      <w:r w:rsidRPr="00655398">
        <w:rPr>
          <w:bCs/>
        </w:rPr>
        <w:t>9 млн. л</w:t>
      </w:r>
      <w:r>
        <w:rPr>
          <w:bCs/>
        </w:rPr>
        <w:t>е</w:t>
      </w:r>
      <w:r w:rsidRPr="00655398">
        <w:rPr>
          <w:bCs/>
        </w:rPr>
        <w:t>в</w:t>
      </w:r>
      <w:r>
        <w:rPr>
          <w:bCs/>
        </w:rPr>
        <w:t>а</w:t>
      </w:r>
      <w:r w:rsidRPr="00655398">
        <w:rPr>
          <w:bCs/>
        </w:rPr>
        <w:t>.</w:t>
      </w:r>
    </w:p>
    <w:p w:rsidR="00022B97" w:rsidRPr="008647FA" w:rsidRDefault="00022B97" w:rsidP="00022B97">
      <w:pPr>
        <w:pStyle w:val="BodyTextIndent"/>
        <w:ind w:firstLine="686"/>
        <w:jc w:val="both"/>
        <w:rPr>
          <w:bCs/>
          <w:color w:val="0070C0"/>
        </w:rPr>
      </w:pPr>
      <w:r w:rsidRPr="00655398">
        <w:rPr>
          <w:bCs/>
        </w:rPr>
        <w:t>През отчетния период е възстановено авансово финансиране, предоставено по реда на ДДС</w:t>
      </w:r>
      <w:r>
        <w:rPr>
          <w:bCs/>
        </w:rPr>
        <w:t xml:space="preserve"> </w:t>
      </w:r>
      <w:r w:rsidRPr="00655398">
        <w:rPr>
          <w:bCs/>
        </w:rPr>
        <w:t>6/2011 г. на бюджетни организации на стойност на 3</w:t>
      </w:r>
      <w:r>
        <w:rPr>
          <w:bCs/>
        </w:rPr>
        <w:t>,</w:t>
      </w:r>
      <w:r w:rsidRPr="00655398">
        <w:rPr>
          <w:bCs/>
        </w:rPr>
        <w:t>7 млн. л</w:t>
      </w:r>
      <w:r>
        <w:rPr>
          <w:bCs/>
        </w:rPr>
        <w:t>е</w:t>
      </w:r>
      <w:r w:rsidRPr="00655398">
        <w:rPr>
          <w:bCs/>
        </w:rPr>
        <w:t>в</w:t>
      </w:r>
      <w:r>
        <w:rPr>
          <w:bCs/>
        </w:rPr>
        <w:t>а</w:t>
      </w:r>
      <w:r w:rsidRPr="00655398">
        <w:rPr>
          <w:bCs/>
        </w:rPr>
        <w:t>.</w:t>
      </w:r>
      <w:r w:rsidRPr="008647FA">
        <w:rPr>
          <w:bCs/>
          <w:color w:val="0070C0"/>
        </w:rPr>
        <w:t xml:space="preserve"> </w:t>
      </w:r>
    </w:p>
    <w:p w:rsidR="00022B97" w:rsidRPr="003111E4" w:rsidRDefault="00022B97" w:rsidP="00022B97">
      <w:pPr>
        <w:pStyle w:val="BodyTextIndent"/>
        <w:spacing w:before="120"/>
        <w:ind w:firstLine="686"/>
        <w:jc w:val="both"/>
        <w:rPr>
          <w:b/>
          <w:bCs/>
        </w:rPr>
      </w:pPr>
      <w:r w:rsidRPr="003111E4">
        <w:rPr>
          <w:bCs/>
        </w:rPr>
        <w:t xml:space="preserve"> </w:t>
      </w:r>
      <w:r w:rsidRPr="003111E4">
        <w:rPr>
          <w:b/>
          <w:bCs/>
        </w:rPr>
        <w:t xml:space="preserve">Европейски фонд за регионално развитие, Европейски социален фонд (включително Инициативата за младежка заетост), </w:t>
      </w:r>
      <w:proofErr w:type="spellStart"/>
      <w:r w:rsidRPr="003111E4">
        <w:rPr>
          <w:b/>
          <w:bCs/>
        </w:rPr>
        <w:t>Кохезионния</w:t>
      </w:r>
      <w:proofErr w:type="spellEnd"/>
      <w:r w:rsidRPr="003111E4">
        <w:rPr>
          <w:b/>
          <w:bCs/>
        </w:rPr>
        <w:t xml:space="preserve"> фонд и ФЕПНЛ на Европейския съюз за финансова рамка 2014 – 2020 г.</w:t>
      </w:r>
    </w:p>
    <w:p w:rsidR="00022B97" w:rsidRPr="008647FA" w:rsidRDefault="00022B97" w:rsidP="00022B97">
      <w:pPr>
        <w:pStyle w:val="BodyTextIndent"/>
        <w:ind w:firstLine="686"/>
        <w:jc w:val="both"/>
        <w:rPr>
          <w:bCs/>
          <w:color w:val="0070C0"/>
        </w:rPr>
      </w:pPr>
      <w:r w:rsidRPr="006C6427">
        <w:rPr>
          <w:bCs/>
        </w:rPr>
        <w:t xml:space="preserve">Общо получените средства </w:t>
      </w:r>
      <w:r w:rsidRPr="00D529B4">
        <w:rPr>
          <w:bCs/>
        </w:rPr>
        <w:t>(нето)</w:t>
      </w:r>
      <w:r>
        <w:rPr>
          <w:bCs/>
        </w:rPr>
        <w:t xml:space="preserve"> </w:t>
      </w:r>
      <w:r w:rsidRPr="006C6427">
        <w:rPr>
          <w:bCs/>
        </w:rPr>
        <w:t>от ЕК за периода са в размер на 1</w:t>
      </w:r>
      <w:r>
        <w:rPr>
          <w:bCs/>
        </w:rPr>
        <w:t> </w:t>
      </w:r>
      <w:r w:rsidRPr="006C6427">
        <w:rPr>
          <w:bCs/>
        </w:rPr>
        <w:t>631</w:t>
      </w:r>
      <w:r>
        <w:rPr>
          <w:bCs/>
        </w:rPr>
        <w:t>,</w:t>
      </w:r>
      <w:r w:rsidRPr="006C6427">
        <w:rPr>
          <w:bCs/>
        </w:rPr>
        <w:t>5 млн. лв. и са разпределени както следва:</w:t>
      </w:r>
    </w:p>
    <w:p w:rsidR="00022B97" w:rsidRPr="009E0558" w:rsidRDefault="00022B97" w:rsidP="00022B97">
      <w:pPr>
        <w:pStyle w:val="BodyTextIndent"/>
        <w:numPr>
          <w:ilvl w:val="0"/>
          <w:numId w:val="12"/>
        </w:numPr>
        <w:tabs>
          <w:tab w:val="clear" w:pos="1101"/>
          <w:tab w:val="num" w:pos="786"/>
        </w:tabs>
        <w:spacing w:after="0"/>
        <w:ind w:left="786"/>
        <w:jc w:val="both"/>
        <w:rPr>
          <w:bCs/>
        </w:rPr>
      </w:pPr>
      <w:r w:rsidRPr="009E0558">
        <w:rPr>
          <w:bCs/>
        </w:rPr>
        <w:t xml:space="preserve">ОП „Иновации и конкурентоспособност” – 279,7 млн. лв.;  </w:t>
      </w:r>
    </w:p>
    <w:p w:rsidR="00022B97" w:rsidRPr="009E0558" w:rsidRDefault="00022B97" w:rsidP="00022B97">
      <w:pPr>
        <w:pStyle w:val="BodyTextIndent"/>
        <w:numPr>
          <w:ilvl w:val="0"/>
          <w:numId w:val="12"/>
        </w:numPr>
        <w:tabs>
          <w:tab w:val="clear" w:pos="1101"/>
          <w:tab w:val="num" w:pos="786"/>
        </w:tabs>
        <w:spacing w:after="0"/>
        <w:ind w:left="786"/>
        <w:jc w:val="both"/>
        <w:rPr>
          <w:bCs/>
        </w:rPr>
      </w:pPr>
      <w:r w:rsidRPr="009E0558">
        <w:rPr>
          <w:bCs/>
        </w:rPr>
        <w:t>ОП „Добро управление” – 62,4 млн. лв.;</w:t>
      </w:r>
    </w:p>
    <w:p w:rsidR="00022B97" w:rsidRPr="009E0558" w:rsidRDefault="00022B97" w:rsidP="00022B97">
      <w:pPr>
        <w:pStyle w:val="BodyTextIndent"/>
        <w:numPr>
          <w:ilvl w:val="0"/>
          <w:numId w:val="12"/>
        </w:numPr>
        <w:tabs>
          <w:tab w:val="clear" w:pos="1101"/>
          <w:tab w:val="num" w:pos="786"/>
        </w:tabs>
        <w:spacing w:after="0"/>
        <w:ind w:left="786"/>
        <w:jc w:val="both"/>
        <w:rPr>
          <w:bCs/>
        </w:rPr>
      </w:pPr>
      <w:r w:rsidRPr="009E0558">
        <w:rPr>
          <w:bCs/>
        </w:rPr>
        <w:t>ОП „Транспорт и транспортна инфраструктура” – 254,9 млн. лв.;</w:t>
      </w:r>
    </w:p>
    <w:p w:rsidR="00022B97" w:rsidRPr="009E0558" w:rsidRDefault="00022B97" w:rsidP="00022B97">
      <w:pPr>
        <w:pStyle w:val="BodyTextIndent"/>
        <w:numPr>
          <w:ilvl w:val="0"/>
          <w:numId w:val="12"/>
        </w:numPr>
        <w:tabs>
          <w:tab w:val="clear" w:pos="1101"/>
          <w:tab w:val="num" w:pos="786"/>
        </w:tabs>
        <w:spacing w:after="0"/>
        <w:ind w:left="786"/>
        <w:jc w:val="both"/>
        <w:rPr>
          <w:bCs/>
        </w:rPr>
      </w:pPr>
      <w:r w:rsidRPr="009E0558">
        <w:rPr>
          <w:bCs/>
        </w:rPr>
        <w:t>ОП „Околна среда 2014 – 2020 г.“ – 230,0 млн. лв.;</w:t>
      </w:r>
    </w:p>
    <w:p w:rsidR="00022B97" w:rsidRPr="009E0558" w:rsidRDefault="00022B97" w:rsidP="00022B97">
      <w:pPr>
        <w:pStyle w:val="BodyTextIndent"/>
        <w:numPr>
          <w:ilvl w:val="0"/>
          <w:numId w:val="12"/>
        </w:numPr>
        <w:tabs>
          <w:tab w:val="clear" w:pos="1101"/>
          <w:tab w:val="num" w:pos="786"/>
        </w:tabs>
        <w:spacing w:after="0"/>
        <w:ind w:left="786"/>
        <w:jc w:val="both"/>
        <w:rPr>
          <w:bCs/>
        </w:rPr>
      </w:pPr>
      <w:r w:rsidRPr="009E0558">
        <w:rPr>
          <w:bCs/>
        </w:rPr>
        <w:t>ОП „Развитие на човешките ресурси 2014 - 2020 г.” – 291,5 млн. лв.;</w:t>
      </w:r>
    </w:p>
    <w:p w:rsidR="00022B97" w:rsidRPr="009E0558" w:rsidRDefault="00022B97" w:rsidP="00022B97">
      <w:pPr>
        <w:pStyle w:val="BodyTextIndent"/>
        <w:numPr>
          <w:ilvl w:val="0"/>
          <w:numId w:val="12"/>
        </w:numPr>
        <w:tabs>
          <w:tab w:val="clear" w:pos="1101"/>
          <w:tab w:val="num" w:pos="786"/>
        </w:tabs>
        <w:spacing w:after="0"/>
        <w:ind w:left="786"/>
        <w:jc w:val="both"/>
        <w:rPr>
          <w:bCs/>
        </w:rPr>
      </w:pPr>
      <w:r w:rsidRPr="009E0558">
        <w:rPr>
          <w:bCs/>
        </w:rPr>
        <w:t>Инициативата за младежка заетост – 21,3 млн. лв.;</w:t>
      </w:r>
    </w:p>
    <w:p w:rsidR="00022B97" w:rsidRPr="009E0558" w:rsidRDefault="00022B97" w:rsidP="00022B97">
      <w:pPr>
        <w:pStyle w:val="BodyTextIndent"/>
        <w:numPr>
          <w:ilvl w:val="0"/>
          <w:numId w:val="12"/>
        </w:numPr>
        <w:tabs>
          <w:tab w:val="clear" w:pos="1101"/>
          <w:tab w:val="num" w:pos="786"/>
        </w:tabs>
        <w:spacing w:after="0"/>
        <w:ind w:left="786"/>
        <w:jc w:val="both"/>
        <w:rPr>
          <w:bCs/>
        </w:rPr>
      </w:pPr>
      <w:r w:rsidRPr="009E0558">
        <w:rPr>
          <w:bCs/>
        </w:rPr>
        <w:lastRenderedPageBreak/>
        <w:t>ОП „Региони в растеж“ – 375,1 млн. лв.;</w:t>
      </w:r>
    </w:p>
    <w:p w:rsidR="00022B97" w:rsidRPr="009E0558" w:rsidRDefault="00022B97" w:rsidP="00022B97">
      <w:pPr>
        <w:pStyle w:val="BodyTextIndent"/>
        <w:numPr>
          <w:ilvl w:val="0"/>
          <w:numId w:val="12"/>
        </w:numPr>
        <w:tabs>
          <w:tab w:val="clear" w:pos="1101"/>
          <w:tab w:val="num" w:pos="786"/>
        </w:tabs>
        <w:spacing w:after="0"/>
        <w:ind w:left="786"/>
        <w:jc w:val="both"/>
        <w:rPr>
          <w:bCs/>
        </w:rPr>
      </w:pPr>
      <w:r w:rsidRPr="009E0558">
        <w:rPr>
          <w:bCs/>
        </w:rPr>
        <w:t>ОП за храни и/или основно материално подпомагане от Фонда за европейско подпомагане на най-нуждаещите се лица в България за периода 2014 – 2020 г. – 44,9 млн. лв. и</w:t>
      </w:r>
    </w:p>
    <w:p w:rsidR="00022B97" w:rsidRPr="009E0558" w:rsidRDefault="00022B97" w:rsidP="00022B97">
      <w:pPr>
        <w:pStyle w:val="BodyTextIndent"/>
        <w:numPr>
          <w:ilvl w:val="0"/>
          <w:numId w:val="12"/>
        </w:numPr>
        <w:tabs>
          <w:tab w:val="clear" w:pos="1101"/>
          <w:tab w:val="num" w:pos="786"/>
        </w:tabs>
        <w:spacing w:after="0"/>
        <w:ind w:left="786"/>
        <w:jc w:val="both"/>
        <w:rPr>
          <w:bCs/>
        </w:rPr>
      </w:pPr>
      <w:r w:rsidRPr="009E0558">
        <w:rPr>
          <w:bCs/>
        </w:rPr>
        <w:t>ОП „Наука и образование за интелигентен растеж” – 71,7 млн. лева.</w:t>
      </w:r>
    </w:p>
    <w:p w:rsidR="00022B97" w:rsidRPr="008647FA" w:rsidRDefault="00022B97" w:rsidP="00022B97">
      <w:pPr>
        <w:pStyle w:val="BodyTextIndent"/>
        <w:jc w:val="both"/>
        <w:rPr>
          <w:bCs/>
          <w:color w:val="0070C0"/>
        </w:rPr>
      </w:pPr>
    </w:p>
    <w:p w:rsidR="00022B97" w:rsidRPr="008647FA" w:rsidRDefault="00022B97" w:rsidP="00022B97">
      <w:pPr>
        <w:pStyle w:val="BodyTextIndent"/>
        <w:ind w:left="426" w:firstLine="425"/>
        <w:jc w:val="both"/>
        <w:rPr>
          <w:bCs/>
          <w:color w:val="0070C0"/>
        </w:rPr>
      </w:pPr>
      <w:r w:rsidRPr="00CC0CBF">
        <w:rPr>
          <w:bCs/>
        </w:rPr>
        <w:t>Направените разходи (нето) по Оперативни програми и трансферите (нето) към бюджетни организации и операции с активи са на стойност 2</w:t>
      </w:r>
      <w:r>
        <w:rPr>
          <w:bCs/>
        </w:rPr>
        <w:t> </w:t>
      </w:r>
      <w:r w:rsidRPr="00CC0CBF">
        <w:rPr>
          <w:bCs/>
        </w:rPr>
        <w:t>107</w:t>
      </w:r>
      <w:r>
        <w:rPr>
          <w:bCs/>
        </w:rPr>
        <w:t>,</w:t>
      </w:r>
      <w:r w:rsidRPr="00CC0CBF">
        <w:rPr>
          <w:bCs/>
        </w:rPr>
        <w:t>1 млн. лв., като разпределението по Оперативни програми е следното:</w:t>
      </w:r>
    </w:p>
    <w:p w:rsidR="00022B97" w:rsidRPr="00915793" w:rsidRDefault="00022B97" w:rsidP="00022B97">
      <w:pPr>
        <w:pStyle w:val="BodyTextIndent"/>
        <w:numPr>
          <w:ilvl w:val="0"/>
          <w:numId w:val="12"/>
        </w:numPr>
        <w:tabs>
          <w:tab w:val="clear" w:pos="1101"/>
          <w:tab w:val="num" w:pos="786"/>
        </w:tabs>
        <w:spacing w:after="0"/>
        <w:ind w:left="786"/>
        <w:jc w:val="both"/>
        <w:rPr>
          <w:bCs/>
        </w:rPr>
      </w:pPr>
      <w:r w:rsidRPr="00915793">
        <w:rPr>
          <w:bCs/>
        </w:rPr>
        <w:t>ОП „Развитие на човешкит</w:t>
      </w:r>
      <w:r>
        <w:rPr>
          <w:bCs/>
        </w:rPr>
        <w:t>е ресурси 2014 - 2020 г.” – 367,</w:t>
      </w:r>
      <w:r w:rsidRPr="00915793">
        <w:rPr>
          <w:bCs/>
        </w:rPr>
        <w:t>8 млн. лв.;</w:t>
      </w:r>
    </w:p>
    <w:p w:rsidR="00022B97" w:rsidRPr="00915793" w:rsidRDefault="00022B97" w:rsidP="00022B97">
      <w:pPr>
        <w:pStyle w:val="BodyTextIndent"/>
        <w:numPr>
          <w:ilvl w:val="0"/>
          <w:numId w:val="12"/>
        </w:numPr>
        <w:tabs>
          <w:tab w:val="clear" w:pos="1101"/>
          <w:tab w:val="num" w:pos="786"/>
        </w:tabs>
        <w:spacing w:after="0"/>
        <w:ind w:left="786"/>
        <w:jc w:val="both"/>
        <w:rPr>
          <w:bCs/>
        </w:rPr>
      </w:pPr>
      <w:r w:rsidRPr="00915793">
        <w:rPr>
          <w:bCs/>
        </w:rPr>
        <w:t>Инициативата за младежка заетост – 8</w:t>
      </w:r>
      <w:r>
        <w:rPr>
          <w:bCs/>
        </w:rPr>
        <w:t>,</w:t>
      </w:r>
      <w:proofErr w:type="spellStart"/>
      <w:r w:rsidRPr="00915793">
        <w:rPr>
          <w:bCs/>
        </w:rPr>
        <w:t>8</w:t>
      </w:r>
      <w:proofErr w:type="spellEnd"/>
      <w:r w:rsidRPr="00915793">
        <w:rPr>
          <w:bCs/>
        </w:rPr>
        <w:t xml:space="preserve"> млн. лв.;</w:t>
      </w:r>
    </w:p>
    <w:p w:rsidR="00022B97" w:rsidRPr="00915793" w:rsidRDefault="00022B97" w:rsidP="00022B97">
      <w:pPr>
        <w:pStyle w:val="BodyTextIndent"/>
        <w:numPr>
          <w:ilvl w:val="0"/>
          <w:numId w:val="12"/>
        </w:numPr>
        <w:tabs>
          <w:tab w:val="clear" w:pos="1101"/>
          <w:tab w:val="num" w:pos="786"/>
        </w:tabs>
        <w:spacing w:after="0"/>
        <w:ind w:left="786"/>
        <w:jc w:val="both"/>
        <w:rPr>
          <w:bCs/>
        </w:rPr>
      </w:pPr>
      <w:r w:rsidRPr="00915793">
        <w:rPr>
          <w:bCs/>
        </w:rPr>
        <w:t>ОП за храни и/или основно материално подпомагане от Фонда за европейско подпомагане на най-нуждаещите се лица в България за периода 2014 – 2020 г. – 42</w:t>
      </w:r>
      <w:r>
        <w:rPr>
          <w:bCs/>
        </w:rPr>
        <w:t>,</w:t>
      </w:r>
      <w:r w:rsidRPr="00915793">
        <w:rPr>
          <w:bCs/>
        </w:rPr>
        <w:t>5 млн. лева;</w:t>
      </w:r>
    </w:p>
    <w:p w:rsidR="00022B97" w:rsidRPr="00915793" w:rsidRDefault="00022B97" w:rsidP="00022B97">
      <w:pPr>
        <w:pStyle w:val="BodyTextIndent"/>
        <w:numPr>
          <w:ilvl w:val="0"/>
          <w:numId w:val="12"/>
        </w:numPr>
        <w:tabs>
          <w:tab w:val="clear" w:pos="1101"/>
          <w:tab w:val="num" w:pos="786"/>
        </w:tabs>
        <w:spacing w:after="0"/>
        <w:ind w:left="786"/>
        <w:jc w:val="both"/>
        <w:rPr>
          <w:bCs/>
        </w:rPr>
      </w:pPr>
      <w:r w:rsidRPr="00915793">
        <w:rPr>
          <w:bCs/>
        </w:rPr>
        <w:t>ОП „Иновации и конкурентоспособност” – 288</w:t>
      </w:r>
      <w:r>
        <w:rPr>
          <w:bCs/>
        </w:rPr>
        <w:t>,</w:t>
      </w:r>
      <w:r w:rsidRPr="00915793">
        <w:rPr>
          <w:bCs/>
        </w:rPr>
        <w:t>9 млн. лв.;</w:t>
      </w:r>
    </w:p>
    <w:p w:rsidR="00022B97" w:rsidRPr="00915793" w:rsidRDefault="00022B97" w:rsidP="00022B97">
      <w:pPr>
        <w:pStyle w:val="BodyTextIndent"/>
        <w:numPr>
          <w:ilvl w:val="0"/>
          <w:numId w:val="12"/>
        </w:numPr>
        <w:tabs>
          <w:tab w:val="clear" w:pos="1101"/>
          <w:tab w:val="num" w:pos="786"/>
        </w:tabs>
        <w:spacing w:after="0"/>
        <w:ind w:left="786"/>
        <w:jc w:val="both"/>
        <w:rPr>
          <w:bCs/>
        </w:rPr>
      </w:pPr>
      <w:r w:rsidRPr="00915793">
        <w:rPr>
          <w:bCs/>
        </w:rPr>
        <w:t>ОП „Добро управление” – 76</w:t>
      </w:r>
      <w:r>
        <w:rPr>
          <w:bCs/>
        </w:rPr>
        <w:t>,</w:t>
      </w:r>
      <w:r w:rsidRPr="00915793">
        <w:rPr>
          <w:bCs/>
        </w:rPr>
        <w:t>9 млн. лв.;</w:t>
      </w:r>
    </w:p>
    <w:p w:rsidR="00022B97" w:rsidRPr="00915793" w:rsidRDefault="00022B97" w:rsidP="00022B97">
      <w:pPr>
        <w:pStyle w:val="BodyTextIndent"/>
        <w:numPr>
          <w:ilvl w:val="0"/>
          <w:numId w:val="12"/>
        </w:numPr>
        <w:tabs>
          <w:tab w:val="clear" w:pos="1101"/>
          <w:tab w:val="num" w:pos="786"/>
        </w:tabs>
        <w:spacing w:after="0"/>
        <w:ind w:left="786"/>
        <w:jc w:val="both"/>
        <w:rPr>
          <w:bCs/>
        </w:rPr>
      </w:pPr>
      <w:r w:rsidRPr="00915793">
        <w:rPr>
          <w:bCs/>
        </w:rPr>
        <w:t>ОП „Региони в растеж“ – 417</w:t>
      </w:r>
      <w:r>
        <w:rPr>
          <w:bCs/>
        </w:rPr>
        <w:t>,</w:t>
      </w:r>
      <w:r w:rsidRPr="00915793">
        <w:rPr>
          <w:bCs/>
        </w:rPr>
        <w:t>8 млн. лв.;</w:t>
      </w:r>
    </w:p>
    <w:p w:rsidR="00022B97" w:rsidRPr="00915793" w:rsidRDefault="00022B97" w:rsidP="00022B97">
      <w:pPr>
        <w:pStyle w:val="BodyTextIndent"/>
        <w:numPr>
          <w:ilvl w:val="0"/>
          <w:numId w:val="12"/>
        </w:numPr>
        <w:tabs>
          <w:tab w:val="clear" w:pos="1101"/>
          <w:tab w:val="num" w:pos="786"/>
        </w:tabs>
        <w:spacing w:after="0"/>
        <w:ind w:left="786"/>
        <w:jc w:val="both"/>
        <w:rPr>
          <w:bCs/>
        </w:rPr>
      </w:pPr>
      <w:r w:rsidRPr="00915793">
        <w:rPr>
          <w:bCs/>
        </w:rPr>
        <w:t>ОП „Транспорт и транспортна инфраструктура” – 379</w:t>
      </w:r>
      <w:r>
        <w:rPr>
          <w:bCs/>
        </w:rPr>
        <w:t>,</w:t>
      </w:r>
      <w:r w:rsidRPr="00915793">
        <w:rPr>
          <w:bCs/>
        </w:rPr>
        <w:t>6 млн. лв.;</w:t>
      </w:r>
    </w:p>
    <w:p w:rsidR="00022B97" w:rsidRPr="00915793" w:rsidRDefault="00022B97" w:rsidP="00022B97">
      <w:pPr>
        <w:pStyle w:val="BodyTextIndent"/>
        <w:numPr>
          <w:ilvl w:val="0"/>
          <w:numId w:val="12"/>
        </w:numPr>
        <w:tabs>
          <w:tab w:val="clear" w:pos="1101"/>
          <w:tab w:val="num" w:pos="786"/>
        </w:tabs>
        <w:spacing w:after="0"/>
        <w:ind w:left="786"/>
        <w:jc w:val="both"/>
        <w:rPr>
          <w:bCs/>
        </w:rPr>
      </w:pPr>
      <w:r w:rsidRPr="00915793">
        <w:rPr>
          <w:bCs/>
        </w:rPr>
        <w:t>ОП „Наука и образование за интелигентен растеж” – 141</w:t>
      </w:r>
      <w:r>
        <w:rPr>
          <w:bCs/>
        </w:rPr>
        <w:t>,</w:t>
      </w:r>
      <w:r w:rsidRPr="00915793">
        <w:rPr>
          <w:bCs/>
        </w:rPr>
        <w:t>2 млн. лв. и</w:t>
      </w:r>
    </w:p>
    <w:p w:rsidR="00022B97" w:rsidRPr="00915793" w:rsidRDefault="00022B97" w:rsidP="00022B97">
      <w:pPr>
        <w:pStyle w:val="BodyTextIndent"/>
        <w:numPr>
          <w:ilvl w:val="0"/>
          <w:numId w:val="12"/>
        </w:numPr>
        <w:tabs>
          <w:tab w:val="clear" w:pos="1101"/>
          <w:tab w:val="num" w:pos="786"/>
        </w:tabs>
        <w:spacing w:after="0"/>
        <w:ind w:left="786"/>
        <w:jc w:val="both"/>
        <w:rPr>
          <w:bCs/>
        </w:rPr>
      </w:pPr>
      <w:r w:rsidRPr="00915793">
        <w:rPr>
          <w:bCs/>
        </w:rPr>
        <w:t>ОП „Околна среда 2014 – 2020 г.“ – 383</w:t>
      </w:r>
      <w:r>
        <w:rPr>
          <w:bCs/>
        </w:rPr>
        <w:t>,</w:t>
      </w:r>
      <w:r w:rsidRPr="00915793">
        <w:rPr>
          <w:bCs/>
        </w:rPr>
        <w:t>6 млн. лв.</w:t>
      </w:r>
    </w:p>
    <w:p w:rsidR="00022B97" w:rsidRPr="008647FA" w:rsidRDefault="00022B97" w:rsidP="00022B97">
      <w:pPr>
        <w:pStyle w:val="BodyTextIndent"/>
        <w:ind w:firstLine="786"/>
        <w:jc w:val="both"/>
        <w:rPr>
          <w:bCs/>
          <w:color w:val="0070C0"/>
        </w:rPr>
      </w:pPr>
    </w:p>
    <w:p w:rsidR="00022B97" w:rsidRPr="008647FA" w:rsidRDefault="00022B97" w:rsidP="00022B97">
      <w:pPr>
        <w:pStyle w:val="BodyTextIndent"/>
        <w:jc w:val="both"/>
        <w:rPr>
          <w:bCs/>
          <w:color w:val="0070C0"/>
        </w:rPr>
      </w:pPr>
      <w:r w:rsidRPr="00E00E38">
        <w:rPr>
          <w:bCs/>
        </w:rPr>
        <w:t>Предоставеното авансово финансиране по реда на ДДС 6/2011 г. към бюджетни организации за периода е на стойност 43</w:t>
      </w:r>
      <w:r>
        <w:rPr>
          <w:bCs/>
        </w:rPr>
        <w:t>,</w:t>
      </w:r>
      <w:r w:rsidRPr="00E00E38">
        <w:rPr>
          <w:bCs/>
        </w:rPr>
        <w:t>9 млн. лева, а възстановените средства – 53</w:t>
      </w:r>
      <w:r>
        <w:rPr>
          <w:bCs/>
        </w:rPr>
        <w:t>,</w:t>
      </w:r>
      <w:r w:rsidRPr="00E00E38">
        <w:rPr>
          <w:bCs/>
        </w:rPr>
        <w:t>9 млн. лева.</w:t>
      </w:r>
    </w:p>
    <w:p w:rsidR="00022B97" w:rsidRPr="008647FA" w:rsidRDefault="00022B97" w:rsidP="00022B97">
      <w:pPr>
        <w:pStyle w:val="BodyTextIndent"/>
        <w:jc w:val="both"/>
        <w:rPr>
          <w:bCs/>
          <w:color w:val="0070C0"/>
        </w:rPr>
      </w:pPr>
      <w:r>
        <w:rPr>
          <w:bCs/>
        </w:rPr>
        <w:t>П</w:t>
      </w:r>
      <w:r w:rsidRPr="00E00E38">
        <w:rPr>
          <w:bCs/>
        </w:rPr>
        <w:t>о реда на ДДС</w:t>
      </w:r>
      <w:r>
        <w:rPr>
          <w:bCs/>
        </w:rPr>
        <w:t xml:space="preserve"> </w:t>
      </w:r>
      <w:r w:rsidRPr="00E00E38">
        <w:rPr>
          <w:bCs/>
        </w:rPr>
        <w:t>6/2011 г.</w:t>
      </w:r>
      <w:r>
        <w:rPr>
          <w:bCs/>
        </w:rPr>
        <w:t>, също така е п</w:t>
      </w:r>
      <w:r w:rsidRPr="00E00E38">
        <w:rPr>
          <w:bCs/>
        </w:rPr>
        <w:t>редоставена възмездна финансова помощ в размер на 3</w:t>
      </w:r>
      <w:r>
        <w:rPr>
          <w:bCs/>
        </w:rPr>
        <w:t>,</w:t>
      </w:r>
      <w:r w:rsidRPr="00E00E38">
        <w:rPr>
          <w:bCs/>
        </w:rPr>
        <w:t xml:space="preserve">1 млн. лева </w:t>
      </w:r>
      <w:r w:rsidR="00A92D5F">
        <w:rPr>
          <w:bCs/>
        </w:rPr>
        <w:t>по</w:t>
      </w:r>
      <w:r w:rsidRPr="00E00E38">
        <w:rPr>
          <w:bCs/>
        </w:rPr>
        <w:t xml:space="preserve"> ОП „Транспор</w:t>
      </w:r>
      <w:r>
        <w:rPr>
          <w:bCs/>
        </w:rPr>
        <w:t>т и транспортна инфраструктура”.</w:t>
      </w:r>
    </w:p>
    <w:p w:rsidR="00022B97" w:rsidRPr="00FF5B12" w:rsidRDefault="00022B97" w:rsidP="00022B97">
      <w:pPr>
        <w:pStyle w:val="BodyTextIndent"/>
        <w:spacing w:before="120"/>
        <w:ind w:firstLine="686"/>
        <w:jc w:val="both"/>
        <w:rPr>
          <w:b/>
          <w:bCs/>
        </w:rPr>
      </w:pPr>
      <w:r w:rsidRPr="00FF5B12">
        <w:rPr>
          <w:b/>
          <w:bCs/>
        </w:rPr>
        <w:t>Програма ФАР и Преходен финансов инструмент</w:t>
      </w:r>
    </w:p>
    <w:p w:rsidR="00022B97" w:rsidRPr="008647FA" w:rsidRDefault="00022B97" w:rsidP="00022B97">
      <w:pPr>
        <w:pStyle w:val="BodyTextIndent"/>
        <w:ind w:firstLine="686"/>
        <w:jc w:val="both"/>
        <w:rPr>
          <w:bCs/>
          <w:color w:val="0070C0"/>
        </w:rPr>
      </w:pPr>
      <w:r w:rsidRPr="00FF5B12">
        <w:rPr>
          <w:bCs/>
        </w:rPr>
        <w:t>През отчетния период са възстановени суми от бенефициенти по сметките на Национален фонд на стойност 4</w:t>
      </w:r>
      <w:r w:rsidR="00A92D5F">
        <w:rPr>
          <w:bCs/>
        </w:rPr>
        <w:t>,</w:t>
      </w:r>
      <w:r w:rsidRPr="00FF5B12">
        <w:rPr>
          <w:bCs/>
        </w:rPr>
        <w:t>5 млн. л</w:t>
      </w:r>
      <w:r>
        <w:rPr>
          <w:bCs/>
        </w:rPr>
        <w:t>ева</w:t>
      </w:r>
      <w:r w:rsidRPr="00FF5B12">
        <w:rPr>
          <w:bCs/>
        </w:rPr>
        <w:t>. Възстановени към ЕК са средства в размер на 0</w:t>
      </w:r>
      <w:r>
        <w:rPr>
          <w:bCs/>
        </w:rPr>
        <w:t>,</w:t>
      </w:r>
      <w:r w:rsidRPr="00FF5B12">
        <w:rPr>
          <w:bCs/>
        </w:rPr>
        <w:t>005</w:t>
      </w:r>
      <w:r w:rsidRPr="00FF5B12">
        <w:t xml:space="preserve"> </w:t>
      </w:r>
      <w:r w:rsidRPr="00FF5B12">
        <w:rPr>
          <w:bCs/>
        </w:rPr>
        <w:t>млн. л</w:t>
      </w:r>
      <w:r>
        <w:rPr>
          <w:bCs/>
        </w:rPr>
        <w:t>е</w:t>
      </w:r>
      <w:r w:rsidRPr="00FF5B12">
        <w:rPr>
          <w:bCs/>
        </w:rPr>
        <w:t>в</w:t>
      </w:r>
      <w:r>
        <w:rPr>
          <w:bCs/>
        </w:rPr>
        <w:t>а</w:t>
      </w:r>
      <w:r w:rsidRPr="00FF5B12">
        <w:rPr>
          <w:bCs/>
        </w:rPr>
        <w:t>.</w:t>
      </w:r>
    </w:p>
    <w:p w:rsidR="00022B97" w:rsidRPr="00FF5B12" w:rsidRDefault="00022B97" w:rsidP="00022B97">
      <w:pPr>
        <w:pStyle w:val="BodyTextIndent"/>
        <w:spacing w:before="120"/>
        <w:ind w:firstLine="686"/>
        <w:jc w:val="both"/>
        <w:rPr>
          <w:b/>
          <w:bCs/>
        </w:rPr>
      </w:pPr>
      <w:r w:rsidRPr="00FF5B12">
        <w:rPr>
          <w:b/>
          <w:bCs/>
        </w:rPr>
        <w:t>Програма ИСПА/</w:t>
      </w:r>
      <w:proofErr w:type="spellStart"/>
      <w:r w:rsidRPr="00FF5B12">
        <w:rPr>
          <w:b/>
          <w:bCs/>
        </w:rPr>
        <w:t>Кохезионен</w:t>
      </w:r>
      <w:proofErr w:type="spellEnd"/>
      <w:r w:rsidRPr="00FF5B12">
        <w:rPr>
          <w:b/>
          <w:bCs/>
        </w:rPr>
        <w:t xml:space="preserve"> фонд (Регламент 1164/94)</w:t>
      </w:r>
    </w:p>
    <w:p w:rsidR="00022B97" w:rsidRPr="00FF5B12" w:rsidRDefault="00022B97" w:rsidP="00022B97">
      <w:pPr>
        <w:pStyle w:val="BodyTextIndent"/>
        <w:ind w:firstLine="686"/>
        <w:jc w:val="both"/>
        <w:rPr>
          <w:bCs/>
        </w:rPr>
      </w:pPr>
      <w:r w:rsidRPr="00FF5B12">
        <w:rPr>
          <w:bCs/>
        </w:rPr>
        <w:t>За периода постъпилите средства от ЕК са на стойност 16</w:t>
      </w:r>
      <w:r>
        <w:rPr>
          <w:bCs/>
        </w:rPr>
        <w:t>,</w:t>
      </w:r>
      <w:r w:rsidRPr="00FF5B12">
        <w:rPr>
          <w:bCs/>
        </w:rPr>
        <w:t>6 млн. л</w:t>
      </w:r>
      <w:r>
        <w:rPr>
          <w:bCs/>
        </w:rPr>
        <w:t>е</w:t>
      </w:r>
      <w:r w:rsidRPr="00FF5B12">
        <w:rPr>
          <w:bCs/>
        </w:rPr>
        <w:t>в</w:t>
      </w:r>
      <w:r>
        <w:rPr>
          <w:bCs/>
        </w:rPr>
        <w:t>а</w:t>
      </w:r>
      <w:r w:rsidRPr="00FF5B12">
        <w:rPr>
          <w:bCs/>
        </w:rPr>
        <w:t>.</w:t>
      </w:r>
    </w:p>
    <w:p w:rsidR="00022B97" w:rsidRPr="009D024F" w:rsidRDefault="00022B97" w:rsidP="00022B97">
      <w:pPr>
        <w:pStyle w:val="BodyTextIndent"/>
        <w:spacing w:before="120"/>
        <w:ind w:firstLine="686"/>
        <w:jc w:val="both"/>
        <w:rPr>
          <w:b/>
          <w:bCs/>
        </w:rPr>
      </w:pPr>
      <w:r w:rsidRPr="009D024F">
        <w:rPr>
          <w:b/>
          <w:bCs/>
        </w:rPr>
        <w:t xml:space="preserve">Програма САПАРД </w:t>
      </w:r>
    </w:p>
    <w:p w:rsidR="00022B97" w:rsidRPr="009D024F" w:rsidRDefault="00022B97" w:rsidP="00022B97">
      <w:pPr>
        <w:pStyle w:val="BodyTextIndent"/>
        <w:ind w:firstLine="686"/>
        <w:jc w:val="both"/>
        <w:rPr>
          <w:bCs/>
        </w:rPr>
      </w:pPr>
      <w:r w:rsidRPr="009D024F">
        <w:rPr>
          <w:bCs/>
        </w:rPr>
        <w:t>На 31.12.2009 г. изтече валидността на Годишното финансово споразумение (ГФС) 2006, с което е прекратено изплащането на субсидии към бенефициенти по програма САПАРД.</w:t>
      </w:r>
    </w:p>
    <w:p w:rsidR="00022B97" w:rsidRPr="009D024F" w:rsidRDefault="00022B97" w:rsidP="00022B97">
      <w:pPr>
        <w:pStyle w:val="BodyTextIndent"/>
        <w:ind w:firstLine="686"/>
        <w:jc w:val="both"/>
        <w:rPr>
          <w:bCs/>
        </w:rPr>
      </w:pPr>
      <w:r w:rsidRPr="009D024F">
        <w:rPr>
          <w:bCs/>
        </w:rPr>
        <w:t>През периода са извършени възстановявания от бенефициенти по дългове на стойност 0</w:t>
      </w:r>
      <w:r>
        <w:rPr>
          <w:bCs/>
        </w:rPr>
        <w:t>,</w:t>
      </w:r>
      <w:r w:rsidRPr="009D024F">
        <w:rPr>
          <w:bCs/>
        </w:rPr>
        <w:t>6 млн. л</w:t>
      </w:r>
      <w:r>
        <w:rPr>
          <w:bCs/>
        </w:rPr>
        <w:t>е</w:t>
      </w:r>
      <w:r w:rsidRPr="009D024F">
        <w:rPr>
          <w:bCs/>
        </w:rPr>
        <w:t>в</w:t>
      </w:r>
      <w:r>
        <w:rPr>
          <w:bCs/>
        </w:rPr>
        <w:t>а</w:t>
      </w:r>
      <w:r w:rsidRPr="009D024F">
        <w:rPr>
          <w:bCs/>
        </w:rPr>
        <w:t>.</w:t>
      </w:r>
    </w:p>
    <w:p w:rsidR="00022B97" w:rsidRPr="008647FA" w:rsidRDefault="00022B97" w:rsidP="00022B97">
      <w:pPr>
        <w:pStyle w:val="BodyTextIndent"/>
        <w:ind w:firstLine="686"/>
        <w:jc w:val="both"/>
        <w:rPr>
          <w:bCs/>
          <w:color w:val="0070C0"/>
        </w:rPr>
      </w:pPr>
      <w:r w:rsidRPr="009D024F">
        <w:rPr>
          <w:bCs/>
        </w:rPr>
        <w:t>Възстановените средства към ЕК са в размер на 104</w:t>
      </w:r>
      <w:r>
        <w:rPr>
          <w:bCs/>
        </w:rPr>
        <w:t>,</w:t>
      </w:r>
      <w:r w:rsidRPr="009D024F">
        <w:rPr>
          <w:bCs/>
        </w:rPr>
        <w:t>7 млн. л</w:t>
      </w:r>
      <w:r>
        <w:rPr>
          <w:bCs/>
        </w:rPr>
        <w:t>е</w:t>
      </w:r>
      <w:r w:rsidRPr="009D024F">
        <w:rPr>
          <w:bCs/>
        </w:rPr>
        <w:t>в</w:t>
      </w:r>
      <w:r>
        <w:rPr>
          <w:bCs/>
        </w:rPr>
        <w:t>а</w:t>
      </w:r>
      <w:r w:rsidRPr="009D024F">
        <w:rPr>
          <w:bCs/>
        </w:rPr>
        <w:t>.</w:t>
      </w:r>
    </w:p>
    <w:p w:rsidR="00022B97" w:rsidRPr="00A6666A" w:rsidRDefault="00022B97" w:rsidP="00022B97">
      <w:pPr>
        <w:pStyle w:val="BodyTextIndent"/>
        <w:spacing w:before="120"/>
        <w:ind w:firstLine="686"/>
        <w:jc w:val="both"/>
        <w:rPr>
          <w:b/>
          <w:bCs/>
        </w:rPr>
      </w:pPr>
      <w:r w:rsidRPr="00A6666A">
        <w:rPr>
          <w:b/>
          <w:bCs/>
        </w:rPr>
        <w:t>Двустранни програми за трансгранично сътрудничество по външните граници на Европейския съюз 2007 – 2013 г.</w:t>
      </w:r>
    </w:p>
    <w:p w:rsidR="00022B97" w:rsidRPr="00A6666A" w:rsidRDefault="00022B97" w:rsidP="00022B97">
      <w:pPr>
        <w:pStyle w:val="BodyTextIndent"/>
        <w:ind w:firstLine="686"/>
        <w:jc w:val="both"/>
        <w:rPr>
          <w:bCs/>
        </w:rPr>
      </w:pPr>
      <w:r w:rsidRPr="00A6666A">
        <w:rPr>
          <w:bCs/>
        </w:rPr>
        <w:t xml:space="preserve">За </w:t>
      </w:r>
      <w:r>
        <w:rPr>
          <w:bCs/>
        </w:rPr>
        <w:t>2019 г.</w:t>
      </w:r>
      <w:r w:rsidRPr="00A6666A">
        <w:rPr>
          <w:bCs/>
        </w:rPr>
        <w:t xml:space="preserve"> са постъпили средства от ЕК на стойност 0</w:t>
      </w:r>
      <w:r>
        <w:rPr>
          <w:bCs/>
        </w:rPr>
        <w:t xml:space="preserve">,4 млн. лв., възстановените </w:t>
      </w:r>
      <w:r w:rsidRPr="00A6666A">
        <w:rPr>
          <w:bCs/>
        </w:rPr>
        <w:t>средства от бенефициенти са в размер на 0</w:t>
      </w:r>
      <w:r>
        <w:rPr>
          <w:bCs/>
        </w:rPr>
        <w:t>,</w:t>
      </w:r>
      <w:r w:rsidRPr="00A6666A">
        <w:rPr>
          <w:bCs/>
        </w:rPr>
        <w:t>1 млн. лева.</w:t>
      </w:r>
    </w:p>
    <w:p w:rsidR="00022B97" w:rsidRPr="001E4601" w:rsidRDefault="00022B97" w:rsidP="00022B97">
      <w:pPr>
        <w:pStyle w:val="BodyTextIndent"/>
        <w:spacing w:before="120"/>
        <w:ind w:firstLine="686"/>
        <w:jc w:val="both"/>
        <w:rPr>
          <w:b/>
          <w:bCs/>
        </w:rPr>
      </w:pPr>
      <w:r w:rsidRPr="001E4601">
        <w:rPr>
          <w:b/>
          <w:bCs/>
        </w:rPr>
        <w:t>Двустранни програми за трансгранично сътрудничество по външните граници на Европейския съюз 2014 – 2020 г.</w:t>
      </w:r>
    </w:p>
    <w:p w:rsidR="00022B97" w:rsidRPr="001E4601" w:rsidRDefault="00022B97" w:rsidP="00022B97">
      <w:pPr>
        <w:pStyle w:val="BodyTextIndent"/>
        <w:ind w:firstLine="686"/>
        <w:jc w:val="both"/>
        <w:rPr>
          <w:bCs/>
        </w:rPr>
      </w:pPr>
      <w:r w:rsidRPr="001E4601">
        <w:rPr>
          <w:bCs/>
        </w:rPr>
        <w:lastRenderedPageBreak/>
        <w:t xml:space="preserve">Получените средства </w:t>
      </w:r>
      <w:r w:rsidR="00A92D5F">
        <w:rPr>
          <w:bCs/>
        </w:rPr>
        <w:t xml:space="preserve">през </w:t>
      </w:r>
      <w:r>
        <w:rPr>
          <w:bCs/>
        </w:rPr>
        <w:t>2019 г. са на стойност 24,</w:t>
      </w:r>
      <w:r w:rsidRPr="001E4601">
        <w:rPr>
          <w:bCs/>
        </w:rPr>
        <w:t>1 млн. лв.</w:t>
      </w:r>
      <w:r w:rsidR="00A92D5F">
        <w:rPr>
          <w:bCs/>
        </w:rPr>
        <w:t xml:space="preserve"> и</w:t>
      </w:r>
      <w:r w:rsidRPr="001E4601">
        <w:rPr>
          <w:bCs/>
        </w:rPr>
        <w:t xml:space="preserve"> представляв</w:t>
      </w:r>
      <w:r w:rsidR="00A92D5F">
        <w:rPr>
          <w:bCs/>
        </w:rPr>
        <w:t>ат</w:t>
      </w:r>
      <w:r w:rsidRPr="001E4601">
        <w:rPr>
          <w:bCs/>
        </w:rPr>
        <w:t xml:space="preserve"> възстановени разходи от ЕК</w:t>
      </w:r>
      <w:r w:rsidR="00A92D5F">
        <w:rPr>
          <w:bCs/>
        </w:rPr>
        <w:t>,</w:t>
      </w:r>
      <w:r w:rsidRPr="001E4601">
        <w:rPr>
          <w:bCs/>
        </w:rPr>
        <w:t xml:space="preserve"> постъпили средства за </w:t>
      </w:r>
      <w:proofErr w:type="spellStart"/>
      <w:r w:rsidRPr="001E4601">
        <w:rPr>
          <w:bCs/>
        </w:rPr>
        <w:t>съфинансиране</w:t>
      </w:r>
      <w:proofErr w:type="spellEnd"/>
      <w:r w:rsidRPr="001E4601">
        <w:rPr>
          <w:bCs/>
        </w:rPr>
        <w:t xml:space="preserve"> от страните-партньори, както </w:t>
      </w:r>
      <w:r w:rsidR="00A92D5F">
        <w:rPr>
          <w:bCs/>
        </w:rPr>
        <w:t xml:space="preserve">и </w:t>
      </w:r>
      <w:r w:rsidRPr="001E4601">
        <w:rPr>
          <w:bCs/>
        </w:rPr>
        <w:t>разпределени към администратори в чужбина за сметка на средства от страната-партньор.</w:t>
      </w:r>
    </w:p>
    <w:p w:rsidR="00022B97" w:rsidRPr="00F5408A" w:rsidRDefault="00022B97" w:rsidP="00022B97">
      <w:pPr>
        <w:pStyle w:val="BodyTextIndent"/>
        <w:ind w:firstLine="686"/>
        <w:jc w:val="both"/>
        <w:rPr>
          <w:bCs/>
        </w:rPr>
      </w:pPr>
      <w:r w:rsidRPr="001E4601">
        <w:rPr>
          <w:bCs/>
        </w:rPr>
        <w:t>Сумата на разходите и трансферите (нето) към бюджетни организации в страната, които са направени през същия период по двустранните програми са на обща стойност 19</w:t>
      </w:r>
      <w:r>
        <w:rPr>
          <w:bCs/>
        </w:rPr>
        <w:t>,</w:t>
      </w:r>
      <w:r w:rsidRPr="00F5408A">
        <w:rPr>
          <w:bCs/>
        </w:rPr>
        <w:t>6</w:t>
      </w:r>
      <w:r w:rsidRPr="001E4601">
        <w:rPr>
          <w:bCs/>
        </w:rPr>
        <w:t xml:space="preserve"> млн. лв., включително за плащания към бенефициенти в страната, извършени за сметка на полученото финансиране от страната-партньор по тези програми.</w:t>
      </w:r>
      <w:r w:rsidRPr="00F5408A">
        <w:rPr>
          <w:bCs/>
        </w:rPr>
        <w:t xml:space="preserve"> </w:t>
      </w:r>
    </w:p>
    <w:p w:rsidR="00022B97" w:rsidRPr="000854BD" w:rsidRDefault="00022B97" w:rsidP="00022B97">
      <w:pPr>
        <w:pStyle w:val="BodyTextIndent"/>
        <w:spacing w:before="120"/>
        <w:ind w:firstLine="686"/>
        <w:jc w:val="both"/>
        <w:rPr>
          <w:b/>
          <w:bCs/>
        </w:rPr>
      </w:pPr>
      <w:r w:rsidRPr="000854BD">
        <w:rPr>
          <w:b/>
          <w:bCs/>
        </w:rPr>
        <w:t>Финансов механизъм на Европейското икономическо пространство и Норвежки финансов механизъм за периода 2009-2014 г. и 2014-2021 г.</w:t>
      </w:r>
    </w:p>
    <w:p w:rsidR="00022B97" w:rsidRPr="000854BD" w:rsidRDefault="00022B97" w:rsidP="00022B97">
      <w:pPr>
        <w:pStyle w:val="BodyTextIndent"/>
        <w:ind w:firstLine="686"/>
        <w:jc w:val="both"/>
        <w:rPr>
          <w:bCs/>
        </w:rPr>
      </w:pPr>
      <w:r w:rsidRPr="000854BD">
        <w:rPr>
          <w:bCs/>
        </w:rPr>
        <w:t>Възстановените към Офиса от НФ средства общо по ЕИП и НФМ за периода са на стойност 9</w:t>
      </w:r>
      <w:r>
        <w:rPr>
          <w:bCs/>
        </w:rPr>
        <w:t>,</w:t>
      </w:r>
      <w:r w:rsidRPr="000854BD">
        <w:rPr>
          <w:bCs/>
        </w:rPr>
        <w:t>7 млн. лева, а получените са в размер на 8</w:t>
      </w:r>
      <w:r>
        <w:rPr>
          <w:bCs/>
        </w:rPr>
        <w:t>,</w:t>
      </w:r>
      <w:r w:rsidRPr="000854BD">
        <w:rPr>
          <w:bCs/>
        </w:rPr>
        <w:t>3 млн. лева.</w:t>
      </w:r>
    </w:p>
    <w:p w:rsidR="00022B97" w:rsidRPr="000854BD" w:rsidRDefault="00022B97" w:rsidP="00022B97">
      <w:pPr>
        <w:pStyle w:val="BodyTextIndent"/>
        <w:ind w:firstLine="686"/>
        <w:jc w:val="both"/>
        <w:rPr>
          <w:bCs/>
        </w:rPr>
      </w:pPr>
      <w:r w:rsidRPr="000854BD">
        <w:rPr>
          <w:bCs/>
        </w:rPr>
        <w:t>Сумата на разходите и трансферите (нето) към 31.12.2019 г. са на обща стойност 4</w:t>
      </w:r>
      <w:r>
        <w:rPr>
          <w:bCs/>
        </w:rPr>
        <w:t>,</w:t>
      </w:r>
      <w:r w:rsidRPr="000854BD">
        <w:rPr>
          <w:bCs/>
        </w:rPr>
        <w:t>2</w:t>
      </w:r>
      <w:r>
        <w:rPr>
          <w:bCs/>
        </w:rPr>
        <w:t xml:space="preserve"> млн. лева</w:t>
      </w:r>
      <w:r w:rsidRPr="000854BD">
        <w:rPr>
          <w:bCs/>
        </w:rPr>
        <w:t>.</w:t>
      </w:r>
    </w:p>
    <w:p w:rsidR="00022B97" w:rsidRPr="00152656" w:rsidRDefault="00022B97" w:rsidP="00022B97">
      <w:pPr>
        <w:pStyle w:val="BodyTextIndent"/>
        <w:spacing w:before="120"/>
        <w:ind w:firstLine="686"/>
        <w:jc w:val="both"/>
        <w:rPr>
          <w:b/>
          <w:bCs/>
        </w:rPr>
      </w:pPr>
      <w:r w:rsidRPr="00152656">
        <w:rPr>
          <w:b/>
          <w:bCs/>
        </w:rPr>
        <w:t>Българо-швейцарска програма за сътрудничество за намаляване на икономическите и социални неравенства в рамките на разширения Европейски съюз</w:t>
      </w:r>
    </w:p>
    <w:p w:rsidR="00022B97" w:rsidRPr="00152656" w:rsidRDefault="00022B97" w:rsidP="00022B97">
      <w:pPr>
        <w:pStyle w:val="BodyTextIndent"/>
        <w:ind w:firstLine="686"/>
        <w:jc w:val="both"/>
        <w:rPr>
          <w:bCs/>
        </w:rPr>
      </w:pPr>
      <w:r w:rsidRPr="00152656">
        <w:rPr>
          <w:bCs/>
        </w:rPr>
        <w:t>Получените средства по програм</w:t>
      </w:r>
      <w:r>
        <w:rPr>
          <w:bCs/>
        </w:rPr>
        <w:t>ата за периода са в размер на 5,</w:t>
      </w:r>
      <w:r w:rsidRPr="00152656">
        <w:rPr>
          <w:bCs/>
        </w:rPr>
        <w:t>7 млн. лева.</w:t>
      </w:r>
    </w:p>
    <w:p w:rsidR="00022B97" w:rsidRPr="00152656" w:rsidRDefault="00022B97" w:rsidP="00022B97">
      <w:pPr>
        <w:pStyle w:val="BodyTextIndent"/>
        <w:ind w:firstLine="686"/>
        <w:jc w:val="both"/>
        <w:rPr>
          <w:bCs/>
        </w:rPr>
      </w:pPr>
      <w:r w:rsidRPr="00152656">
        <w:rPr>
          <w:bCs/>
        </w:rPr>
        <w:t xml:space="preserve">Извършените изходящи трансфери към бенефициенти-бюджетни организации </w:t>
      </w:r>
      <w:r>
        <w:rPr>
          <w:bCs/>
        </w:rPr>
        <w:t xml:space="preserve">за 2019 </w:t>
      </w:r>
      <w:r w:rsidRPr="00152656">
        <w:rPr>
          <w:bCs/>
        </w:rPr>
        <w:t>г</w:t>
      </w:r>
      <w:r>
        <w:rPr>
          <w:bCs/>
        </w:rPr>
        <w:t>.</w:t>
      </w:r>
      <w:r w:rsidRPr="00152656">
        <w:rPr>
          <w:bCs/>
        </w:rPr>
        <w:t xml:space="preserve"> са в размер на 9</w:t>
      </w:r>
      <w:r>
        <w:rPr>
          <w:bCs/>
        </w:rPr>
        <w:t>,</w:t>
      </w:r>
      <w:r w:rsidRPr="00152656">
        <w:rPr>
          <w:bCs/>
        </w:rPr>
        <w:t>5 млн. лева.</w:t>
      </w:r>
    </w:p>
    <w:p w:rsidR="00E449C3" w:rsidRPr="00D7150F" w:rsidRDefault="00E449C3" w:rsidP="00B37F65">
      <w:pPr>
        <w:pStyle w:val="Heading1"/>
        <w:numPr>
          <w:ilvl w:val="0"/>
          <w:numId w:val="10"/>
        </w:numPr>
        <w:spacing w:before="240"/>
        <w:ind w:left="533" w:right="-108" w:hanging="391"/>
        <w:jc w:val="both"/>
        <w:rPr>
          <w:sz w:val="24"/>
        </w:rPr>
      </w:pPr>
      <w:r w:rsidRPr="00D7150F">
        <w:rPr>
          <w:sz w:val="24"/>
        </w:rPr>
        <w:t>Бюджети на социално и здравно-осигурителните фондове и бюджети по чл. 13, ал. 2 и ал. 3 на Закона за публичните финанси</w:t>
      </w:r>
    </w:p>
    <w:p w:rsidR="00DB70EE" w:rsidRPr="00D7150F" w:rsidRDefault="00DB70EE" w:rsidP="00EB4BEB">
      <w:pPr>
        <w:pStyle w:val="Heading1"/>
        <w:numPr>
          <w:ilvl w:val="1"/>
          <w:numId w:val="10"/>
        </w:numPr>
        <w:spacing w:before="120"/>
        <w:ind w:left="788" w:right="-108" w:hanging="431"/>
        <w:jc w:val="both"/>
        <w:rPr>
          <w:sz w:val="24"/>
          <w:lang w:val="en-US"/>
        </w:rPr>
      </w:pPr>
      <w:r w:rsidRPr="00D7150F">
        <w:rPr>
          <w:sz w:val="24"/>
        </w:rPr>
        <w:t>Социално и здравно-осигурителни фондове</w:t>
      </w:r>
    </w:p>
    <w:p w:rsidR="007240EE" w:rsidRPr="00D7150F" w:rsidRDefault="007240EE" w:rsidP="0032081E">
      <w:pPr>
        <w:numPr>
          <w:ilvl w:val="1"/>
          <w:numId w:val="6"/>
        </w:numPr>
        <w:spacing w:before="120" w:line="276" w:lineRule="auto"/>
        <w:ind w:left="992" w:hanging="357"/>
        <w:jc w:val="both"/>
        <w:rPr>
          <w:b/>
          <w:bCs/>
        </w:rPr>
      </w:pPr>
      <w:r w:rsidRPr="00D7150F">
        <w:rPr>
          <w:b/>
        </w:rPr>
        <w:t>Държавно обществено осигуряване</w:t>
      </w:r>
    </w:p>
    <w:p w:rsidR="00D7150F" w:rsidRPr="00D7150F" w:rsidRDefault="00D7150F" w:rsidP="00D7150F">
      <w:pPr>
        <w:ind w:firstLine="567"/>
        <w:jc w:val="both"/>
        <w:rPr>
          <w:color w:val="0070C0"/>
        </w:rPr>
      </w:pPr>
      <w:r w:rsidRPr="00D7150F">
        <w:t xml:space="preserve">Общата сума на </w:t>
      </w:r>
      <w:r w:rsidRPr="00D7150F">
        <w:rPr>
          <w:b/>
        </w:rPr>
        <w:t>приходите, помощите и даренията</w:t>
      </w:r>
      <w:r w:rsidRPr="00D7150F">
        <w:t xml:space="preserve"> по бюджета на Държавното обществено осигуряване (ДОО) към 3</w:t>
      </w:r>
      <w:r w:rsidRPr="00D7150F">
        <w:rPr>
          <w:lang w:val="en-US"/>
        </w:rPr>
        <w:t>1</w:t>
      </w:r>
      <w:r w:rsidRPr="00D7150F">
        <w:t>.</w:t>
      </w:r>
      <w:r w:rsidRPr="00D7150F">
        <w:rPr>
          <w:lang w:val="en-US"/>
        </w:rPr>
        <w:t>12</w:t>
      </w:r>
      <w:r w:rsidRPr="00D7150F">
        <w:t>.201</w:t>
      </w:r>
      <w:r w:rsidRPr="00D7150F">
        <w:rPr>
          <w:lang w:val="en-US"/>
        </w:rPr>
        <w:t>9</w:t>
      </w:r>
      <w:r w:rsidRPr="00D7150F">
        <w:t xml:space="preserve"> г. възлиза на </w:t>
      </w:r>
      <w:r w:rsidRPr="00D7150F">
        <w:rPr>
          <w:lang w:val="en-US"/>
        </w:rPr>
        <w:t>7</w:t>
      </w:r>
      <w:r w:rsidRPr="00D7150F">
        <w:t> </w:t>
      </w:r>
      <w:r w:rsidRPr="00D7150F">
        <w:rPr>
          <w:lang w:val="en-US"/>
        </w:rPr>
        <w:t>738</w:t>
      </w:r>
      <w:r w:rsidRPr="00D7150F">
        <w:t>,</w:t>
      </w:r>
      <w:r w:rsidRPr="00D7150F">
        <w:rPr>
          <w:lang w:val="en-US"/>
        </w:rPr>
        <w:t>6</w:t>
      </w:r>
      <w:r w:rsidRPr="00D7150F">
        <w:t xml:space="preserve"> млн. лв., което представлява </w:t>
      </w:r>
      <w:r w:rsidRPr="00D7150F">
        <w:rPr>
          <w:lang w:val="en-US"/>
        </w:rPr>
        <w:t>102</w:t>
      </w:r>
      <w:r w:rsidRPr="00D7150F">
        <w:t>,</w:t>
      </w:r>
      <w:r w:rsidRPr="00D7150F">
        <w:rPr>
          <w:lang w:val="en-US"/>
        </w:rPr>
        <w:t>8</w:t>
      </w:r>
      <w:r w:rsidRPr="00D7150F">
        <w:t xml:space="preserve"> % </w:t>
      </w:r>
      <w:r w:rsidR="00E658B0">
        <w:t>спрямо</w:t>
      </w:r>
      <w:r w:rsidRPr="00D7150F">
        <w:t xml:space="preserve"> заложените в Закона за бюджета на държавното обществено осигуряване за 201</w:t>
      </w:r>
      <w:r w:rsidRPr="00D7150F">
        <w:rPr>
          <w:lang w:val="en-US"/>
        </w:rPr>
        <w:t>9</w:t>
      </w:r>
      <w:r w:rsidRPr="00D7150F">
        <w:t xml:space="preserve"> г. (ЗБДОО) </w:t>
      </w:r>
      <w:r w:rsidRPr="00D7150F">
        <w:rPr>
          <w:lang w:val="en-US"/>
        </w:rPr>
        <w:t>7</w:t>
      </w:r>
      <w:r w:rsidRPr="00D7150F">
        <w:t> 5</w:t>
      </w:r>
      <w:r w:rsidRPr="00D7150F">
        <w:rPr>
          <w:lang w:val="en-US"/>
        </w:rPr>
        <w:t>28</w:t>
      </w:r>
      <w:r w:rsidRPr="00D7150F">
        <w:t>,</w:t>
      </w:r>
      <w:r w:rsidRPr="00D7150F">
        <w:rPr>
          <w:lang w:val="en-US"/>
        </w:rPr>
        <w:t>1</w:t>
      </w:r>
      <w:r w:rsidRPr="00D7150F">
        <w:t> млн. лева. Най-голям е делът на приходите от осигурителни вноски (9</w:t>
      </w:r>
      <w:r w:rsidRPr="00D7150F">
        <w:rPr>
          <w:lang w:val="en-US"/>
        </w:rPr>
        <w:t>7</w:t>
      </w:r>
      <w:r w:rsidRPr="00D7150F">
        <w:t>,</w:t>
      </w:r>
      <w:r w:rsidRPr="00D7150F">
        <w:rPr>
          <w:lang w:val="en-US"/>
        </w:rPr>
        <w:t>7</w:t>
      </w:r>
      <w:r w:rsidRPr="00D7150F">
        <w:t xml:space="preserve"> % от общите приходи), които за годината са в размер на 7 </w:t>
      </w:r>
      <w:r w:rsidRPr="00D7150F">
        <w:rPr>
          <w:lang w:val="en-US"/>
        </w:rPr>
        <w:t>55</w:t>
      </w:r>
      <w:r w:rsidRPr="00D7150F">
        <w:t xml:space="preserve">9,3 млн. лв., 101,2 % </w:t>
      </w:r>
      <w:r w:rsidR="00E658B0">
        <w:t>спрямо</w:t>
      </w:r>
      <w:r w:rsidRPr="00D7150F">
        <w:t xml:space="preserve"> заложените в ЗБДОО за 201</w:t>
      </w:r>
      <w:r w:rsidRPr="00D7150F">
        <w:rPr>
          <w:lang w:val="en-US"/>
        </w:rPr>
        <w:t>9</w:t>
      </w:r>
      <w:r w:rsidRPr="00D7150F">
        <w:t xml:space="preserve"> година. </w:t>
      </w:r>
    </w:p>
    <w:p w:rsidR="00D7150F" w:rsidRPr="00D7150F" w:rsidRDefault="00D7150F" w:rsidP="00D7150F">
      <w:pPr>
        <w:ind w:firstLine="567"/>
        <w:jc w:val="both"/>
        <w:rPr>
          <w:b/>
          <w:bCs/>
        </w:rPr>
      </w:pPr>
      <w:r w:rsidRPr="00D7150F">
        <w:t>Съпоставени с 2018 г., приходите по бюджета на ДОО нарастват с 845,3 млн. лв. (12,3</w:t>
      </w:r>
      <w:r w:rsidR="00E658B0">
        <w:t> </w:t>
      </w:r>
      <w:r w:rsidRPr="00D7150F">
        <w:t>%). Факторите, които оказват влияние върху състоянието на приходите през 2019 г., са следните:</w:t>
      </w:r>
    </w:p>
    <w:p w:rsidR="00D7150F" w:rsidRPr="00D7150F" w:rsidRDefault="00D7150F" w:rsidP="00D7150F">
      <w:pPr>
        <w:numPr>
          <w:ilvl w:val="0"/>
          <w:numId w:val="21"/>
        </w:numPr>
        <w:tabs>
          <w:tab w:val="num" w:pos="1499"/>
          <w:tab w:val="num" w:pos="2148"/>
        </w:tabs>
        <w:spacing w:line="276" w:lineRule="auto"/>
        <w:ind w:firstLine="567"/>
        <w:jc w:val="both"/>
      </w:pPr>
      <w:r w:rsidRPr="00D7150F">
        <w:t xml:space="preserve">увеличения размер на максималния осигурителен доход за всички лица от 2 600 лв. </w:t>
      </w:r>
      <w:r w:rsidRPr="00D7150F">
        <w:rPr>
          <w:lang w:val="en-US"/>
        </w:rPr>
        <w:t> </w:t>
      </w:r>
      <w:r w:rsidRPr="00D7150F">
        <w:t>на</w:t>
      </w:r>
      <w:r w:rsidRPr="00D7150F">
        <w:rPr>
          <w:lang w:val="en-US"/>
        </w:rPr>
        <w:t>  </w:t>
      </w:r>
      <w:r w:rsidRPr="00D7150F">
        <w:t>3 000 лв.;</w:t>
      </w:r>
    </w:p>
    <w:p w:rsidR="00D7150F" w:rsidRPr="00D7150F" w:rsidRDefault="00D7150F" w:rsidP="00D7150F">
      <w:pPr>
        <w:numPr>
          <w:ilvl w:val="0"/>
          <w:numId w:val="21"/>
        </w:numPr>
        <w:tabs>
          <w:tab w:val="num" w:pos="1499"/>
          <w:tab w:val="num" w:pos="2148"/>
        </w:tabs>
        <w:ind w:firstLine="567"/>
        <w:jc w:val="both"/>
      </w:pPr>
      <w:r w:rsidRPr="00D7150F">
        <w:rPr>
          <w:rFonts w:eastAsiaTheme="minorHAnsi"/>
        </w:rPr>
        <w:t xml:space="preserve">средно нарастване на минималните осигурителни доходи през 2019 г. с около 4,7 на сто спрямо 2018 година - равнищата на минималните осигурителни доходи по основните икономически дейности и квалификационни групи професии се запазиха на нивата от 2018 г., с изключение на позициите, които оставаха под новия за 2019 г. размер на минималната работна заплата (560 лв.) и съответно бяха приравнени на нея.  </w:t>
      </w:r>
    </w:p>
    <w:p w:rsidR="00D7150F" w:rsidRPr="00D7150F" w:rsidRDefault="00D7150F" w:rsidP="00D7150F">
      <w:pPr>
        <w:ind w:firstLine="567"/>
        <w:jc w:val="both"/>
        <w:rPr>
          <w:bCs/>
        </w:rPr>
      </w:pPr>
      <w:r w:rsidRPr="00D7150F">
        <w:rPr>
          <w:bCs/>
        </w:rPr>
        <w:t xml:space="preserve">Отчетените неданъчни приходи </w:t>
      </w:r>
      <w:r w:rsidR="00E658B0">
        <w:rPr>
          <w:bCs/>
        </w:rPr>
        <w:t>з</w:t>
      </w:r>
      <w:r w:rsidRPr="00D7150F">
        <w:rPr>
          <w:bCs/>
        </w:rPr>
        <w:t xml:space="preserve">а 2019 г. по бюджета на ДОО възлизат на 179,4 млн. лв., в т.ч. 149,4 млн. лв. постъпили средства по реда на </w:t>
      </w:r>
      <w:r w:rsidRPr="00D7150F">
        <w:t>чл. 4б и чл. 4в от Кодекса за социално осигуряване (КСО) и § 4б от ПЗР на КСО</w:t>
      </w:r>
      <w:r w:rsidRPr="00D7150F">
        <w:rPr>
          <w:bCs/>
        </w:rPr>
        <w:t xml:space="preserve"> (п</w:t>
      </w:r>
      <w:r w:rsidRPr="00D7150F">
        <w:t>рехвърлени</w:t>
      </w:r>
      <w:r w:rsidR="00E658B0">
        <w:t>/</w:t>
      </w:r>
      <w:r w:rsidRPr="00D7150F">
        <w:t>възстановени акумулирани средства от осигурителни вноски).</w:t>
      </w:r>
      <w:r w:rsidRPr="00D7150F">
        <w:rPr>
          <w:bCs/>
        </w:rPr>
        <w:t xml:space="preserve"> </w:t>
      </w:r>
    </w:p>
    <w:p w:rsidR="00D7150F" w:rsidRPr="00D7150F" w:rsidRDefault="00D7150F" w:rsidP="00D7150F">
      <w:pPr>
        <w:tabs>
          <w:tab w:val="num" w:pos="1499"/>
          <w:tab w:val="num" w:pos="2148"/>
        </w:tabs>
        <w:spacing w:after="120"/>
        <w:ind w:firstLine="567"/>
        <w:jc w:val="both"/>
        <w:rPr>
          <w:color w:val="0070C0"/>
        </w:rPr>
      </w:pPr>
      <w:r w:rsidRPr="00D7150F">
        <w:rPr>
          <w:bCs/>
        </w:rPr>
        <w:t xml:space="preserve">Размерът на извършените </w:t>
      </w:r>
      <w:r w:rsidRPr="00D7150F">
        <w:rPr>
          <w:b/>
          <w:bCs/>
        </w:rPr>
        <w:t xml:space="preserve">разходи </w:t>
      </w:r>
      <w:r w:rsidRPr="00D7150F">
        <w:rPr>
          <w:bCs/>
        </w:rPr>
        <w:t xml:space="preserve">през 2019 г. по бюджета на ДОО е 11 656,5 млн. лв., което представлява 99,2 % от предвидените  в ЗБДОО за 2019 г. средства. Спрямо миналата година, общо разходите по бюджета на ДОО са с  477,6 млн. лв. (4,3 %) повече. От структурна гледна точка с най-голям относителен дял в общите разходи са разходите за пенсии, обезщетения и помощи, изплащани на основание Кодекса за социално осигуряване – общо 11 535,1 млн. лв. или 99,0 % от общия размер на разходите за </w:t>
      </w:r>
      <w:r w:rsidR="007D2193">
        <w:rPr>
          <w:bCs/>
        </w:rPr>
        <w:t>годината</w:t>
      </w:r>
      <w:r w:rsidRPr="00D7150F">
        <w:rPr>
          <w:bCs/>
        </w:rPr>
        <w:t xml:space="preserve">. Отчетените разходи за </w:t>
      </w:r>
      <w:r w:rsidRPr="00D7150F">
        <w:rPr>
          <w:b/>
          <w:bCs/>
        </w:rPr>
        <w:lastRenderedPageBreak/>
        <w:t>пенсии</w:t>
      </w:r>
      <w:r w:rsidRPr="00D7150F">
        <w:rPr>
          <w:bCs/>
        </w:rPr>
        <w:t xml:space="preserve"> по бюджета на ДОО към 31.12.2019 г. възлизат на 9 860,5 млн. лв., което е с 404,6 млн. лв. повече спрямо 2018 г. </w:t>
      </w:r>
      <w:r w:rsidRPr="00D7150F">
        <w:t xml:space="preserve">Отчетените разходи за </w:t>
      </w:r>
      <w:r w:rsidRPr="00D7150F">
        <w:rPr>
          <w:b/>
        </w:rPr>
        <w:t>краткосрочни обезщетения и помощи по КСО</w:t>
      </w:r>
      <w:r w:rsidRPr="00D7150F">
        <w:t xml:space="preserve"> са в размер на 1 674,6 млн. лева. Спрямо миналата година изплатените обезщетения по КСО са с 62,5 млн. лв. (3,9 %) повече.</w:t>
      </w:r>
    </w:p>
    <w:p w:rsidR="00D7150F" w:rsidRPr="00D7150F" w:rsidRDefault="00D7150F" w:rsidP="00D7150F">
      <w:pPr>
        <w:numPr>
          <w:ilvl w:val="1"/>
          <w:numId w:val="6"/>
        </w:numPr>
        <w:tabs>
          <w:tab w:val="num" w:pos="709"/>
          <w:tab w:val="left" w:pos="851"/>
          <w:tab w:val="left" w:pos="1134"/>
        </w:tabs>
        <w:spacing w:before="120" w:line="276" w:lineRule="auto"/>
        <w:ind w:left="709" w:hanging="357"/>
        <w:jc w:val="both"/>
        <w:rPr>
          <w:b/>
          <w:bCs/>
        </w:rPr>
      </w:pPr>
      <w:r w:rsidRPr="00D7150F">
        <w:rPr>
          <w:b/>
          <w:bCs/>
        </w:rPr>
        <w:t>Национална здравноосигурителна каса</w:t>
      </w:r>
    </w:p>
    <w:p w:rsidR="00D7150F" w:rsidRPr="00D7150F" w:rsidRDefault="00D7150F" w:rsidP="00D7150F">
      <w:pPr>
        <w:ind w:firstLine="567"/>
        <w:jc w:val="both"/>
        <w:rPr>
          <w:color w:val="0070C0"/>
        </w:rPr>
      </w:pPr>
      <w:r w:rsidRPr="00D7150F">
        <w:t xml:space="preserve">Общият размер на събраните </w:t>
      </w:r>
      <w:r w:rsidRPr="00D7150F">
        <w:rPr>
          <w:b/>
        </w:rPr>
        <w:t>приходи</w:t>
      </w:r>
      <w:r w:rsidRPr="00D7150F">
        <w:t xml:space="preserve"> по бюджета на НЗОК през 2019 г. възлиза на </w:t>
      </w:r>
      <w:r w:rsidR="007D2193">
        <w:t>2 946,9</w:t>
      </w:r>
      <w:r w:rsidRPr="00D7150F">
        <w:t xml:space="preserve"> млн. лв., което представлява 103,0 % </w:t>
      </w:r>
      <w:r w:rsidR="007D2193">
        <w:t>спрямо</w:t>
      </w:r>
      <w:r w:rsidRPr="00D7150F">
        <w:t xml:space="preserve"> предвидените със Закона за бюджета на НЗОК (ЗБНЗОК) за 2019 г. – 2 862,0 млн. лева. Постъпленията от здравноосигурителни вноски са в размер на 2 924,4 млн. лв., което е 102,9 % изпълнение на утвърдените със ЗБНЗОК за 2019 г. средства в размер на 2 842,3 млн. лева. Събраните неданъчни приходи през 2019 г. са 22,4 млн. лв. или 113,5 % </w:t>
      </w:r>
      <w:r w:rsidR="007D2193">
        <w:t>спрямо</w:t>
      </w:r>
      <w:r w:rsidRPr="00D7150F">
        <w:t xml:space="preserve"> заложените в ЗБНЗОК за 2019 г., като основната част от тях са приходи от глоби, санкции и наказателни лихви. </w:t>
      </w:r>
    </w:p>
    <w:p w:rsidR="00D7150F" w:rsidRPr="00D7150F" w:rsidRDefault="00D7150F" w:rsidP="00D7150F">
      <w:pPr>
        <w:ind w:firstLine="567"/>
        <w:jc w:val="both"/>
      </w:pPr>
      <w:r w:rsidRPr="00D7150F">
        <w:t xml:space="preserve">Полученият трансфер от МЗ за финансиране на разходите за лекарствени продукти – ваксини и дейности по прилагането им за здравните дейности по чл. 82, ал. 2, т. 3 от Закона за здравето (ЗЗ); за дейности за </w:t>
      </w:r>
      <w:proofErr w:type="spellStart"/>
      <w:r w:rsidRPr="00D7150F">
        <w:t>здравнонеосигурени</w:t>
      </w:r>
      <w:proofErr w:type="spellEnd"/>
      <w:r w:rsidRPr="00D7150F">
        <w:t xml:space="preserve"> лица, включващи: комплексно диспансерно (амбулаторно) наблюдение при пациенти с кожно-венерически и психиатрични заболявания; интензивно лечение; дейности по чл. 82, ал. 1, т. 2 от ЗЗ и за сумите по чл. 37, ал. 6 от Закона за здравното осигуряване и за дейности във връзка с лечение на български граждани в страната или в чужбина, съобразно тяхното заболяване, за които не са предвидени други механизми за финансиране със средства от държавния бюджет, общинските бюджети и от бюджета на Националната здравноосигурителна каса, или които не могат да бъдат осигурени в страната е в размер на 55,0 млн. лв., което представлява 127,9 % </w:t>
      </w:r>
      <w:r w:rsidR="007D2193">
        <w:t>спрямо</w:t>
      </w:r>
      <w:r w:rsidRPr="00D7150F">
        <w:t xml:space="preserve"> заложените със ЗБНЗОК за 2019 г. средства в размер на 43,0 млн. лева. </w:t>
      </w:r>
    </w:p>
    <w:p w:rsidR="00D7150F" w:rsidRPr="00D7150F" w:rsidRDefault="007D2193" w:rsidP="00D7150F">
      <w:pPr>
        <w:ind w:firstLine="567"/>
        <w:jc w:val="both"/>
      </w:pPr>
      <w:r>
        <w:t>Получените тран</w:t>
      </w:r>
      <w:r w:rsidR="00D7150F" w:rsidRPr="00D7150F">
        <w:t>сфер</w:t>
      </w:r>
      <w:r>
        <w:t>и</w:t>
      </w:r>
      <w:r w:rsidR="00D7150F" w:rsidRPr="00D7150F">
        <w:t xml:space="preserve"> за здравно осигуряване от централния бюджет за годината </w:t>
      </w:r>
      <w:r>
        <w:t xml:space="preserve">са в размер на </w:t>
      </w:r>
      <w:r w:rsidR="00D7150F" w:rsidRPr="00D7150F">
        <w:t>1 394,6 млн.</w:t>
      </w:r>
      <w:r>
        <w:t> </w:t>
      </w:r>
      <w:r w:rsidR="00D7150F" w:rsidRPr="00D7150F">
        <w:t>л</w:t>
      </w:r>
      <w:r>
        <w:t>е</w:t>
      </w:r>
      <w:r w:rsidR="00D7150F" w:rsidRPr="00D7150F">
        <w:t>в</w:t>
      </w:r>
      <w:r>
        <w:t>а</w:t>
      </w:r>
      <w:r w:rsidR="00D7150F" w:rsidRPr="00D7150F">
        <w:t>.</w:t>
      </w:r>
    </w:p>
    <w:p w:rsidR="00D7150F" w:rsidRPr="00D7150F" w:rsidRDefault="00D7150F" w:rsidP="00D7150F">
      <w:pPr>
        <w:ind w:firstLine="567"/>
        <w:jc w:val="both"/>
        <w:rPr>
          <w:color w:val="0070C0"/>
        </w:rPr>
      </w:pPr>
      <w:r w:rsidRPr="00D7150F">
        <w:t xml:space="preserve">Отчетените </w:t>
      </w:r>
      <w:r w:rsidRPr="00D7150F">
        <w:rPr>
          <w:b/>
        </w:rPr>
        <w:t>разходи</w:t>
      </w:r>
      <w:r w:rsidRPr="00D7150F">
        <w:t xml:space="preserve"> към 31.12.2019 г. са в размер на 4 321,3 млн. лв. и представляват 99,5 % от предвидените в ЗБНЗОК за 2019 г. 4 344,9 млн. лева. Най-голям относителен дял (97,4 %) заемат здравноосигурителните плащания, които възлизат на 4 208,9 млн. лева. В отделните направления на здравноосигурителни плащания изпълнението на бюджета за 2019</w:t>
      </w:r>
      <w:r w:rsidR="007D2193">
        <w:t> </w:t>
      </w:r>
      <w:r w:rsidRPr="00D7150F">
        <w:t>г. е следното:</w:t>
      </w:r>
    </w:p>
    <w:p w:rsidR="00D7150F" w:rsidRPr="00D7150F" w:rsidRDefault="00D7150F" w:rsidP="00D7150F">
      <w:pPr>
        <w:numPr>
          <w:ilvl w:val="0"/>
          <w:numId w:val="18"/>
        </w:numPr>
        <w:tabs>
          <w:tab w:val="num" w:pos="0"/>
          <w:tab w:val="left" w:pos="720"/>
          <w:tab w:val="left" w:pos="1134"/>
        </w:tabs>
        <w:spacing w:line="276" w:lineRule="auto"/>
        <w:ind w:hanging="6169"/>
        <w:jc w:val="both"/>
        <w:rPr>
          <w:bCs/>
        </w:rPr>
      </w:pPr>
      <w:r w:rsidRPr="00D7150F">
        <w:rPr>
          <w:b/>
          <w:i/>
        </w:rPr>
        <w:t xml:space="preserve">първична </w:t>
      </w:r>
      <w:proofErr w:type="spellStart"/>
      <w:r w:rsidRPr="00D7150F">
        <w:rPr>
          <w:b/>
          <w:i/>
        </w:rPr>
        <w:t>извънболнична</w:t>
      </w:r>
      <w:proofErr w:type="spellEnd"/>
      <w:r w:rsidRPr="00D7150F">
        <w:rPr>
          <w:b/>
          <w:i/>
        </w:rPr>
        <w:t xml:space="preserve"> медицинска помощ</w:t>
      </w:r>
      <w:r w:rsidRPr="00D7150F">
        <w:rPr>
          <w:i/>
        </w:rPr>
        <w:t xml:space="preserve"> –</w:t>
      </w:r>
      <w:r w:rsidRPr="00D7150F">
        <w:t xml:space="preserve"> 226,3 млн. лева;</w:t>
      </w:r>
      <w:r w:rsidRPr="00D7150F">
        <w:rPr>
          <w:bCs/>
        </w:rPr>
        <w:t xml:space="preserve"> </w:t>
      </w:r>
    </w:p>
    <w:p w:rsidR="00D7150F" w:rsidRPr="00D7150F" w:rsidRDefault="00D7150F" w:rsidP="00D7150F">
      <w:pPr>
        <w:numPr>
          <w:ilvl w:val="0"/>
          <w:numId w:val="18"/>
        </w:numPr>
        <w:tabs>
          <w:tab w:val="num" w:pos="0"/>
          <w:tab w:val="left" w:pos="720"/>
          <w:tab w:val="left" w:pos="1134"/>
        </w:tabs>
        <w:spacing w:line="276" w:lineRule="auto"/>
        <w:ind w:hanging="6169"/>
        <w:jc w:val="both"/>
        <w:rPr>
          <w:i/>
        </w:rPr>
      </w:pPr>
      <w:r w:rsidRPr="00D7150F">
        <w:rPr>
          <w:b/>
          <w:i/>
        </w:rPr>
        <w:t xml:space="preserve">специализирана </w:t>
      </w:r>
      <w:proofErr w:type="spellStart"/>
      <w:r w:rsidRPr="00D7150F">
        <w:rPr>
          <w:b/>
          <w:i/>
        </w:rPr>
        <w:t>извънболнична</w:t>
      </w:r>
      <w:proofErr w:type="spellEnd"/>
      <w:r w:rsidRPr="00D7150F">
        <w:rPr>
          <w:b/>
          <w:i/>
        </w:rPr>
        <w:t xml:space="preserve"> медицинска помощ </w:t>
      </w:r>
      <w:r w:rsidRPr="00D7150F">
        <w:t xml:space="preserve"> – 249,3 млн. лева;</w:t>
      </w:r>
    </w:p>
    <w:p w:rsidR="00D7150F" w:rsidRPr="00D7150F" w:rsidRDefault="00D7150F" w:rsidP="00D7150F">
      <w:pPr>
        <w:numPr>
          <w:ilvl w:val="0"/>
          <w:numId w:val="18"/>
        </w:numPr>
        <w:tabs>
          <w:tab w:val="num" w:pos="0"/>
          <w:tab w:val="left" w:pos="720"/>
          <w:tab w:val="left" w:pos="1134"/>
        </w:tabs>
        <w:spacing w:line="276" w:lineRule="auto"/>
        <w:ind w:hanging="6169"/>
        <w:jc w:val="both"/>
        <w:rPr>
          <w:b/>
        </w:rPr>
      </w:pPr>
      <w:proofErr w:type="spellStart"/>
      <w:r w:rsidRPr="00D7150F">
        <w:rPr>
          <w:b/>
          <w:i/>
        </w:rPr>
        <w:t>дентална</w:t>
      </w:r>
      <w:proofErr w:type="spellEnd"/>
      <w:r w:rsidRPr="00D7150F">
        <w:rPr>
          <w:b/>
          <w:i/>
        </w:rPr>
        <w:t xml:space="preserve"> помощ – </w:t>
      </w:r>
      <w:r w:rsidRPr="00D7150F">
        <w:t>164,6 млн. лева;</w:t>
      </w:r>
    </w:p>
    <w:p w:rsidR="00D7150F" w:rsidRPr="00D7150F" w:rsidRDefault="00D7150F" w:rsidP="00D7150F">
      <w:pPr>
        <w:numPr>
          <w:ilvl w:val="0"/>
          <w:numId w:val="18"/>
        </w:numPr>
        <w:tabs>
          <w:tab w:val="num" w:pos="0"/>
          <w:tab w:val="left" w:pos="720"/>
          <w:tab w:val="left" w:pos="1134"/>
        </w:tabs>
        <w:spacing w:line="276" w:lineRule="auto"/>
        <w:ind w:hanging="6169"/>
        <w:jc w:val="both"/>
        <w:rPr>
          <w:b/>
          <w:i/>
        </w:rPr>
      </w:pPr>
      <w:r w:rsidRPr="00D7150F">
        <w:rPr>
          <w:b/>
          <w:i/>
        </w:rPr>
        <w:t xml:space="preserve">медико-диагностична дейност – </w:t>
      </w:r>
      <w:r w:rsidRPr="00D7150F">
        <w:t>89,1 млн. лева;</w:t>
      </w:r>
      <w:r w:rsidRPr="00D7150F">
        <w:rPr>
          <w:b/>
          <w:i/>
        </w:rPr>
        <w:t xml:space="preserve"> </w:t>
      </w:r>
    </w:p>
    <w:p w:rsidR="00D7150F" w:rsidRPr="00D7150F" w:rsidRDefault="00D7150F" w:rsidP="00D7150F">
      <w:pPr>
        <w:numPr>
          <w:ilvl w:val="0"/>
          <w:numId w:val="18"/>
        </w:numPr>
        <w:tabs>
          <w:tab w:val="num" w:pos="0"/>
          <w:tab w:val="left" w:pos="1134"/>
        </w:tabs>
        <w:spacing w:line="276" w:lineRule="auto"/>
        <w:ind w:left="1134" w:hanging="425"/>
        <w:jc w:val="both"/>
      </w:pPr>
      <w:r w:rsidRPr="00D7150F">
        <w:rPr>
          <w:b/>
          <w:i/>
        </w:rPr>
        <w:t xml:space="preserve">лекарствени продукти, медицински изделия и диетични храни за домашно лечение на територията на страната </w:t>
      </w:r>
      <w:r w:rsidRPr="00D7150F">
        <w:rPr>
          <w:b/>
          <w:i/>
          <w:lang w:val="en-US"/>
        </w:rPr>
        <w:t xml:space="preserve"> - </w:t>
      </w:r>
      <w:r w:rsidRPr="00D7150F">
        <w:t>748,2 млн. л</w:t>
      </w:r>
      <w:r w:rsidR="007D2193">
        <w:t>е</w:t>
      </w:r>
      <w:r w:rsidRPr="00D7150F">
        <w:t>в</w:t>
      </w:r>
      <w:r w:rsidR="007D2193">
        <w:t>а;</w:t>
      </w:r>
    </w:p>
    <w:p w:rsidR="00D7150F" w:rsidRPr="00D7150F" w:rsidRDefault="00D7150F" w:rsidP="00D7150F">
      <w:pPr>
        <w:numPr>
          <w:ilvl w:val="0"/>
          <w:numId w:val="18"/>
        </w:numPr>
        <w:tabs>
          <w:tab w:val="num" w:pos="0"/>
          <w:tab w:val="left" w:pos="1134"/>
          <w:tab w:val="num" w:pos="6096"/>
        </w:tabs>
        <w:spacing w:line="276" w:lineRule="auto"/>
        <w:ind w:left="1134" w:hanging="425"/>
        <w:jc w:val="both"/>
      </w:pPr>
      <w:r w:rsidRPr="00D7150F">
        <w:rPr>
          <w:b/>
          <w:i/>
          <w:lang w:val="en-US"/>
        </w:rPr>
        <w:t xml:space="preserve"> </w:t>
      </w:r>
      <w:r w:rsidRPr="00D7150F">
        <w:rPr>
          <w:b/>
          <w:i/>
        </w:rPr>
        <w:t xml:space="preserve">лекарствени продукти за лечение на злокачествени заболявания в условията на болнична медицинска помощ </w:t>
      </w:r>
      <w:r w:rsidRPr="00D7150F">
        <w:t xml:space="preserve"> – 383,7 млн. лева;</w:t>
      </w:r>
    </w:p>
    <w:p w:rsidR="00D7150F" w:rsidRPr="00D7150F" w:rsidRDefault="00D7150F" w:rsidP="00D7150F">
      <w:pPr>
        <w:numPr>
          <w:ilvl w:val="0"/>
          <w:numId w:val="18"/>
        </w:numPr>
        <w:tabs>
          <w:tab w:val="num" w:pos="0"/>
          <w:tab w:val="left" w:pos="720"/>
          <w:tab w:val="num" w:pos="1134"/>
        </w:tabs>
        <w:spacing w:line="276" w:lineRule="auto"/>
        <w:ind w:left="1134" w:hanging="425"/>
        <w:jc w:val="both"/>
      </w:pPr>
      <w:r w:rsidRPr="00D7150F">
        <w:rPr>
          <w:b/>
          <w:i/>
        </w:rPr>
        <w:t>медицински изделия, прилагани в болничната  помощ –</w:t>
      </w:r>
      <w:r w:rsidRPr="00D7150F">
        <w:t xml:space="preserve"> 101,3 млн. лева;</w:t>
      </w:r>
    </w:p>
    <w:p w:rsidR="00D7150F" w:rsidRPr="00D7150F" w:rsidRDefault="00D7150F" w:rsidP="00D7150F">
      <w:pPr>
        <w:numPr>
          <w:ilvl w:val="0"/>
          <w:numId w:val="18"/>
        </w:numPr>
        <w:tabs>
          <w:tab w:val="num" w:pos="0"/>
          <w:tab w:val="left" w:pos="720"/>
          <w:tab w:val="left" w:pos="1134"/>
        </w:tabs>
        <w:spacing w:line="276" w:lineRule="auto"/>
        <w:ind w:hanging="6169"/>
        <w:jc w:val="both"/>
        <w:rPr>
          <w:color w:val="0070C0"/>
        </w:rPr>
      </w:pPr>
      <w:r w:rsidRPr="00D7150F">
        <w:rPr>
          <w:b/>
          <w:i/>
        </w:rPr>
        <w:t>болнична медицинска помощ –</w:t>
      </w:r>
      <w:r w:rsidRPr="00D7150F">
        <w:t xml:space="preserve"> 1 987,2 млн. лева</w:t>
      </w:r>
      <w:r w:rsidR="007D2193">
        <w:t>;</w:t>
      </w:r>
      <w:r w:rsidRPr="00D7150F">
        <w:tab/>
      </w:r>
      <w:r w:rsidRPr="00D7150F">
        <w:rPr>
          <w:color w:val="0070C0"/>
        </w:rPr>
        <w:t xml:space="preserve"> </w:t>
      </w:r>
    </w:p>
    <w:p w:rsidR="00D7150F" w:rsidRPr="00D7150F" w:rsidRDefault="00D7150F" w:rsidP="00D7150F">
      <w:pPr>
        <w:numPr>
          <w:ilvl w:val="0"/>
          <w:numId w:val="18"/>
        </w:numPr>
        <w:tabs>
          <w:tab w:val="num" w:pos="0"/>
          <w:tab w:val="left" w:pos="720"/>
          <w:tab w:val="left" w:pos="1134"/>
        </w:tabs>
        <w:spacing w:line="276" w:lineRule="auto"/>
        <w:ind w:hanging="6169"/>
        <w:jc w:val="both"/>
      </w:pPr>
      <w:r w:rsidRPr="00D7150F">
        <w:rPr>
          <w:b/>
          <w:i/>
        </w:rPr>
        <w:t xml:space="preserve">други здравноосигурителни плащания – </w:t>
      </w:r>
      <w:r w:rsidRPr="00D7150F">
        <w:t>259,2 млн. лева.</w:t>
      </w:r>
    </w:p>
    <w:p w:rsidR="00D7150F" w:rsidRPr="00D7150F" w:rsidRDefault="00D7150F" w:rsidP="00D7150F">
      <w:pPr>
        <w:spacing w:before="120"/>
        <w:ind w:firstLine="567"/>
        <w:jc w:val="both"/>
      </w:pPr>
      <w:r w:rsidRPr="00D7150F">
        <w:t>Като здравноосигурителни плащания следва да се третират и преведените 106,8 млн. лв. трансфери по договори за извършване на медицински услуги към бюджетни организации, в структурата на които има лечебни заведения по чл. 5 от Закона за лечебните заведения. Заедно с преведените трансфери усвоените средства за здравноосигурителни плащания възлизат на 4 315,7 млн. л</w:t>
      </w:r>
      <w:r w:rsidR="007D2193">
        <w:t>е</w:t>
      </w:r>
      <w:r w:rsidRPr="00D7150F">
        <w:t>в</w:t>
      </w:r>
      <w:r w:rsidR="007D2193">
        <w:t>а</w:t>
      </w:r>
      <w:r w:rsidRPr="00D7150F">
        <w:t>.</w:t>
      </w:r>
    </w:p>
    <w:p w:rsidR="00D7150F" w:rsidRPr="00D7150F" w:rsidRDefault="00D7150F" w:rsidP="00D7150F">
      <w:pPr>
        <w:ind w:firstLine="567"/>
        <w:jc w:val="both"/>
      </w:pPr>
      <w:r w:rsidRPr="00D7150F">
        <w:t xml:space="preserve">За </w:t>
      </w:r>
      <w:r w:rsidR="007D2193">
        <w:t>2019 г.</w:t>
      </w:r>
      <w:r w:rsidRPr="00D7150F">
        <w:t xml:space="preserve"> са отчетени плащания в размер на 55,0 млн. лв. от предоставения трансфер  от Министерството на здравеопазването за дейности за </w:t>
      </w:r>
      <w:proofErr w:type="spellStart"/>
      <w:r w:rsidRPr="00D7150F">
        <w:t>здравнонеосигурени</w:t>
      </w:r>
      <w:proofErr w:type="spellEnd"/>
      <w:r w:rsidRPr="00D7150F">
        <w:t xml:space="preserve"> лица, лекарствени продукти и за потребителска такса.</w:t>
      </w:r>
    </w:p>
    <w:p w:rsidR="00D7150F" w:rsidRPr="00D7150F" w:rsidRDefault="00D7150F" w:rsidP="00D7150F">
      <w:pPr>
        <w:ind w:firstLine="567"/>
        <w:jc w:val="both"/>
        <w:rPr>
          <w:color w:val="0070C0"/>
          <w:lang w:val="en-US"/>
        </w:rPr>
      </w:pPr>
      <w:r w:rsidRPr="00D7150F">
        <w:lastRenderedPageBreak/>
        <w:t>По бюджета на НЗОК за 2019 година са утвърдени 53,4 млн. лв. за административни разходи на институцията, които включват разходите за персонал и за текуща издръжка. През 2019 г. са отчетени 53,0 млн. лв., което представлява 99,2 % от годишния разчет. Усвоените средства за административни разходи заемат 1,2 на сто в структурата на общите разходи за отчетния период.</w:t>
      </w:r>
    </w:p>
    <w:p w:rsidR="00D7150F" w:rsidRPr="00D7150F" w:rsidRDefault="00D7150F" w:rsidP="00D7150F">
      <w:pPr>
        <w:rPr>
          <w:lang w:val="en-US"/>
        </w:rPr>
      </w:pPr>
    </w:p>
    <w:p w:rsidR="00BD2711" w:rsidRPr="0028206A" w:rsidRDefault="00BD2711" w:rsidP="00EB4BEB">
      <w:pPr>
        <w:pStyle w:val="Heading1"/>
        <w:numPr>
          <w:ilvl w:val="1"/>
          <w:numId w:val="10"/>
        </w:numPr>
        <w:spacing w:before="120"/>
        <w:ind w:left="788" w:right="-108" w:hanging="431"/>
        <w:jc w:val="both"/>
        <w:rPr>
          <w:sz w:val="24"/>
        </w:rPr>
      </w:pPr>
      <w:r w:rsidRPr="0028206A">
        <w:rPr>
          <w:sz w:val="24"/>
        </w:rPr>
        <w:t>Общински бюджети</w:t>
      </w:r>
    </w:p>
    <w:p w:rsidR="00AA4582" w:rsidRPr="0028206A" w:rsidRDefault="00AA4582" w:rsidP="00AA4582">
      <w:pPr>
        <w:numPr>
          <w:ilvl w:val="0"/>
          <w:numId w:val="8"/>
        </w:numPr>
        <w:tabs>
          <w:tab w:val="num" w:pos="540"/>
        </w:tabs>
        <w:spacing w:before="120" w:line="276" w:lineRule="auto"/>
        <w:ind w:left="714" w:hanging="147"/>
        <w:jc w:val="both"/>
        <w:rPr>
          <w:b/>
        </w:rPr>
      </w:pPr>
      <w:r w:rsidRPr="0028206A">
        <w:rPr>
          <w:b/>
        </w:rPr>
        <w:t>Приходи</w:t>
      </w:r>
    </w:p>
    <w:p w:rsidR="00332AE6" w:rsidRPr="00C85532" w:rsidRDefault="00332AE6" w:rsidP="00332AE6">
      <w:pPr>
        <w:ind w:firstLine="567"/>
        <w:jc w:val="both"/>
        <w:rPr>
          <w:color w:val="0070C0"/>
        </w:rPr>
      </w:pPr>
      <w:r w:rsidRPr="00983E23">
        <w:t>Собствените приходи по бюджетите на общините към 31.12</w:t>
      </w:r>
      <w:r w:rsidRPr="00983E23">
        <w:rPr>
          <w:lang w:val="en-US"/>
        </w:rPr>
        <w:t>.</w:t>
      </w:r>
      <w:r w:rsidRPr="00983E23">
        <w:t>201</w:t>
      </w:r>
      <w:r w:rsidRPr="00983E23">
        <w:rPr>
          <w:lang w:val="en-US"/>
        </w:rPr>
        <w:t>9</w:t>
      </w:r>
      <w:r w:rsidRPr="00983E23">
        <w:t xml:space="preserve"> г. са в размер на 2 412,3</w:t>
      </w:r>
      <w:r w:rsidRPr="00983E23">
        <w:rPr>
          <w:bCs/>
        </w:rPr>
        <w:t> м</w:t>
      </w:r>
      <w:r w:rsidRPr="00983E23">
        <w:t>лн. лв., което представлява 100</w:t>
      </w:r>
      <w:r w:rsidRPr="00983E23">
        <w:rPr>
          <w:lang w:val="en-US"/>
        </w:rPr>
        <w:t>,</w:t>
      </w:r>
      <w:r w:rsidRPr="00983E23">
        <w:t>1 % от разчетените към ЗДБРБ за 201</w:t>
      </w:r>
      <w:r w:rsidRPr="00983E23">
        <w:rPr>
          <w:lang w:val="en-US"/>
        </w:rPr>
        <w:t>9</w:t>
      </w:r>
      <w:r w:rsidRPr="00983E23">
        <w:t xml:space="preserve"> г. постъпления в размер на </w:t>
      </w:r>
      <w:r w:rsidRPr="00983E23">
        <w:rPr>
          <w:bCs/>
        </w:rPr>
        <w:t xml:space="preserve">2 </w:t>
      </w:r>
      <w:r w:rsidRPr="00983E23">
        <w:rPr>
          <w:bCs/>
          <w:lang w:val="en-US"/>
        </w:rPr>
        <w:t>410,5</w:t>
      </w:r>
      <w:r w:rsidRPr="00983E23">
        <w:t xml:space="preserve"> млн. лева</w:t>
      </w:r>
      <w:r w:rsidRPr="00983E23">
        <w:rPr>
          <w:lang w:val="en-US"/>
        </w:rPr>
        <w:t xml:space="preserve"> </w:t>
      </w:r>
      <w:r w:rsidRPr="00983E23">
        <w:t xml:space="preserve">и с 60,8 млн. лв. повече спрямо събраните през 2018 г. </w:t>
      </w:r>
      <w:r w:rsidRPr="00983E23">
        <w:rPr>
          <w:i/>
        </w:rPr>
        <w:t>Данъчните приходи</w:t>
      </w:r>
      <w:r w:rsidRPr="00983E23">
        <w:t xml:space="preserve"> по общинските бюджети са в размер на 1</w:t>
      </w:r>
      <w:r>
        <w:t xml:space="preserve"> </w:t>
      </w:r>
      <w:r w:rsidRPr="00983E23">
        <w:t xml:space="preserve">040,8 млн. лв. или 100,7 % </w:t>
      </w:r>
      <w:r w:rsidR="001B37B0">
        <w:t>спрямо</w:t>
      </w:r>
      <w:r w:rsidRPr="00983E23">
        <w:t xml:space="preserve"> годишните разчети към ЗДБРБ за 2019 г. и с 5,2 % повече спрямо тези за предходната година</w:t>
      </w:r>
      <w:r w:rsidRPr="00611B43">
        <w:t xml:space="preserve">. </w:t>
      </w:r>
      <w:r w:rsidRPr="00611B43">
        <w:rPr>
          <w:bCs/>
        </w:rPr>
        <w:t xml:space="preserve">От </w:t>
      </w:r>
      <w:r w:rsidRPr="00611B43">
        <w:rPr>
          <w:bCs/>
          <w:i/>
        </w:rPr>
        <w:t>имуществени данъци по Закона за местните данъци и такси</w:t>
      </w:r>
      <w:r w:rsidRPr="00611B43">
        <w:rPr>
          <w:bCs/>
        </w:rPr>
        <w:t xml:space="preserve"> в местните бюджети към 31 декември 2019 г. са постъпили общо 1 020,0 млн. лв., което представлява 100,9 % от годишния разчет</w:t>
      </w:r>
      <w:r w:rsidRPr="00611B43">
        <w:rPr>
          <w:bCs/>
          <w:lang w:val="en-US"/>
        </w:rPr>
        <w:t xml:space="preserve"> </w:t>
      </w:r>
      <w:r w:rsidRPr="00611B43">
        <w:rPr>
          <w:bCs/>
        </w:rPr>
        <w:t>и с 5,3 % повече от постъпленията за 2018 г. С най-значителен дял в приходите от имуществени данъци е данъкът върху превозните средства – 34,0 %, следват данъкът върху недвижимите имоти – 33,2 %, данъкът върху придобиване на имущество по дарения и възмезден начин – 30,7</w:t>
      </w:r>
      <w:r w:rsidRPr="00611B43">
        <w:rPr>
          <w:bCs/>
          <w:lang w:val="en-US"/>
        </w:rPr>
        <w:t> </w:t>
      </w:r>
      <w:r w:rsidRPr="00611B43">
        <w:rPr>
          <w:bCs/>
        </w:rPr>
        <w:t>% и туристически данък – 2,1 %.</w:t>
      </w:r>
      <w:r w:rsidRPr="00611B43">
        <w:t xml:space="preserve"> През отчетния период по бюджетите на общините са постъпили 20,8 млн. лв. от </w:t>
      </w:r>
      <w:r w:rsidRPr="00611B43">
        <w:rPr>
          <w:i/>
        </w:rPr>
        <w:t>патентен данък и данък върху таксиметров превоз на пътници</w:t>
      </w:r>
      <w:r w:rsidRPr="00611B43">
        <w:t xml:space="preserve"> (90,3 % от годишния разчет). </w:t>
      </w:r>
    </w:p>
    <w:p w:rsidR="00332AE6" w:rsidRPr="00C85532" w:rsidRDefault="00332AE6" w:rsidP="00332AE6">
      <w:pPr>
        <w:ind w:firstLine="567"/>
        <w:jc w:val="both"/>
        <w:rPr>
          <w:color w:val="0070C0"/>
        </w:rPr>
      </w:pPr>
      <w:r w:rsidRPr="00611B43">
        <w:t xml:space="preserve">Общият размер на </w:t>
      </w:r>
      <w:r w:rsidRPr="00611B43">
        <w:rPr>
          <w:i/>
        </w:rPr>
        <w:t>неданъчните приходи</w:t>
      </w:r>
      <w:r w:rsidRPr="00611B43">
        <w:t xml:space="preserve"> по местните бюджети към 31 декември 2019 г. е 1 347,4 млн. лв. или 99,3 % от разчетите към ЗДБРБ за 2019 г. Най-голям </w:t>
      </w:r>
      <w:r w:rsidRPr="000D4507">
        <w:t xml:space="preserve">относителен дял заемат приходите от общински такси, които възлизат на 840,0 млн. лв. </w:t>
      </w:r>
      <w:r w:rsidRPr="000D4507">
        <w:rPr>
          <w:lang w:val="en-US"/>
        </w:rPr>
        <w:t>(</w:t>
      </w:r>
      <w:r w:rsidRPr="000D4507">
        <w:t>101</w:t>
      </w:r>
      <w:proofErr w:type="gramStart"/>
      <w:r w:rsidRPr="000D4507">
        <w:t>,1</w:t>
      </w:r>
      <w:proofErr w:type="gramEnd"/>
      <w:r w:rsidRPr="000D4507">
        <w:t xml:space="preserve"> % от разчетените за годината</w:t>
      </w:r>
      <w:r w:rsidRPr="000D4507">
        <w:rPr>
          <w:lang w:val="en-US"/>
        </w:rPr>
        <w:t>)</w:t>
      </w:r>
      <w:r w:rsidRPr="000D4507">
        <w:t xml:space="preserve">, следват приходите и доходите от собственост – 297,2 млн. лв. </w:t>
      </w:r>
      <w:r w:rsidRPr="000D4507">
        <w:rPr>
          <w:lang w:val="en-US"/>
        </w:rPr>
        <w:t>(</w:t>
      </w:r>
      <w:r w:rsidRPr="000D4507">
        <w:t>97</w:t>
      </w:r>
      <w:proofErr w:type="gramStart"/>
      <w:r w:rsidRPr="000D4507">
        <w:t>,0</w:t>
      </w:r>
      <w:proofErr w:type="gramEnd"/>
      <w:r w:rsidR="00B772DC">
        <w:t> </w:t>
      </w:r>
      <w:r w:rsidRPr="000D4507">
        <w:t>% от разчетените за 2019 г.</w:t>
      </w:r>
      <w:r w:rsidRPr="000D4507">
        <w:rPr>
          <w:lang w:val="en-US"/>
        </w:rPr>
        <w:t>)</w:t>
      </w:r>
      <w:r w:rsidRPr="000D4507">
        <w:t>, постъпленията</w:t>
      </w:r>
      <w:r w:rsidRPr="000D4507">
        <w:rPr>
          <w:lang w:val="en-US"/>
        </w:rPr>
        <w:t xml:space="preserve"> </w:t>
      </w:r>
      <w:r w:rsidRPr="000D4507">
        <w:t xml:space="preserve">от продажба на нефинансови активи – 121,7 млн. лв. </w:t>
      </w:r>
      <w:r w:rsidRPr="000D4507">
        <w:rPr>
          <w:lang w:val="en-US"/>
        </w:rPr>
        <w:t>(</w:t>
      </w:r>
      <w:r w:rsidRPr="000D4507">
        <w:t>82</w:t>
      </w:r>
      <w:proofErr w:type="gramStart"/>
      <w:r w:rsidRPr="000D4507">
        <w:t>,9</w:t>
      </w:r>
      <w:proofErr w:type="gramEnd"/>
      <w:r w:rsidRPr="000D4507">
        <w:t xml:space="preserve"> % от разчета за годината</w:t>
      </w:r>
      <w:r w:rsidRPr="000D4507">
        <w:rPr>
          <w:lang w:val="en-US"/>
        </w:rPr>
        <w:t>)</w:t>
      </w:r>
      <w:r w:rsidRPr="000D4507">
        <w:t xml:space="preserve">, постъпленията от глоби, санкции и наказателни лихви – 78,7 млн. лв. </w:t>
      </w:r>
      <w:r w:rsidRPr="000D4507">
        <w:rPr>
          <w:lang w:val="en-US"/>
        </w:rPr>
        <w:t>(</w:t>
      </w:r>
      <w:r w:rsidRPr="000D4507">
        <w:t>98</w:t>
      </w:r>
      <w:proofErr w:type="gramStart"/>
      <w:r w:rsidRPr="000D4507">
        <w:t>,3</w:t>
      </w:r>
      <w:proofErr w:type="gramEnd"/>
      <w:r w:rsidRPr="000D4507">
        <w:t xml:space="preserve"> % от планираните</w:t>
      </w:r>
      <w:r w:rsidRPr="000D4507">
        <w:rPr>
          <w:lang w:val="en-US"/>
        </w:rPr>
        <w:t>)</w:t>
      </w:r>
      <w:r w:rsidRPr="000D4507">
        <w:t xml:space="preserve"> и приходите от концесии 46,5 млн. лв. </w:t>
      </w:r>
      <w:r w:rsidRPr="000D4507">
        <w:rPr>
          <w:lang w:val="en-US"/>
        </w:rPr>
        <w:t>(</w:t>
      </w:r>
      <w:r w:rsidRPr="000D4507">
        <w:t>100</w:t>
      </w:r>
      <w:proofErr w:type="gramStart"/>
      <w:r w:rsidRPr="000D4507">
        <w:t>,9</w:t>
      </w:r>
      <w:proofErr w:type="gramEnd"/>
      <w:r w:rsidRPr="000D4507">
        <w:t xml:space="preserve"> % </w:t>
      </w:r>
      <w:r w:rsidR="00071657">
        <w:t>спрямо</w:t>
      </w:r>
      <w:r w:rsidRPr="000D4507">
        <w:t xml:space="preserve"> разчета за 2019 г.</w:t>
      </w:r>
      <w:r w:rsidRPr="000D4507">
        <w:rPr>
          <w:lang w:val="en-US"/>
        </w:rPr>
        <w:t>)</w:t>
      </w:r>
      <w:r w:rsidRPr="000D4507">
        <w:t>.</w:t>
      </w:r>
    </w:p>
    <w:p w:rsidR="00332AE6" w:rsidRPr="000D4507" w:rsidRDefault="00332AE6" w:rsidP="00332AE6">
      <w:pPr>
        <w:ind w:firstLine="567"/>
        <w:jc w:val="both"/>
      </w:pPr>
      <w:r w:rsidRPr="000D4507">
        <w:t xml:space="preserve">През отчетния период по общинските бюджети са постъпили 24,0 млн. лв. приходи от </w:t>
      </w:r>
      <w:r w:rsidRPr="000D4507">
        <w:rPr>
          <w:i/>
        </w:rPr>
        <w:t>помощи и дарения</w:t>
      </w:r>
      <w:r w:rsidRPr="000D4507">
        <w:t xml:space="preserve">, което е 122,8 % от разчетените за годината 19,6 млн. лева. </w:t>
      </w:r>
    </w:p>
    <w:p w:rsidR="00332AE6" w:rsidRPr="000D4507" w:rsidRDefault="00332AE6" w:rsidP="00332AE6">
      <w:pPr>
        <w:ind w:firstLine="567"/>
        <w:jc w:val="both"/>
      </w:pPr>
    </w:p>
    <w:p w:rsidR="00332AE6" w:rsidRPr="000D4507" w:rsidRDefault="00332AE6" w:rsidP="00332AE6">
      <w:pPr>
        <w:numPr>
          <w:ilvl w:val="0"/>
          <w:numId w:val="8"/>
        </w:numPr>
        <w:tabs>
          <w:tab w:val="num" w:pos="540"/>
        </w:tabs>
        <w:spacing w:line="276" w:lineRule="auto"/>
        <w:ind w:left="714" w:hanging="147"/>
        <w:jc w:val="both"/>
        <w:rPr>
          <w:b/>
        </w:rPr>
      </w:pPr>
      <w:r w:rsidRPr="000D4507">
        <w:rPr>
          <w:b/>
        </w:rPr>
        <w:t>Разходи</w:t>
      </w:r>
    </w:p>
    <w:p w:rsidR="00332AE6" w:rsidRPr="00C85532" w:rsidRDefault="00332AE6" w:rsidP="00332AE6">
      <w:pPr>
        <w:ind w:firstLine="567"/>
        <w:jc w:val="both"/>
        <w:rPr>
          <w:color w:val="0070C0"/>
        </w:rPr>
      </w:pPr>
      <w:r w:rsidRPr="000D4507">
        <w:t>Към 31.12.201</w:t>
      </w:r>
      <w:r w:rsidRPr="000D4507">
        <w:rPr>
          <w:lang w:val="en-US"/>
        </w:rPr>
        <w:t>9</w:t>
      </w:r>
      <w:r w:rsidRPr="000D4507">
        <w:t xml:space="preserve"> г. общините са отчели общо разходи в размер на 7</w:t>
      </w:r>
      <w:r w:rsidRPr="000D4507">
        <w:rPr>
          <w:lang w:val="en-US"/>
        </w:rPr>
        <w:t> </w:t>
      </w:r>
      <w:r w:rsidRPr="000D4507">
        <w:t>020</w:t>
      </w:r>
      <w:r w:rsidRPr="000D4507">
        <w:rPr>
          <w:lang w:val="en-US"/>
        </w:rPr>
        <w:t>,</w:t>
      </w:r>
      <w:r w:rsidRPr="000D4507">
        <w:t>5</w:t>
      </w:r>
      <w:r w:rsidRPr="000D4507">
        <w:rPr>
          <w:lang w:val="en-US"/>
        </w:rPr>
        <w:t xml:space="preserve"> </w:t>
      </w:r>
      <w:r w:rsidRPr="000D4507">
        <w:t>млн. лв., които представляват 114,6 %</w:t>
      </w:r>
      <w:r w:rsidRPr="000D4507">
        <w:rPr>
          <w:lang w:val="en-US"/>
        </w:rPr>
        <w:t xml:space="preserve"> </w:t>
      </w:r>
      <w:r w:rsidRPr="000D4507">
        <w:t>спрямо разчетите по ЗДБРБ за 2019 година.</w:t>
      </w:r>
    </w:p>
    <w:p w:rsidR="00332AE6" w:rsidRPr="00C85532" w:rsidRDefault="00332AE6" w:rsidP="00332AE6">
      <w:pPr>
        <w:ind w:firstLine="567"/>
        <w:jc w:val="both"/>
        <w:rPr>
          <w:color w:val="0070C0"/>
        </w:rPr>
      </w:pPr>
      <w:r w:rsidRPr="000D4507">
        <w:rPr>
          <w:i/>
        </w:rPr>
        <w:t>Н</w:t>
      </w:r>
      <w:r w:rsidRPr="00C36798">
        <w:rPr>
          <w:i/>
        </w:rPr>
        <w:t>елихвените разходи</w:t>
      </w:r>
      <w:r w:rsidRPr="00C36798">
        <w:t xml:space="preserve"> възлизат на 6 981,4 млн. лв. или 114,6 % </w:t>
      </w:r>
      <w:r w:rsidR="00E4174B" w:rsidRPr="000D4507">
        <w:t xml:space="preserve">спрямо </w:t>
      </w:r>
      <w:r w:rsidRPr="00C36798">
        <w:t>годишния разчет. Разходите за персонал (</w:t>
      </w:r>
      <w:r w:rsidRPr="00C36798">
        <w:rPr>
          <w:bCs/>
        </w:rPr>
        <w:t>заплати и възнаграждения, други възнаграждения и плащания за персонала и осигурителни вноски)</w:t>
      </w:r>
      <w:r w:rsidRPr="00C36798">
        <w:t xml:space="preserve"> са в размер на 3</w:t>
      </w:r>
      <w:r w:rsidRPr="00C36798">
        <w:rPr>
          <w:lang w:val="en-US"/>
        </w:rPr>
        <w:t xml:space="preserve"> </w:t>
      </w:r>
      <w:r w:rsidRPr="00C36798">
        <w:t>603,0 млн. лв. или 109,</w:t>
      </w:r>
      <w:r w:rsidRPr="00C36798">
        <w:rPr>
          <w:lang w:val="en-US"/>
        </w:rPr>
        <w:t>0</w:t>
      </w:r>
      <w:r w:rsidRPr="00C36798">
        <w:t xml:space="preserve"> % </w:t>
      </w:r>
      <w:r w:rsidR="000E6DF6" w:rsidRPr="000D4507">
        <w:t xml:space="preserve">спрямо </w:t>
      </w:r>
      <w:r w:rsidRPr="00C36798">
        <w:t xml:space="preserve">планираните за 2019 г. Разходите за издръжка </w:t>
      </w:r>
      <w:r w:rsidRPr="00C36798">
        <w:rPr>
          <w:bCs/>
        </w:rPr>
        <w:t>(вкл. разходи за членски внос и участие в нетърговски организации и дейности, платени данъци, такси и административни санкции)</w:t>
      </w:r>
      <w:r w:rsidRPr="00C36798">
        <w:t xml:space="preserve"> са в размер на </w:t>
      </w:r>
      <w:r w:rsidRPr="00C36798">
        <w:rPr>
          <w:lang w:val="en-US"/>
        </w:rPr>
        <w:t>1 </w:t>
      </w:r>
      <w:r w:rsidRPr="00C36798">
        <w:t xml:space="preserve">921,5 млн. лв., 115,6 % </w:t>
      </w:r>
      <w:r w:rsidR="00B20C95" w:rsidRPr="000D4507">
        <w:t xml:space="preserve">спрямо </w:t>
      </w:r>
      <w:r w:rsidRPr="00C36798">
        <w:t xml:space="preserve">годишния разчет. Разходите за </w:t>
      </w:r>
      <w:r w:rsidRPr="00C72885">
        <w:t>субсидии са в размер на 225,0 млн. лева</w:t>
      </w:r>
      <w:r w:rsidRPr="00C72885">
        <w:rPr>
          <w:lang w:val="en-US"/>
        </w:rPr>
        <w:t xml:space="preserve"> (1</w:t>
      </w:r>
      <w:r w:rsidRPr="00C72885">
        <w:t>85</w:t>
      </w:r>
      <w:r w:rsidRPr="00C72885">
        <w:rPr>
          <w:lang w:val="en-US"/>
        </w:rPr>
        <w:t>,</w:t>
      </w:r>
      <w:r w:rsidRPr="00C72885">
        <w:t>0</w:t>
      </w:r>
      <w:r w:rsidRPr="00C72885">
        <w:rPr>
          <w:lang w:val="en-US"/>
        </w:rPr>
        <w:t xml:space="preserve"> % </w:t>
      </w:r>
      <w:r w:rsidR="00E76FCF" w:rsidRPr="000D4507">
        <w:t xml:space="preserve">спрямо </w:t>
      </w:r>
      <w:r w:rsidRPr="00C72885">
        <w:t>годишния разчет</w:t>
      </w:r>
      <w:r w:rsidRPr="00C72885">
        <w:rPr>
          <w:lang w:val="en-US"/>
        </w:rPr>
        <w:t>)</w:t>
      </w:r>
      <w:r w:rsidRPr="00C72885">
        <w:t>. В разходите за субсидии за нефинансови предприятия се отчитат предоставените от общините субсидии за вътрешноградски и междуселищни превози на транспортните фирми и дружества, които се планират в централния бюджет, както и тези, които се предоставят по решение на общинския съвет. Като разходи за субсидии за организации с нестопанска цел се отчитат отпусканите по решение на общинския съвет субсидии по реда на Закона за физкултурата и спорта за подпомагане дейността на спортните клубове в общините</w:t>
      </w:r>
      <w:r w:rsidRPr="00C72885">
        <w:rPr>
          <w:lang w:val="en-US"/>
        </w:rPr>
        <w:t xml:space="preserve"> (</w:t>
      </w:r>
      <w:r w:rsidRPr="00C72885">
        <w:t>отчитат се в местните дейности</w:t>
      </w:r>
      <w:r w:rsidRPr="00C72885">
        <w:rPr>
          <w:lang w:val="en-US"/>
        </w:rPr>
        <w:t>)</w:t>
      </w:r>
      <w:r w:rsidRPr="00C72885">
        <w:t xml:space="preserve">. </w:t>
      </w:r>
      <w:r w:rsidRPr="00C72885">
        <w:rPr>
          <w:bCs/>
        </w:rPr>
        <w:t>Социалните разходи (</w:t>
      </w:r>
      <w:r w:rsidRPr="00C72885">
        <w:t xml:space="preserve">текущи трансфери, обезщетения и помощи за домакинствата, </w:t>
      </w:r>
      <w:r w:rsidRPr="00C72885">
        <w:rPr>
          <w:bCs/>
        </w:rPr>
        <w:t>вкл. разходите за стипендии)</w:t>
      </w:r>
      <w:r w:rsidRPr="00C72885">
        <w:t xml:space="preserve"> са в размер на 191,7 млн. лв., </w:t>
      </w:r>
      <w:r w:rsidRPr="00F84EAB">
        <w:t xml:space="preserve">което е 154,8 % </w:t>
      </w:r>
      <w:r w:rsidR="008E646D">
        <w:t>спрямо</w:t>
      </w:r>
      <w:r w:rsidRPr="00F84EAB">
        <w:t xml:space="preserve"> разчетите към ЗДБРБ за 2019 година.  </w:t>
      </w:r>
    </w:p>
    <w:p w:rsidR="00332AE6" w:rsidRPr="00F84EAB" w:rsidRDefault="00332AE6" w:rsidP="00332AE6">
      <w:pPr>
        <w:ind w:firstLine="567"/>
      </w:pPr>
      <w:r w:rsidRPr="00F84EAB">
        <w:t xml:space="preserve">Капиталовите разходи са в размер на 1 040,2 млн. лв. или 118,6 % </w:t>
      </w:r>
      <w:r w:rsidR="001C0241">
        <w:t>спрямо</w:t>
      </w:r>
      <w:r w:rsidR="001C0241" w:rsidRPr="00F84EAB">
        <w:t xml:space="preserve"> </w:t>
      </w:r>
      <w:r w:rsidRPr="00F84EAB">
        <w:t>разчетите към ЗДБРБ за 2019 година.</w:t>
      </w:r>
    </w:p>
    <w:p w:rsidR="00332AE6" w:rsidRPr="00C85532" w:rsidRDefault="00332AE6" w:rsidP="00332AE6">
      <w:pPr>
        <w:ind w:firstLine="567"/>
        <w:jc w:val="both"/>
        <w:rPr>
          <w:color w:val="0070C0"/>
        </w:rPr>
      </w:pPr>
      <w:r w:rsidRPr="00F84EAB">
        <w:rPr>
          <w:i/>
        </w:rPr>
        <w:lastRenderedPageBreak/>
        <w:t>Разходите за лихви</w:t>
      </w:r>
      <w:r w:rsidRPr="00F84EAB">
        <w:t xml:space="preserve"> възлизат на 39,1 млн. лв. и са 108,9 % </w:t>
      </w:r>
      <w:r w:rsidR="008152EF">
        <w:t>спрямо</w:t>
      </w:r>
      <w:r w:rsidR="008152EF" w:rsidRPr="00F84EAB">
        <w:t xml:space="preserve"> </w:t>
      </w:r>
      <w:r w:rsidRPr="00F84EAB">
        <w:t xml:space="preserve">разчета за 2019 г. </w:t>
      </w:r>
      <w:proofErr w:type="spellStart"/>
      <w:r w:rsidRPr="00F84EAB">
        <w:t>Превишението</w:t>
      </w:r>
      <w:proofErr w:type="spellEnd"/>
      <w:r w:rsidRPr="00F84EAB">
        <w:t xml:space="preserve"> е във връзка с изплатените от общинските бюджети разходи за лихви към местни лица (за забавено изпълнение по сключени договори, по изпълнителни листове и др. наказателни лихви</w:t>
      </w:r>
      <w:r w:rsidRPr="00F84EAB">
        <w:rPr>
          <w:lang w:val="en-US"/>
        </w:rPr>
        <w:t>)</w:t>
      </w:r>
      <w:r w:rsidRPr="00F84EAB">
        <w:t>. Лихвените плащания по заеми от чужбина са в размер на 1</w:t>
      </w:r>
      <w:r w:rsidRPr="00F84EAB">
        <w:rPr>
          <w:lang w:val="en-US"/>
        </w:rPr>
        <w:t>9</w:t>
      </w:r>
      <w:r w:rsidRPr="00F84EAB">
        <w:t>,</w:t>
      </w:r>
      <w:r w:rsidRPr="00F84EAB">
        <w:rPr>
          <w:lang w:val="en-US"/>
        </w:rPr>
        <w:t>6</w:t>
      </w:r>
      <w:r w:rsidRPr="00F84EAB">
        <w:t xml:space="preserve"> млн. лв., по облигационни заеми - </w:t>
      </w:r>
      <w:r w:rsidRPr="00F84EAB">
        <w:rPr>
          <w:lang w:val="en-US"/>
        </w:rPr>
        <w:t>3</w:t>
      </w:r>
      <w:r w:rsidRPr="00F84EAB">
        <w:t>,</w:t>
      </w:r>
      <w:r w:rsidRPr="00F84EAB">
        <w:rPr>
          <w:lang w:val="en-US"/>
        </w:rPr>
        <w:t>2</w:t>
      </w:r>
      <w:r w:rsidRPr="00F84EAB">
        <w:t xml:space="preserve"> млн. лв., по други вътрешни заеми (банкови, заеми към „ФЛАГ“ ЕАД и др.) са </w:t>
      </w:r>
      <w:r w:rsidRPr="00F84EAB">
        <w:rPr>
          <w:lang w:val="en-US"/>
        </w:rPr>
        <w:t>10</w:t>
      </w:r>
      <w:r w:rsidRPr="00F84EAB">
        <w:t>,</w:t>
      </w:r>
      <w:r w:rsidRPr="00F84EAB">
        <w:rPr>
          <w:lang w:val="en-US"/>
        </w:rPr>
        <w:t>7</w:t>
      </w:r>
      <w:r w:rsidRPr="00F84EAB">
        <w:t xml:space="preserve"> млн.</w:t>
      </w:r>
      <w:r w:rsidR="008C7213">
        <w:t xml:space="preserve"> </w:t>
      </w:r>
      <w:r w:rsidRPr="00F84EAB">
        <w:t xml:space="preserve">лв. и по финансови лизинги и търговски кредити са 0,2 млн. лв. и др. лихвени плащания </w:t>
      </w:r>
      <w:r w:rsidRPr="00F84EAB">
        <w:rPr>
          <w:lang w:val="en-US"/>
        </w:rPr>
        <w:t>(</w:t>
      </w:r>
      <w:r w:rsidRPr="00F84EAB">
        <w:t>наказателни лихви и др.)  са в размер на 5,4 млн. лева.</w:t>
      </w:r>
    </w:p>
    <w:p w:rsidR="00332AE6" w:rsidRPr="00335FD7" w:rsidRDefault="00332AE6" w:rsidP="00332AE6">
      <w:pPr>
        <w:tabs>
          <w:tab w:val="center" w:pos="4153"/>
          <w:tab w:val="right" w:pos="8306"/>
        </w:tabs>
        <w:ind w:firstLine="567"/>
        <w:jc w:val="both"/>
      </w:pPr>
      <w:r w:rsidRPr="00F84EAB">
        <w:t xml:space="preserve">Общият размер на отчетените разходи за </w:t>
      </w:r>
      <w:proofErr w:type="spellStart"/>
      <w:r w:rsidRPr="00F84EAB">
        <w:t>дофинансиране</w:t>
      </w:r>
      <w:proofErr w:type="spellEnd"/>
      <w:r w:rsidRPr="00F84EAB">
        <w:t xml:space="preserve"> на делегираните от </w:t>
      </w:r>
      <w:r w:rsidRPr="00335FD7">
        <w:t>държавата дейности с местни приходи е 218,6 млн. лева.</w:t>
      </w:r>
    </w:p>
    <w:p w:rsidR="00332AE6" w:rsidRPr="00335FD7" w:rsidRDefault="00332AE6" w:rsidP="00332AE6">
      <w:pPr>
        <w:tabs>
          <w:tab w:val="center" w:pos="4153"/>
          <w:tab w:val="right" w:pos="8306"/>
        </w:tabs>
        <w:jc w:val="both"/>
        <w:rPr>
          <w:rFonts w:eastAsia="Calibri"/>
          <w:sz w:val="8"/>
        </w:rPr>
      </w:pPr>
    </w:p>
    <w:p w:rsidR="00332AE6" w:rsidRPr="00335FD7" w:rsidRDefault="00332AE6" w:rsidP="00332AE6">
      <w:pPr>
        <w:numPr>
          <w:ilvl w:val="0"/>
          <w:numId w:val="8"/>
        </w:numPr>
        <w:tabs>
          <w:tab w:val="num" w:pos="540"/>
        </w:tabs>
        <w:spacing w:before="120" w:line="276" w:lineRule="auto"/>
        <w:ind w:left="714" w:hanging="147"/>
        <w:jc w:val="both"/>
        <w:rPr>
          <w:b/>
        </w:rPr>
      </w:pPr>
      <w:r w:rsidRPr="00335FD7">
        <w:rPr>
          <w:b/>
        </w:rPr>
        <w:t>Финансиране</w:t>
      </w:r>
    </w:p>
    <w:p w:rsidR="00332AE6" w:rsidRDefault="00332AE6" w:rsidP="00332AE6">
      <w:pPr>
        <w:ind w:firstLine="567"/>
        <w:jc w:val="both"/>
        <w:rPr>
          <w:lang w:val="en-US"/>
        </w:rPr>
      </w:pPr>
      <w:r w:rsidRPr="00335FD7">
        <w:t>Към 3</w:t>
      </w:r>
      <w:r w:rsidRPr="00335FD7">
        <w:rPr>
          <w:lang w:val="en-US"/>
        </w:rPr>
        <w:t>1</w:t>
      </w:r>
      <w:r w:rsidRPr="00335FD7">
        <w:t>.</w:t>
      </w:r>
      <w:r w:rsidRPr="00335FD7">
        <w:rPr>
          <w:lang w:val="en-US"/>
        </w:rPr>
        <w:t>12</w:t>
      </w:r>
      <w:r w:rsidRPr="00335FD7">
        <w:t xml:space="preserve">.2019 г. по общинските бюджети са изплатени </w:t>
      </w:r>
      <w:r w:rsidRPr="00335FD7">
        <w:rPr>
          <w:i/>
        </w:rPr>
        <w:t>погашения по заеми</w:t>
      </w:r>
      <w:r w:rsidRPr="00335FD7">
        <w:t xml:space="preserve"> от чужбина в размер </w:t>
      </w:r>
      <w:r w:rsidRPr="002A29F9">
        <w:t xml:space="preserve">на </w:t>
      </w:r>
      <w:r w:rsidR="008C46E0">
        <w:t>42,6</w:t>
      </w:r>
      <w:r w:rsidRPr="002A29F9">
        <w:t xml:space="preserve"> млн. лева, а получените средства от началото на годината по тези заеми са в размер на </w:t>
      </w:r>
      <w:r w:rsidR="008C46E0">
        <w:t>51,7</w:t>
      </w:r>
      <w:r w:rsidRPr="002A29F9">
        <w:t xml:space="preserve"> млн. лв. Получените средства са от Столична община (43,0 млн.</w:t>
      </w:r>
      <w:r w:rsidR="008C7213">
        <w:t xml:space="preserve"> </w:t>
      </w:r>
      <w:r w:rsidRPr="002A29F9">
        <w:t>лв.), Варна (7,2 млн.</w:t>
      </w:r>
      <w:r w:rsidR="008C7213">
        <w:t xml:space="preserve"> </w:t>
      </w:r>
      <w:r w:rsidRPr="002A29F9">
        <w:t>лв.) и Пловдив (1,4 млн.</w:t>
      </w:r>
      <w:r w:rsidR="008C7213">
        <w:t xml:space="preserve"> </w:t>
      </w:r>
      <w:r w:rsidRPr="002A29F9">
        <w:t>лв.). Заемите са предназначени за финансиране на инвестиционни обекти, за чието финансиране общините са сключвали нови договори или средствата са получени през 2019 г. като траншове по сключени през предходни години договори.</w:t>
      </w:r>
    </w:p>
    <w:p w:rsidR="00332AE6" w:rsidRDefault="00332AE6" w:rsidP="00332AE6">
      <w:pPr>
        <w:ind w:firstLine="567"/>
        <w:jc w:val="both"/>
        <w:rPr>
          <w:lang w:val="en-US"/>
        </w:rPr>
      </w:pPr>
      <w:r w:rsidRPr="008911B4">
        <w:t xml:space="preserve">Получените по бюджетите на общините към 31.12.2019 г. заеми от </w:t>
      </w:r>
      <w:r w:rsidRPr="008911B4">
        <w:rPr>
          <w:i/>
        </w:rPr>
        <w:t>банки в</w:t>
      </w:r>
      <w:r w:rsidRPr="008911B4">
        <w:t xml:space="preserve"> </w:t>
      </w:r>
      <w:r w:rsidRPr="008911B4">
        <w:rPr>
          <w:i/>
        </w:rPr>
        <w:t>страната</w:t>
      </w:r>
      <w:r w:rsidRPr="008911B4">
        <w:t xml:space="preserve"> са в размер на 107,0 млн.</w:t>
      </w:r>
      <w:r>
        <w:rPr>
          <w:lang w:val="en-US"/>
        </w:rPr>
        <w:t xml:space="preserve"> </w:t>
      </w:r>
      <w:r w:rsidRPr="008911B4">
        <w:t>лв., а погашенията към същите са 60,7 млн.</w:t>
      </w:r>
      <w:r>
        <w:rPr>
          <w:lang w:val="en-US"/>
        </w:rPr>
        <w:t xml:space="preserve"> </w:t>
      </w:r>
      <w:r w:rsidRPr="008911B4">
        <w:t xml:space="preserve">лв. От </w:t>
      </w:r>
      <w:r w:rsidRPr="008911B4">
        <w:rPr>
          <w:i/>
        </w:rPr>
        <w:t>други лица в страната</w:t>
      </w:r>
      <w:r w:rsidRPr="008911B4">
        <w:t xml:space="preserve"> общините са</w:t>
      </w:r>
      <w:r w:rsidR="004D63A4">
        <w:t xml:space="preserve"> получили заеми в размер на 99,</w:t>
      </w:r>
      <w:r w:rsidR="004D63A4">
        <w:rPr>
          <w:lang w:val="en-US"/>
        </w:rPr>
        <w:t>0</w:t>
      </w:r>
      <w:r w:rsidRPr="008911B4">
        <w:t xml:space="preserve"> млн.</w:t>
      </w:r>
      <w:r>
        <w:rPr>
          <w:lang w:val="en-US"/>
        </w:rPr>
        <w:t xml:space="preserve"> </w:t>
      </w:r>
      <w:r w:rsidRPr="008911B4">
        <w:t>лв., като основно те са от „ФЛАГ“ ЕАД (94,9 млн.</w:t>
      </w:r>
      <w:r w:rsidR="008C7213">
        <w:t xml:space="preserve"> </w:t>
      </w:r>
      <w:r w:rsidRPr="008911B4">
        <w:t>лв.), а направените погашения са 87,5 млн. лв. (в т.ч. 85,7 млн. лв. към този фонд).</w:t>
      </w:r>
    </w:p>
    <w:p w:rsidR="00332AE6" w:rsidRPr="008911B4" w:rsidRDefault="00332AE6" w:rsidP="00332AE6">
      <w:pPr>
        <w:tabs>
          <w:tab w:val="center" w:pos="4153"/>
          <w:tab w:val="right" w:pos="8306"/>
        </w:tabs>
        <w:ind w:firstLine="567"/>
        <w:jc w:val="both"/>
      </w:pPr>
      <w:r w:rsidRPr="008911B4">
        <w:t>Погашенията по емитирани общински ценни книжа за 2019 г. са в размер на 15,7</w:t>
      </w:r>
      <w:r w:rsidRPr="008911B4">
        <w:rPr>
          <w:b/>
        </w:rPr>
        <w:t> </w:t>
      </w:r>
      <w:r w:rsidRPr="008911B4">
        <w:t>млн. лв., а една община (Марица) е емитирала дълг в размер на 6,0 млн.</w:t>
      </w:r>
      <w:r>
        <w:rPr>
          <w:lang w:val="en-US"/>
        </w:rPr>
        <w:t xml:space="preserve"> </w:t>
      </w:r>
      <w:r w:rsidRPr="008911B4">
        <w:t>л</w:t>
      </w:r>
      <w:r w:rsidR="008C7213">
        <w:t>е</w:t>
      </w:r>
      <w:r w:rsidRPr="008911B4">
        <w:t>в</w:t>
      </w:r>
      <w:r w:rsidR="008C7213">
        <w:t>а</w:t>
      </w:r>
      <w:r w:rsidRPr="008911B4">
        <w:t>.</w:t>
      </w:r>
    </w:p>
    <w:p w:rsidR="00332AE6" w:rsidRPr="002F3019" w:rsidRDefault="00332AE6" w:rsidP="00332AE6">
      <w:pPr>
        <w:ind w:firstLine="567"/>
        <w:jc w:val="both"/>
      </w:pPr>
      <w:r w:rsidRPr="002F3019">
        <w:t>Другото финансиране /нето/ по общинските бюджети към 3</w:t>
      </w:r>
      <w:r w:rsidRPr="002F3019">
        <w:rPr>
          <w:lang w:val="en-US"/>
        </w:rPr>
        <w:t>1</w:t>
      </w:r>
      <w:r w:rsidRPr="002F3019">
        <w:t>.</w:t>
      </w:r>
      <w:r w:rsidRPr="002F3019">
        <w:rPr>
          <w:lang w:val="en-US"/>
        </w:rPr>
        <w:t>12</w:t>
      </w:r>
      <w:r w:rsidRPr="002F3019">
        <w:t>.2019 г. е  отрицателно - 3</w:t>
      </w:r>
      <w:r w:rsidRPr="002F3019">
        <w:rPr>
          <w:lang w:val="en-US"/>
        </w:rPr>
        <w:t>8</w:t>
      </w:r>
      <w:r w:rsidRPr="002F3019">
        <w:t>,</w:t>
      </w:r>
      <w:r w:rsidRPr="002F3019">
        <w:rPr>
          <w:lang w:val="en-US"/>
        </w:rPr>
        <w:t>7</w:t>
      </w:r>
      <w:r w:rsidRPr="002F3019">
        <w:t xml:space="preserve"> млн. лв., като съществена част от него представлява отчетеното превеждане /резервиране/ на суми по реда на чл. 60 и чл. 64 от Закона за управление на отпадъците по сметката за чужди средства на съответната РИОСВ. За периода нетният размер на задълженията и погашенията по финансов лизинг и търговски кредити като форми на дълг е в размер на (-1,</w:t>
      </w:r>
      <w:r w:rsidRPr="002F3019">
        <w:rPr>
          <w:lang w:val="en-US"/>
        </w:rPr>
        <w:t>5</w:t>
      </w:r>
      <w:r w:rsidRPr="002F3019">
        <w:t xml:space="preserve">) млн. лева. </w:t>
      </w:r>
    </w:p>
    <w:p w:rsidR="00332AE6" w:rsidRPr="002F3019" w:rsidRDefault="00332AE6" w:rsidP="00332AE6">
      <w:pPr>
        <w:ind w:firstLine="708"/>
        <w:jc w:val="both"/>
      </w:pPr>
      <w:r w:rsidRPr="002F3019">
        <w:t>Нетният размер на събраните средства и извършени плащания от общините за сметка на други бюджети, сметки и фондове е в размер на 1</w:t>
      </w:r>
      <w:r w:rsidRPr="002F3019">
        <w:rPr>
          <w:lang w:val="en-US"/>
        </w:rPr>
        <w:t>9</w:t>
      </w:r>
      <w:r w:rsidRPr="002F3019">
        <w:t>,</w:t>
      </w:r>
      <w:r w:rsidRPr="002F3019">
        <w:rPr>
          <w:lang w:val="en-US"/>
        </w:rPr>
        <w:t>2</w:t>
      </w:r>
      <w:r w:rsidRPr="002F3019">
        <w:t xml:space="preserve"> млн. л</w:t>
      </w:r>
      <w:r w:rsidR="008C7213">
        <w:t>е</w:t>
      </w:r>
      <w:r w:rsidRPr="002F3019">
        <w:t>в</w:t>
      </w:r>
      <w:r w:rsidR="008C7213">
        <w:t>а</w:t>
      </w:r>
      <w:r w:rsidRPr="002F3019">
        <w:t>.</w:t>
      </w:r>
    </w:p>
    <w:p w:rsidR="00332AE6" w:rsidRPr="002F3019" w:rsidRDefault="00332AE6" w:rsidP="00332AE6">
      <w:pPr>
        <w:ind w:firstLine="708"/>
        <w:jc w:val="both"/>
      </w:pPr>
      <w:r w:rsidRPr="002F3019">
        <w:t>Постъпленията от приватизация на дялове, акции и участия в общинските бюджети през периода са 1,</w:t>
      </w:r>
      <w:r w:rsidRPr="002F3019">
        <w:rPr>
          <w:lang w:val="en-US"/>
        </w:rPr>
        <w:t>4</w:t>
      </w:r>
      <w:r w:rsidRPr="002F3019">
        <w:t xml:space="preserve"> млн. лева.</w:t>
      </w:r>
    </w:p>
    <w:p w:rsidR="00332AE6" w:rsidRPr="002F3019" w:rsidRDefault="00332AE6" w:rsidP="00332AE6">
      <w:pPr>
        <w:ind w:firstLine="720"/>
        <w:jc w:val="both"/>
        <w:rPr>
          <w:lang w:eastAsia="bg-BG"/>
        </w:rPr>
      </w:pPr>
      <w:r w:rsidRPr="002F3019">
        <w:rPr>
          <w:lang w:eastAsia="bg-BG"/>
        </w:rPr>
        <w:t>Към 3</w:t>
      </w:r>
      <w:r w:rsidRPr="002F3019">
        <w:rPr>
          <w:lang w:val="en-US" w:eastAsia="bg-BG"/>
        </w:rPr>
        <w:t>1</w:t>
      </w:r>
      <w:r w:rsidRPr="002F3019">
        <w:rPr>
          <w:lang w:eastAsia="bg-BG"/>
        </w:rPr>
        <w:t>.</w:t>
      </w:r>
      <w:r w:rsidRPr="002F3019">
        <w:rPr>
          <w:lang w:val="en-US" w:eastAsia="bg-BG"/>
        </w:rPr>
        <w:t>12</w:t>
      </w:r>
      <w:r w:rsidRPr="002F3019">
        <w:rPr>
          <w:lang w:eastAsia="bg-BG"/>
        </w:rPr>
        <w:t>.2019 г. отчетеният от общините нетен размер на операциите по придобиване на дялове, акции и съучастия е в размер на (-0,</w:t>
      </w:r>
      <w:r w:rsidRPr="002F3019">
        <w:rPr>
          <w:lang w:val="en-US" w:eastAsia="bg-BG"/>
        </w:rPr>
        <w:t>5</w:t>
      </w:r>
      <w:r w:rsidRPr="002F3019">
        <w:rPr>
          <w:lang w:eastAsia="bg-BG"/>
        </w:rPr>
        <w:t>) млн. лв., а на предоставената възмездна финансова помощ от общините е (-3,</w:t>
      </w:r>
      <w:r w:rsidRPr="002F3019">
        <w:rPr>
          <w:lang w:val="en-US" w:eastAsia="bg-BG"/>
        </w:rPr>
        <w:t>0</w:t>
      </w:r>
      <w:r w:rsidRPr="002F3019">
        <w:rPr>
          <w:lang w:eastAsia="bg-BG"/>
        </w:rPr>
        <w:t xml:space="preserve">) млн. лв. </w:t>
      </w:r>
    </w:p>
    <w:p w:rsidR="00332AE6" w:rsidRPr="008911B4" w:rsidRDefault="00332AE6" w:rsidP="00332AE6">
      <w:pPr>
        <w:tabs>
          <w:tab w:val="center" w:pos="4153"/>
          <w:tab w:val="right" w:pos="8306"/>
        </w:tabs>
        <w:ind w:firstLine="567"/>
        <w:jc w:val="both"/>
      </w:pPr>
      <w:r w:rsidRPr="008911B4">
        <w:t>Общините отчитат 1 099,8 млн.</w:t>
      </w:r>
      <w:r>
        <w:rPr>
          <w:lang w:val="en-US"/>
        </w:rPr>
        <w:t xml:space="preserve"> </w:t>
      </w:r>
      <w:r w:rsidRPr="008911B4">
        <w:t>лв. бюджетен преходен остатък</w:t>
      </w:r>
      <w:r>
        <w:t>,</w:t>
      </w:r>
      <w:r w:rsidRPr="002F3019">
        <w:t xml:space="preserve"> </w:t>
      </w:r>
      <w:r w:rsidRPr="008911B4">
        <w:t>а наличността към края на 2019 г. (по банкови сметки и каса) е в размер на 991,4 млн. лв., като 332,6 млн. лв. (33,5 %) са отчетени като остатък в делегираните от държавата дейности.</w:t>
      </w:r>
    </w:p>
    <w:p w:rsidR="00332AE6" w:rsidRPr="00C85532" w:rsidRDefault="00332AE6" w:rsidP="00332AE6">
      <w:pPr>
        <w:ind w:firstLine="720"/>
        <w:jc w:val="both"/>
        <w:rPr>
          <w:color w:val="0070C0"/>
          <w:sz w:val="18"/>
          <w:szCs w:val="12"/>
        </w:rPr>
      </w:pPr>
      <w:r w:rsidRPr="00C85532">
        <w:rPr>
          <w:color w:val="0070C0"/>
          <w:lang w:eastAsia="bg-BG"/>
        </w:rPr>
        <w:t xml:space="preserve"> </w:t>
      </w:r>
    </w:p>
    <w:p w:rsidR="00D96A20" w:rsidRPr="00EB65AF" w:rsidRDefault="00D96A20" w:rsidP="00337CA7">
      <w:pPr>
        <w:pStyle w:val="Heading1"/>
        <w:numPr>
          <w:ilvl w:val="1"/>
          <w:numId w:val="10"/>
        </w:numPr>
        <w:spacing w:after="120"/>
        <w:ind w:left="788" w:right="-108" w:hanging="431"/>
        <w:jc w:val="both"/>
        <w:rPr>
          <w:sz w:val="24"/>
        </w:rPr>
      </w:pPr>
      <w:r w:rsidRPr="00EB65AF">
        <w:rPr>
          <w:sz w:val="24"/>
        </w:rPr>
        <w:t>Бюджети на Българската национална телевизия (БНТ), Българското национално радио (БНР) и Българската телеграфна агенция (БТА)</w:t>
      </w:r>
    </w:p>
    <w:p w:rsidR="00191C06" w:rsidRPr="00E079A4" w:rsidRDefault="00191C06" w:rsidP="008C7213">
      <w:pPr>
        <w:ind w:firstLine="706"/>
        <w:jc w:val="both"/>
        <w:rPr>
          <w:szCs w:val="20"/>
          <w:lang w:val="en-US"/>
        </w:rPr>
      </w:pPr>
      <w:r w:rsidRPr="005C7ED5">
        <w:rPr>
          <w:b/>
        </w:rPr>
        <w:t>Приходите на БНТ</w:t>
      </w:r>
      <w:r w:rsidRPr="005C7ED5">
        <w:t xml:space="preserve"> към 3</w:t>
      </w:r>
      <w:r w:rsidRPr="005C7ED5">
        <w:rPr>
          <w:lang w:val="en-US"/>
        </w:rPr>
        <w:t>1</w:t>
      </w:r>
      <w:r w:rsidRPr="005C7ED5">
        <w:t>.</w:t>
      </w:r>
      <w:r w:rsidRPr="005C7ED5">
        <w:rPr>
          <w:lang w:val="en-US"/>
        </w:rPr>
        <w:t>12</w:t>
      </w:r>
      <w:r w:rsidRPr="005C7ED5">
        <w:t>.2019 г. са в размер на 6,1 млн. лв. при планирани за годината 7,5 млн. лв. или за отчетния период са постъпили 80,8 % от планираните за годината.</w:t>
      </w:r>
      <w:r w:rsidRPr="005C7ED5">
        <w:rPr>
          <w:szCs w:val="20"/>
        </w:rPr>
        <w:t xml:space="preserve"> </w:t>
      </w:r>
      <w:r w:rsidRPr="00E079A4">
        <w:rPr>
          <w:szCs w:val="20"/>
        </w:rPr>
        <w:t>По-ниският процент изпълнение на приходите се дължи на отчетени по-ниски постъпления от рекламна дейност.</w:t>
      </w:r>
    </w:p>
    <w:p w:rsidR="00191C06" w:rsidRPr="00DB7C20" w:rsidRDefault="00191C06" w:rsidP="000B0155">
      <w:pPr>
        <w:ind w:firstLine="567"/>
        <w:jc w:val="both"/>
        <w:rPr>
          <w:szCs w:val="20"/>
        </w:rPr>
      </w:pPr>
      <w:r w:rsidRPr="005C7ED5">
        <w:t xml:space="preserve"> </w:t>
      </w:r>
      <w:r w:rsidRPr="005C7ED5">
        <w:rPr>
          <w:szCs w:val="20"/>
        </w:rPr>
        <w:t>Отчетените</w:t>
      </w:r>
      <w:r>
        <w:rPr>
          <w:szCs w:val="20"/>
        </w:rPr>
        <w:t xml:space="preserve"> неданъчни</w:t>
      </w:r>
      <w:r w:rsidRPr="005C7ED5">
        <w:rPr>
          <w:szCs w:val="20"/>
        </w:rPr>
        <w:t xml:space="preserve"> приходи са постъпления от продажби на услуги, стоки и продукция (реклама, спонсорство, технически услуги, почивно дело, продажба на </w:t>
      </w:r>
      <w:r w:rsidRPr="00DB7C20">
        <w:rPr>
          <w:szCs w:val="20"/>
        </w:rPr>
        <w:t>програми) и</w:t>
      </w:r>
      <w:r w:rsidRPr="00DB7C20">
        <w:rPr>
          <w:b/>
          <w:szCs w:val="20"/>
        </w:rPr>
        <w:t xml:space="preserve"> </w:t>
      </w:r>
      <w:r w:rsidRPr="00DB7C20">
        <w:rPr>
          <w:szCs w:val="20"/>
        </w:rPr>
        <w:t xml:space="preserve">наеми на имущество. </w:t>
      </w:r>
    </w:p>
    <w:p w:rsidR="00191C06" w:rsidRPr="00C85532" w:rsidRDefault="00191C06" w:rsidP="00191C06">
      <w:pPr>
        <w:ind w:firstLine="567"/>
        <w:jc w:val="both"/>
        <w:rPr>
          <w:color w:val="0070C0"/>
        </w:rPr>
      </w:pPr>
      <w:r w:rsidRPr="00DB7C20">
        <w:t xml:space="preserve">Отчетените </w:t>
      </w:r>
      <w:r w:rsidRPr="00DB7C20">
        <w:rPr>
          <w:b/>
        </w:rPr>
        <w:t>разходи</w:t>
      </w:r>
      <w:r w:rsidRPr="00DB7C20">
        <w:t xml:space="preserve"> </w:t>
      </w:r>
      <w:r w:rsidRPr="00DB7C20">
        <w:rPr>
          <w:b/>
        </w:rPr>
        <w:t>на БНТ</w:t>
      </w:r>
      <w:r w:rsidRPr="00DB7C20">
        <w:t xml:space="preserve"> към 3</w:t>
      </w:r>
      <w:r w:rsidRPr="00DB7C20">
        <w:rPr>
          <w:lang w:val="en-US"/>
        </w:rPr>
        <w:t>1</w:t>
      </w:r>
      <w:r w:rsidRPr="00DB7C20">
        <w:t>.</w:t>
      </w:r>
      <w:r w:rsidRPr="00DB7C20">
        <w:rPr>
          <w:lang w:val="en-US"/>
        </w:rPr>
        <w:t>12</w:t>
      </w:r>
      <w:r w:rsidRPr="00DB7C20">
        <w:t xml:space="preserve">.2019 г. са в размер на 74,3 млн. лв. или 98,0 % от годишния разчет по ЗДБРБ за 2019 г. </w:t>
      </w:r>
      <w:r w:rsidRPr="00DB7C20">
        <w:rPr>
          <w:szCs w:val="20"/>
        </w:rPr>
        <w:t>За периода са отчетени 55,2 млн. лв. текущи разходи и 19,1 млн. лв. капиталови разходи. По бюджета на БНТ в частта на</w:t>
      </w:r>
      <w:r w:rsidR="004D63A4">
        <w:rPr>
          <w:szCs w:val="20"/>
        </w:rPr>
        <w:t xml:space="preserve"> финансирането са отчетени </w:t>
      </w:r>
      <w:r w:rsidR="004D63A4">
        <w:rPr>
          <w:szCs w:val="20"/>
        </w:rPr>
        <w:lastRenderedPageBreak/>
        <w:t>задълж</w:t>
      </w:r>
      <w:r w:rsidRPr="00DB7C20">
        <w:rPr>
          <w:szCs w:val="20"/>
        </w:rPr>
        <w:t xml:space="preserve">ения по търговски кредит  в размер на 2,5 млн. лв., </w:t>
      </w:r>
      <w:r w:rsidRPr="00E079A4">
        <w:rPr>
          <w:szCs w:val="20"/>
        </w:rPr>
        <w:t>(задължения за отстъпени права за чужди филми и програми</w:t>
      </w:r>
      <w:r w:rsidRPr="00E079A4">
        <w:rPr>
          <w:szCs w:val="20"/>
          <w:lang w:val="en-US"/>
        </w:rPr>
        <w:t xml:space="preserve">) </w:t>
      </w:r>
      <w:r w:rsidRPr="00E079A4">
        <w:rPr>
          <w:szCs w:val="20"/>
        </w:rPr>
        <w:t>и погашения по търговски кредит в размер на 3,0 млн. лв.</w:t>
      </w:r>
      <w:r w:rsidRPr="00E079A4">
        <w:rPr>
          <w:szCs w:val="20"/>
          <w:lang w:val="en-US"/>
        </w:rPr>
        <w:t xml:space="preserve"> </w:t>
      </w:r>
      <w:r w:rsidRPr="00E079A4">
        <w:rPr>
          <w:szCs w:val="20"/>
        </w:rPr>
        <w:t>(погашения на задължения по договори от предходната година за такси за разпространение на програмите на БНТ – 2,7 млн. лв.; отстъпени права за чужди филми и програми и за придобиване на транспортни средства – 0,3 млн. лв.</w:t>
      </w:r>
      <w:r w:rsidRPr="00E079A4">
        <w:rPr>
          <w:szCs w:val="20"/>
          <w:lang w:val="en-US"/>
        </w:rPr>
        <w:t>)</w:t>
      </w:r>
      <w:r w:rsidRPr="00E079A4">
        <w:rPr>
          <w:szCs w:val="20"/>
        </w:rPr>
        <w:t>.</w:t>
      </w:r>
      <w:r w:rsidRPr="00DB7C20">
        <w:rPr>
          <w:szCs w:val="20"/>
        </w:rPr>
        <w:t xml:space="preserve"> В разпределението на разходите по бюджета на обществената медия е включен преходния остатък за 2018 г. (съгл. чл. 70, ал. 6 от Закона за радиото и телевизията) в размер на 0,8 млн. лв. За отчетния период  средствата са усвоени за реализирането на основните цели и дейности на БНТ по подготовката, създаването и разпространението на телевизионни програми съгласно разпоредбите на Закона за радиото и телевизията. </w:t>
      </w:r>
    </w:p>
    <w:p w:rsidR="00191C06" w:rsidRPr="00DB7C20" w:rsidRDefault="00191C06" w:rsidP="00191C06">
      <w:pPr>
        <w:ind w:firstLine="567"/>
        <w:jc w:val="both"/>
        <w:rPr>
          <w:szCs w:val="20"/>
        </w:rPr>
      </w:pPr>
      <w:r w:rsidRPr="00DB7C20">
        <w:t xml:space="preserve">Общо утвърдените </w:t>
      </w:r>
      <w:r w:rsidRPr="00DB7C20">
        <w:rPr>
          <w:b/>
          <w:i/>
        </w:rPr>
        <w:t>бюджетни взаимоотношения на БНТ с централния бюджет</w:t>
      </w:r>
      <w:r w:rsidRPr="00DB7C20">
        <w:t xml:space="preserve"> за 2019 г. са в размер на </w:t>
      </w:r>
      <w:r w:rsidRPr="00DB7C20">
        <w:rPr>
          <w:szCs w:val="20"/>
        </w:rPr>
        <w:t xml:space="preserve">68,9 млн. лв., </w:t>
      </w:r>
      <w:r w:rsidRPr="00DB7C20">
        <w:t xml:space="preserve">в т.ч.: 67,7 млн. лв. съгласно чл. 48, т. 2 от ЗДБРБ за 2019 г. и 1,2 млн. лв. одобрен допълнителни трансфери по реда на чл. 109, ал. 3 от Закона за публичните финанси (0,5 млн. лв. съгласно Постановление № 52 на Министерския съвет от 2019 г. за приемане на план-сметка за разходите по подготовката и произвеждането на изборите за членове на Европейския парламент от Република България през 2019 г.; 0,7 млн. лв. съгласно Постановление № 210 на Министерския съвет от 2019 г. за приемане на план-сметка за разходите по подготовката и произвеждането на първи и втори тур на изборите за общински </w:t>
      </w:r>
      <w:proofErr w:type="spellStart"/>
      <w:r w:rsidRPr="00DB7C20">
        <w:t>съветници</w:t>
      </w:r>
      <w:proofErr w:type="spellEnd"/>
      <w:r w:rsidRPr="00DB7C20">
        <w:t xml:space="preserve"> и за кметове през 2019 г.). </w:t>
      </w:r>
    </w:p>
    <w:p w:rsidR="00191C06" w:rsidRPr="00886990" w:rsidRDefault="00191C06" w:rsidP="00191C06">
      <w:pPr>
        <w:ind w:firstLine="567"/>
        <w:jc w:val="both"/>
        <w:rPr>
          <w:szCs w:val="20"/>
        </w:rPr>
      </w:pPr>
      <w:r w:rsidRPr="00886990">
        <w:rPr>
          <w:szCs w:val="20"/>
        </w:rPr>
        <w:t xml:space="preserve">За отчетния период е усвоена сума в размер на 68,9 млн. лв. или </w:t>
      </w:r>
      <w:r w:rsidR="008C7213">
        <w:rPr>
          <w:szCs w:val="20"/>
        </w:rPr>
        <w:t>100 %</w:t>
      </w:r>
      <w:r w:rsidRPr="00886990">
        <w:rPr>
          <w:szCs w:val="20"/>
        </w:rPr>
        <w:t xml:space="preserve"> на утвърдените бюджетни взаимоотношения на БНТ с централния бюджет.</w:t>
      </w:r>
    </w:p>
    <w:p w:rsidR="00191C06" w:rsidRPr="00B36A71" w:rsidRDefault="00191C06" w:rsidP="00191C06">
      <w:pPr>
        <w:spacing w:before="240"/>
        <w:ind w:firstLine="567"/>
        <w:jc w:val="both"/>
      </w:pPr>
      <w:r w:rsidRPr="00886990">
        <w:rPr>
          <w:b/>
        </w:rPr>
        <w:t>Приходите п</w:t>
      </w:r>
      <w:r w:rsidRPr="00B36A71">
        <w:rPr>
          <w:b/>
        </w:rPr>
        <w:t>о бюджета на БНР</w:t>
      </w:r>
      <w:r w:rsidRPr="00B36A71">
        <w:t xml:space="preserve"> към 3</w:t>
      </w:r>
      <w:r w:rsidRPr="00B36A71">
        <w:rPr>
          <w:lang w:val="en-US"/>
        </w:rPr>
        <w:t>1</w:t>
      </w:r>
      <w:r w:rsidRPr="00B36A71">
        <w:t>.</w:t>
      </w:r>
      <w:r w:rsidRPr="00B36A71">
        <w:rPr>
          <w:lang w:val="en-US"/>
        </w:rPr>
        <w:t>12</w:t>
      </w:r>
      <w:r w:rsidRPr="00B36A71">
        <w:t>.2019 г. са в размер на 1,8 млн. лв., което представлява 87,3 % от планираните за годината 2,1 млн. л</w:t>
      </w:r>
      <w:r w:rsidR="005E0076">
        <w:t>е</w:t>
      </w:r>
      <w:r w:rsidRPr="00B36A71">
        <w:t>в</w:t>
      </w:r>
      <w:r w:rsidR="005E0076">
        <w:t>а</w:t>
      </w:r>
      <w:r w:rsidRPr="00B36A71">
        <w:t>.</w:t>
      </w:r>
      <w:r w:rsidRPr="00B36A71">
        <w:rPr>
          <w:szCs w:val="20"/>
        </w:rPr>
        <w:t xml:space="preserve"> </w:t>
      </w:r>
      <w:r w:rsidRPr="00563F40">
        <w:t>По-ниският процент изпълнение на приходите се дължи на отчетени по-ниски по</w:t>
      </w:r>
      <w:r>
        <w:t>стъпления от рекламна дейност.</w:t>
      </w:r>
      <w:r w:rsidRPr="00563F40">
        <w:t xml:space="preserve"> </w:t>
      </w:r>
      <w:r w:rsidRPr="00B36A71">
        <w:rPr>
          <w:szCs w:val="20"/>
        </w:rPr>
        <w:t xml:space="preserve">Отчетените приходи са постъпления от продажби на услуги, стоки и продукция </w:t>
      </w:r>
      <w:r w:rsidRPr="00B36A71">
        <w:rPr>
          <w:szCs w:val="20"/>
          <w:lang w:val="en-US"/>
        </w:rPr>
        <w:t>(</w:t>
      </w:r>
      <w:r w:rsidRPr="00B36A71">
        <w:rPr>
          <w:szCs w:val="20"/>
        </w:rPr>
        <w:t>реклама, спонсорски съобщения, технически услуги, съвместни проекти, приходи от концертна дейност и др.</w:t>
      </w:r>
      <w:r w:rsidRPr="00B36A71">
        <w:rPr>
          <w:szCs w:val="20"/>
          <w:lang w:val="en-US"/>
        </w:rPr>
        <w:t>)</w:t>
      </w:r>
      <w:r w:rsidRPr="00B36A71">
        <w:rPr>
          <w:szCs w:val="20"/>
        </w:rPr>
        <w:t>, наеми на имущество и др.</w:t>
      </w:r>
    </w:p>
    <w:p w:rsidR="00191C06" w:rsidRPr="00C85532" w:rsidRDefault="00191C06" w:rsidP="00191C06">
      <w:pPr>
        <w:ind w:firstLine="567"/>
        <w:jc w:val="both"/>
        <w:rPr>
          <w:color w:val="0070C0"/>
          <w:szCs w:val="20"/>
        </w:rPr>
      </w:pPr>
      <w:r w:rsidRPr="00B36A71">
        <w:rPr>
          <w:szCs w:val="20"/>
        </w:rPr>
        <w:t xml:space="preserve">Изпълнението на </w:t>
      </w:r>
      <w:r w:rsidRPr="00B36A71">
        <w:rPr>
          <w:b/>
          <w:szCs w:val="20"/>
        </w:rPr>
        <w:t>разходите</w:t>
      </w:r>
      <w:r w:rsidRPr="00B36A71">
        <w:rPr>
          <w:szCs w:val="20"/>
        </w:rPr>
        <w:t xml:space="preserve"> </w:t>
      </w:r>
      <w:r w:rsidRPr="00B36A71">
        <w:rPr>
          <w:b/>
          <w:szCs w:val="20"/>
        </w:rPr>
        <w:t xml:space="preserve">по </w:t>
      </w:r>
      <w:r w:rsidRPr="00C323EA">
        <w:rPr>
          <w:b/>
          <w:szCs w:val="20"/>
        </w:rPr>
        <w:t>бюджета на</w:t>
      </w:r>
      <w:r w:rsidRPr="00C323EA">
        <w:rPr>
          <w:szCs w:val="20"/>
        </w:rPr>
        <w:t xml:space="preserve"> </w:t>
      </w:r>
      <w:r w:rsidRPr="00C323EA">
        <w:rPr>
          <w:b/>
          <w:szCs w:val="20"/>
        </w:rPr>
        <w:t xml:space="preserve">БНР </w:t>
      </w:r>
      <w:r w:rsidRPr="00C323EA">
        <w:rPr>
          <w:szCs w:val="20"/>
        </w:rPr>
        <w:t xml:space="preserve">възлиза на 46,6 млн. лв. или 99,3 % </w:t>
      </w:r>
      <w:r w:rsidRPr="00C323EA">
        <w:t xml:space="preserve">от годишния разчет по ЗДБРБ за 2019 г. </w:t>
      </w:r>
      <w:r w:rsidRPr="00C323EA">
        <w:rPr>
          <w:szCs w:val="20"/>
        </w:rPr>
        <w:t>Средствата са усвоени за реализирането на основните цели и дейности на БНР по подготовката, създаването и разпространението на национални и регионални програми съгласно разпоредбите на Закона за радиото и телевизията. В разпределението на разходите по бюджета на БНР е включен преходния остатък за 2018 г. (съгл. чл. 70, ал. 6 от Закона за радиото и телевизията) в размер на 0,2 млн. лева.</w:t>
      </w:r>
      <w:r w:rsidRPr="00C85532">
        <w:rPr>
          <w:color w:val="0070C0"/>
          <w:szCs w:val="20"/>
        </w:rPr>
        <w:t xml:space="preserve"> </w:t>
      </w:r>
    </w:p>
    <w:p w:rsidR="00191C06" w:rsidRDefault="00191C06" w:rsidP="00191C06">
      <w:pPr>
        <w:ind w:firstLine="567"/>
        <w:jc w:val="both"/>
        <w:rPr>
          <w:szCs w:val="20"/>
        </w:rPr>
      </w:pPr>
      <w:r w:rsidRPr="00C323EA">
        <w:t xml:space="preserve">Общо утвърдените </w:t>
      </w:r>
      <w:r w:rsidRPr="00C323EA">
        <w:rPr>
          <w:b/>
          <w:i/>
        </w:rPr>
        <w:t>бюджетни взаимоотношения на БНР с централния бюджет</w:t>
      </w:r>
      <w:r w:rsidRPr="00C323EA">
        <w:t xml:space="preserve"> за 2019 г. са в размер на </w:t>
      </w:r>
      <w:r w:rsidRPr="00414529">
        <w:rPr>
          <w:szCs w:val="20"/>
        </w:rPr>
        <w:t>45,0 млн. лв., в т.ч.: 44,3 млн. лв. съгласно чл. 48, т. 1 от ЗДБРБ за 2019</w:t>
      </w:r>
      <w:r w:rsidR="005E0076">
        <w:rPr>
          <w:szCs w:val="20"/>
        </w:rPr>
        <w:t> </w:t>
      </w:r>
      <w:r w:rsidRPr="00414529">
        <w:rPr>
          <w:szCs w:val="20"/>
        </w:rPr>
        <w:t>г. и</w:t>
      </w:r>
      <w:r w:rsidRPr="00414529">
        <w:rPr>
          <w:szCs w:val="20"/>
          <w:lang w:val="en-US"/>
        </w:rPr>
        <w:t xml:space="preserve"> </w:t>
      </w:r>
      <w:r w:rsidRPr="00414529">
        <w:rPr>
          <w:szCs w:val="20"/>
        </w:rPr>
        <w:t xml:space="preserve">0,7 млн. лв. одобрени допълнителни трансфери по реда на чл. 109, ал. 3 от Закона за публичните финанси </w:t>
      </w:r>
      <w:r w:rsidRPr="00414529">
        <w:rPr>
          <w:szCs w:val="20"/>
          <w:lang w:val="en-US"/>
        </w:rPr>
        <w:t>(</w:t>
      </w:r>
      <w:r w:rsidRPr="00414529">
        <w:rPr>
          <w:szCs w:val="20"/>
        </w:rPr>
        <w:t>0,3 млн. лв. съгласно Постановление № 52 на Министерския съвет от 2019 г. за приемане на план-сметка за разходите по подготовката и произвеждането на изборите за членове на Европейския парламент от Република България през 2019 г.; 0,4 млн.</w:t>
      </w:r>
      <w:r w:rsidR="005E0076">
        <w:rPr>
          <w:szCs w:val="20"/>
        </w:rPr>
        <w:t> </w:t>
      </w:r>
      <w:r w:rsidRPr="00414529">
        <w:rPr>
          <w:szCs w:val="20"/>
        </w:rPr>
        <w:t xml:space="preserve">лв. съгласно Постановление № 210 на Министерския съвет от 2019 г. за приемане на план-сметка за разходите по подготовката и произвеждането на първи и втори тур на изборите за общински </w:t>
      </w:r>
      <w:proofErr w:type="spellStart"/>
      <w:r w:rsidRPr="00414529">
        <w:rPr>
          <w:szCs w:val="20"/>
        </w:rPr>
        <w:t>съветници</w:t>
      </w:r>
      <w:proofErr w:type="spellEnd"/>
      <w:r w:rsidRPr="00414529">
        <w:rPr>
          <w:szCs w:val="20"/>
        </w:rPr>
        <w:t xml:space="preserve"> и за кметове през 2019 г.</w:t>
      </w:r>
      <w:r w:rsidRPr="00414529">
        <w:rPr>
          <w:szCs w:val="20"/>
          <w:lang w:val="en-US"/>
        </w:rPr>
        <w:t>)</w:t>
      </w:r>
      <w:r w:rsidRPr="00414529">
        <w:rPr>
          <w:szCs w:val="20"/>
        </w:rPr>
        <w:t>.</w:t>
      </w:r>
    </w:p>
    <w:p w:rsidR="00191C06" w:rsidRPr="00C323EA" w:rsidRDefault="00191C06" w:rsidP="00191C06">
      <w:pPr>
        <w:ind w:firstLine="567"/>
        <w:jc w:val="both"/>
      </w:pPr>
      <w:r w:rsidRPr="00414529">
        <w:rPr>
          <w:szCs w:val="20"/>
        </w:rPr>
        <w:t>За отчетния период е усвоена сума в размер на 45,0 млн. лв. или 100,0</w:t>
      </w:r>
      <w:r w:rsidR="005E0076">
        <w:rPr>
          <w:szCs w:val="20"/>
        </w:rPr>
        <w:t xml:space="preserve"> </w:t>
      </w:r>
      <w:r w:rsidRPr="00414529">
        <w:rPr>
          <w:szCs w:val="20"/>
        </w:rPr>
        <w:t>% на утвърдените бюджетни взаимоотношения на БНР с централния бюджет.</w:t>
      </w:r>
    </w:p>
    <w:p w:rsidR="00191C06" w:rsidRPr="00984826" w:rsidRDefault="00191C06" w:rsidP="00191C06">
      <w:pPr>
        <w:spacing w:before="240"/>
        <w:ind w:firstLine="567"/>
        <w:jc w:val="both"/>
        <w:rPr>
          <w:b/>
          <w:szCs w:val="20"/>
        </w:rPr>
      </w:pPr>
      <w:r w:rsidRPr="00984826">
        <w:rPr>
          <w:b/>
          <w:szCs w:val="20"/>
        </w:rPr>
        <w:t xml:space="preserve">Приходите на БТА </w:t>
      </w:r>
      <w:r w:rsidRPr="00984826">
        <w:rPr>
          <w:szCs w:val="20"/>
        </w:rPr>
        <w:t>към 3</w:t>
      </w:r>
      <w:r w:rsidRPr="00984826">
        <w:rPr>
          <w:szCs w:val="20"/>
          <w:lang w:val="en-US"/>
        </w:rPr>
        <w:t>1</w:t>
      </w:r>
      <w:r w:rsidRPr="00984826">
        <w:rPr>
          <w:szCs w:val="20"/>
        </w:rPr>
        <w:t>.</w:t>
      </w:r>
      <w:r w:rsidRPr="00984826">
        <w:rPr>
          <w:szCs w:val="20"/>
          <w:lang w:val="en-US"/>
        </w:rPr>
        <w:t>12</w:t>
      </w:r>
      <w:r w:rsidRPr="00984826">
        <w:rPr>
          <w:szCs w:val="20"/>
        </w:rPr>
        <w:t>.2019 г. са 1,6 млн. лв. или 99,5 % от предвидените за годината, като това са основно постъпления от продажба на информационни продукти и услуги.</w:t>
      </w:r>
    </w:p>
    <w:p w:rsidR="00191C06" w:rsidRPr="00984826" w:rsidRDefault="00191C06" w:rsidP="00191C06">
      <w:pPr>
        <w:ind w:firstLine="567"/>
        <w:jc w:val="both"/>
        <w:rPr>
          <w:szCs w:val="20"/>
        </w:rPr>
      </w:pPr>
      <w:r w:rsidRPr="00984826">
        <w:rPr>
          <w:b/>
          <w:szCs w:val="20"/>
        </w:rPr>
        <w:t xml:space="preserve">Отчетените разходи на </w:t>
      </w:r>
      <w:r w:rsidRPr="00984826">
        <w:rPr>
          <w:szCs w:val="20"/>
        </w:rPr>
        <w:t xml:space="preserve">БТА за периода са 7,5 млн. лв., което е 104,0 % </w:t>
      </w:r>
      <w:r w:rsidR="00DB5191">
        <w:rPr>
          <w:szCs w:val="20"/>
        </w:rPr>
        <w:t>спрямо</w:t>
      </w:r>
      <w:r w:rsidRPr="00984826">
        <w:rPr>
          <w:szCs w:val="20"/>
        </w:rPr>
        <w:t xml:space="preserve"> годишния разчет по ЗДБРБ за 2019 г.</w:t>
      </w:r>
    </w:p>
    <w:p w:rsidR="00191C06" w:rsidRPr="00C85532" w:rsidRDefault="00191C06" w:rsidP="00191C06">
      <w:pPr>
        <w:ind w:firstLine="567"/>
        <w:jc w:val="both"/>
        <w:rPr>
          <w:color w:val="0070C0"/>
          <w:szCs w:val="20"/>
        </w:rPr>
      </w:pPr>
      <w:r w:rsidRPr="00C7647A">
        <w:rPr>
          <w:szCs w:val="20"/>
        </w:rPr>
        <w:t>Общо утвърдените</w:t>
      </w:r>
      <w:r w:rsidRPr="00C7647A">
        <w:rPr>
          <w:b/>
          <w:i/>
        </w:rPr>
        <w:t xml:space="preserve"> бюджетни взаимоотношения на БТА с централния бюджет</w:t>
      </w:r>
      <w:r w:rsidRPr="00C7647A">
        <w:rPr>
          <w:szCs w:val="20"/>
        </w:rPr>
        <w:t xml:space="preserve"> за 2019 г. са в размер на 5,</w:t>
      </w:r>
      <w:r w:rsidRPr="00C7647A">
        <w:rPr>
          <w:szCs w:val="20"/>
          <w:lang w:val="en-US"/>
        </w:rPr>
        <w:t>7</w:t>
      </w:r>
      <w:r w:rsidRPr="00C7647A">
        <w:rPr>
          <w:szCs w:val="20"/>
        </w:rPr>
        <w:t xml:space="preserve"> млн. лв., в т. ч. 5,</w:t>
      </w:r>
      <w:r w:rsidRPr="00C7647A">
        <w:rPr>
          <w:szCs w:val="20"/>
          <w:lang w:val="en-US"/>
        </w:rPr>
        <w:t>175</w:t>
      </w:r>
      <w:r w:rsidRPr="00C7647A">
        <w:rPr>
          <w:szCs w:val="20"/>
        </w:rPr>
        <w:t xml:space="preserve"> млн. лв. съгласно чл. 48, т. 3 от ЗДБРБ за 2019</w:t>
      </w:r>
      <w:r w:rsidRPr="00C7647A">
        <w:t> </w:t>
      </w:r>
      <w:r w:rsidRPr="00C7647A">
        <w:rPr>
          <w:szCs w:val="20"/>
        </w:rPr>
        <w:t xml:space="preserve">г., 0,2 млн. лв. одобрен допълнителен трансфер с </w:t>
      </w:r>
      <w:r w:rsidRPr="00C7647A">
        <w:t xml:space="preserve">ПМС № 109 от 2019 г. и 0,2 </w:t>
      </w:r>
      <w:r w:rsidRPr="00C7647A">
        <w:rPr>
          <w:szCs w:val="20"/>
        </w:rPr>
        <w:t xml:space="preserve">млн. лв. </w:t>
      </w:r>
      <w:r w:rsidRPr="00C7647A">
        <w:lastRenderedPageBreak/>
        <w:t xml:space="preserve">съгласно Постановление № 210 на Министерския съвет от 2019 г. за приемане на план-сметка за разходите по подготовката и произвеждането на първи и втори тур на изборите за общински </w:t>
      </w:r>
      <w:proofErr w:type="spellStart"/>
      <w:r w:rsidRPr="00C7647A">
        <w:t>съветници</w:t>
      </w:r>
      <w:proofErr w:type="spellEnd"/>
      <w:r w:rsidRPr="00C7647A">
        <w:t xml:space="preserve"> и за кметове през 2019 г. </w:t>
      </w:r>
      <w:r w:rsidRPr="00C7647A">
        <w:rPr>
          <w:szCs w:val="20"/>
        </w:rPr>
        <w:t>Отчетените трансфери са в размер</w:t>
      </w:r>
      <w:r w:rsidRPr="00C7647A">
        <w:rPr>
          <w:b/>
          <w:szCs w:val="20"/>
        </w:rPr>
        <w:t xml:space="preserve"> </w:t>
      </w:r>
      <w:r w:rsidRPr="00C7647A">
        <w:rPr>
          <w:szCs w:val="20"/>
        </w:rPr>
        <w:t>на 5,7 млн.</w:t>
      </w:r>
      <w:r w:rsidR="005E0076">
        <w:rPr>
          <w:szCs w:val="20"/>
        </w:rPr>
        <w:t> </w:t>
      </w:r>
      <w:r w:rsidRPr="00C7647A">
        <w:rPr>
          <w:szCs w:val="20"/>
        </w:rPr>
        <w:t>лв. или 100,0 % на утвърдените бюджетни взаимоотношения на БТА с централния бюджет.</w:t>
      </w:r>
    </w:p>
    <w:p w:rsidR="0066642F" w:rsidRPr="00C85532" w:rsidRDefault="0066642F" w:rsidP="0066642F">
      <w:pPr>
        <w:ind w:firstLine="567"/>
        <w:jc w:val="both"/>
        <w:rPr>
          <w:color w:val="0070C0"/>
          <w:szCs w:val="20"/>
        </w:rPr>
      </w:pPr>
    </w:p>
    <w:p w:rsidR="00053B0F" w:rsidRPr="00C85532" w:rsidRDefault="00053B0F" w:rsidP="00053B0F">
      <w:pPr>
        <w:pStyle w:val="Title"/>
        <w:jc w:val="both"/>
        <w:rPr>
          <w:color w:val="0070C0"/>
          <w:sz w:val="18"/>
        </w:rPr>
      </w:pPr>
    </w:p>
    <w:p w:rsidR="00053B0F" w:rsidRPr="00DC6382" w:rsidRDefault="00053B0F" w:rsidP="00053B0F">
      <w:pPr>
        <w:pStyle w:val="Title"/>
        <w:jc w:val="both"/>
        <w:rPr>
          <w:lang w:val="en-US"/>
        </w:rPr>
      </w:pPr>
      <w:r w:rsidRPr="00DC6382">
        <w:t xml:space="preserve">Министерство на финансите, </w:t>
      </w:r>
      <w:r w:rsidR="00DC6382" w:rsidRPr="00DC6382">
        <w:t xml:space="preserve">февруари </w:t>
      </w:r>
      <w:r w:rsidRPr="00DC6382">
        <w:t>20</w:t>
      </w:r>
      <w:r w:rsidR="00DC6382" w:rsidRPr="00DC6382">
        <w:t>20</w:t>
      </w:r>
      <w:r w:rsidRPr="00DC6382">
        <w:t xml:space="preserve"> г.</w:t>
      </w:r>
    </w:p>
    <w:p w:rsidR="00594E6B" w:rsidRPr="00C85532" w:rsidRDefault="00594E6B" w:rsidP="00053B0F">
      <w:pPr>
        <w:pStyle w:val="Title"/>
        <w:jc w:val="both"/>
        <w:rPr>
          <w:color w:val="0070C0"/>
          <w:lang w:val="en-US"/>
        </w:rPr>
      </w:pPr>
    </w:p>
    <w:p w:rsidR="00A42AAE" w:rsidRPr="00C85532" w:rsidRDefault="00A42AAE" w:rsidP="00BE52A7">
      <w:pPr>
        <w:pStyle w:val="Title"/>
        <w:jc w:val="both"/>
        <w:rPr>
          <w:color w:val="0070C0"/>
          <w:lang w:val="en-US"/>
        </w:rPr>
      </w:pPr>
    </w:p>
    <w:p w:rsidR="00CE537D" w:rsidRPr="00C85532" w:rsidRDefault="00CE537D" w:rsidP="00CE537D">
      <w:pPr>
        <w:tabs>
          <w:tab w:val="left" w:pos="2520"/>
        </w:tabs>
        <w:spacing w:line="480" w:lineRule="auto"/>
        <w:ind w:left="-1134" w:right="-386" w:firstLine="1134"/>
        <w:rPr>
          <w:color w:val="0070C0"/>
          <w:sz w:val="20"/>
          <w:szCs w:val="20"/>
          <w:lang w:val="en-US" w:eastAsia="bg-BG"/>
        </w:rPr>
      </w:pPr>
    </w:p>
    <w:p w:rsidR="00CE537D" w:rsidRPr="00C85532" w:rsidRDefault="00CE537D" w:rsidP="00CE537D">
      <w:pPr>
        <w:jc w:val="both"/>
        <w:rPr>
          <w:b/>
          <w:color w:val="0070C0"/>
          <w:szCs w:val="20"/>
          <w:lang w:val="en-US"/>
        </w:rPr>
      </w:pPr>
      <w:bookmarkStart w:id="50" w:name="_GoBack"/>
      <w:bookmarkEnd w:id="50"/>
    </w:p>
    <w:p w:rsidR="00A42AAE" w:rsidRPr="00C85532" w:rsidRDefault="00A42AAE" w:rsidP="00BE52A7">
      <w:pPr>
        <w:pStyle w:val="Title"/>
        <w:jc w:val="both"/>
        <w:rPr>
          <w:color w:val="0070C0"/>
          <w:lang w:val="en-US"/>
        </w:rPr>
      </w:pPr>
    </w:p>
    <w:sectPr w:rsidR="00A42AAE" w:rsidRPr="00C85532" w:rsidSect="002C24D7">
      <w:footerReference w:type="even" r:id="rId13"/>
      <w:footerReference w:type="default" r:id="rId14"/>
      <w:endnotePr>
        <w:numFmt w:val="decimal"/>
      </w:endnotePr>
      <w:type w:val="continuous"/>
      <w:pgSz w:w="11906" w:h="16838"/>
      <w:pgMar w:top="851" w:right="1106" w:bottom="567" w:left="10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F4B" w:rsidRDefault="00935F4B">
      <w:r>
        <w:separator/>
      </w:r>
    </w:p>
  </w:endnote>
  <w:endnote w:type="continuationSeparator" w:id="0">
    <w:p w:rsidR="00935F4B" w:rsidRDefault="00935F4B">
      <w:r>
        <w:continuationSeparator/>
      </w:r>
    </w:p>
  </w:endnote>
  <w:endnote w:type="continuationNotice" w:id="1">
    <w:p w:rsidR="00935F4B" w:rsidRDefault="00935F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Futura Bk">
    <w:altName w:val="AvantGarde"/>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F4B" w:rsidRDefault="00935F4B" w:rsidP="00EA0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5F4B" w:rsidRDefault="00935F4B" w:rsidP="00A741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F4B" w:rsidRDefault="00935F4B" w:rsidP="00EA0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7416">
      <w:rPr>
        <w:rStyle w:val="PageNumber"/>
        <w:noProof/>
      </w:rPr>
      <w:t>2</w:t>
    </w:r>
    <w:r>
      <w:rPr>
        <w:rStyle w:val="PageNumber"/>
      </w:rPr>
      <w:fldChar w:fldCharType="end"/>
    </w:r>
  </w:p>
  <w:p w:rsidR="00935F4B" w:rsidRDefault="00935F4B" w:rsidP="00A7411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F4B" w:rsidRDefault="00935F4B">
      <w:r>
        <w:separator/>
      </w:r>
    </w:p>
  </w:footnote>
  <w:footnote w:type="continuationSeparator" w:id="0">
    <w:p w:rsidR="00935F4B" w:rsidRDefault="00935F4B">
      <w:r>
        <w:continuationSeparator/>
      </w:r>
    </w:p>
  </w:footnote>
  <w:footnote w:type="continuationNotice" w:id="1">
    <w:p w:rsidR="00935F4B" w:rsidRDefault="00935F4B"/>
  </w:footnote>
  <w:footnote w:id="2">
    <w:p w:rsidR="0045670C" w:rsidRPr="0045670C" w:rsidRDefault="0045670C">
      <w:pPr>
        <w:pStyle w:val="FootnoteText"/>
        <w:rPr>
          <w:sz w:val="18"/>
          <w:lang w:val="bg-BG"/>
        </w:rPr>
      </w:pPr>
      <w:r w:rsidRPr="0045670C">
        <w:rPr>
          <w:rStyle w:val="FootnoteReference"/>
          <w:sz w:val="18"/>
        </w:rPr>
        <w:footnoteRef/>
      </w:r>
      <w:r w:rsidRPr="0045670C">
        <w:rPr>
          <w:sz w:val="18"/>
        </w:rPr>
        <w:t xml:space="preserve"> </w:t>
      </w:r>
      <w:proofErr w:type="spellStart"/>
      <w:proofErr w:type="gramStart"/>
      <w:r w:rsidRPr="0045670C">
        <w:rPr>
          <w:sz w:val="18"/>
        </w:rPr>
        <w:t>Изчислено</w:t>
      </w:r>
      <w:proofErr w:type="spellEnd"/>
      <w:r w:rsidRPr="0045670C">
        <w:rPr>
          <w:sz w:val="18"/>
        </w:rPr>
        <w:t xml:space="preserve"> </w:t>
      </w:r>
      <w:proofErr w:type="spellStart"/>
      <w:r w:rsidRPr="0045670C">
        <w:rPr>
          <w:sz w:val="18"/>
        </w:rPr>
        <w:t>като</w:t>
      </w:r>
      <w:proofErr w:type="spellEnd"/>
      <w:r w:rsidRPr="0045670C">
        <w:rPr>
          <w:sz w:val="18"/>
        </w:rPr>
        <w:t xml:space="preserve"> </w:t>
      </w:r>
      <w:proofErr w:type="spellStart"/>
      <w:r w:rsidRPr="0045670C">
        <w:rPr>
          <w:sz w:val="18"/>
        </w:rPr>
        <w:t>съотношение</w:t>
      </w:r>
      <w:proofErr w:type="spellEnd"/>
      <w:r w:rsidRPr="0045670C">
        <w:rPr>
          <w:sz w:val="18"/>
        </w:rPr>
        <w:t xml:space="preserve"> на </w:t>
      </w:r>
      <w:proofErr w:type="spellStart"/>
      <w:r w:rsidRPr="0045670C">
        <w:rPr>
          <w:sz w:val="18"/>
        </w:rPr>
        <w:t>ликвидния</w:t>
      </w:r>
      <w:proofErr w:type="spellEnd"/>
      <w:r w:rsidRPr="0045670C">
        <w:rPr>
          <w:sz w:val="18"/>
        </w:rPr>
        <w:t xml:space="preserve"> </w:t>
      </w:r>
      <w:proofErr w:type="spellStart"/>
      <w:r w:rsidRPr="0045670C">
        <w:rPr>
          <w:sz w:val="18"/>
        </w:rPr>
        <w:t>буфер</w:t>
      </w:r>
      <w:proofErr w:type="spellEnd"/>
      <w:r w:rsidRPr="0045670C">
        <w:rPr>
          <w:sz w:val="18"/>
        </w:rPr>
        <w:t xml:space="preserve"> и </w:t>
      </w:r>
      <w:proofErr w:type="spellStart"/>
      <w:r w:rsidRPr="0045670C">
        <w:rPr>
          <w:sz w:val="18"/>
        </w:rPr>
        <w:t>нетните</w:t>
      </w:r>
      <w:proofErr w:type="spellEnd"/>
      <w:r w:rsidRPr="0045670C">
        <w:rPr>
          <w:sz w:val="18"/>
        </w:rPr>
        <w:t xml:space="preserve"> </w:t>
      </w:r>
      <w:proofErr w:type="spellStart"/>
      <w:r w:rsidRPr="0045670C">
        <w:rPr>
          <w:sz w:val="18"/>
        </w:rPr>
        <w:t>изходящи</w:t>
      </w:r>
      <w:proofErr w:type="spellEnd"/>
      <w:r w:rsidRPr="0045670C">
        <w:rPr>
          <w:sz w:val="18"/>
        </w:rPr>
        <w:t xml:space="preserve"> </w:t>
      </w:r>
      <w:proofErr w:type="spellStart"/>
      <w:r w:rsidRPr="0045670C">
        <w:rPr>
          <w:sz w:val="18"/>
        </w:rPr>
        <w:t>ликвидни</w:t>
      </w:r>
      <w:proofErr w:type="spellEnd"/>
      <w:r w:rsidRPr="0045670C">
        <w:rPr>
          <w:sz w:val="18"/>
        </w:rPr>
        <w:t xml:space="preserve"> </w:t>
      </w:r>
      <w:proofErr w:type="spellStart"/>
      <w:r w:rsidRPr="0045670C">
        <w:rPr>
          <w:sz w:val="18"/>
        </w:rPr>
        <w:t>потоци</w:t>
      </w:r>
      <w:proofErr w:type="spellEnd"/>
      <w:r w:rsidRPr="0045670C">
        <w:rPr>
          <w:sz w:val="18"/>
        </w:rPr>
        <w:t>.</w:t>
      </w:r>
      <w:proofErr w:type="gramEnd"/>
    </w:p>
  </w:footnote>
  <w:footnote w:id="3">
    <w:p w:rsidR="002E72AD" w:rsidRPr="0045670C" w:rsidRDefault="002E72AD" w:rsidP="002E72AD">
      <w:pPr>
        <w:pStyle w:val="FootnoteText"/>
        <w:rPr>
          <w:sz w:val="18"/>
        </w:rPr>
      </w:pPr>
      <w:r w:rsidRPr="0045670C">
        <w:rPr>
          <w:rStyle w:val="FootnoteReference"/>
          <w:sz w:val="18"/>
        </w:rPr>
        <w:footnoteRef/>
      </w:r>
      <w:r w:rsidRPr="0045670C">
        <w:rPr>
          <w:sz w:val="18"/>
        </w:rPr>
        <w:t xml:space="preserve"> </w:t>
      </w:r>
      <w:proofErr w:type="spellStart"/>
      <w:r w:rsidRPr="0045670C">
        <w:rPr>
          <w:sz w:val="18"/>
        </w:rPr>
        <w:t>По</w:t>
      </w:r>
      <w:proofErr w:type="spellEnd"/>
      <w:r w:rsidRPr="0045670C">
        <w:rPr>
          <w:sz w:val="18"/>
        </w:rPr>
        <w:t xml:space="preserve"> </w:t>
      </w:r>
      <w:proofErr w:type="spellStart"/>
      <w:r w:rsidRPr="0045670C">
        <w:rPr>
          <w:sz w:val="18"/>
        </w:rPr>
        <w:t>данни</w:t>
      </w:r>
      <w:proofErr w:type="spellEnd"/>
      <w:r w:rsidRPr="0045670C">
        <w:rPr>
          <w:sz w:val="18"/>
        </w:rPr>
        <w:t xml:space="preserve"> </w:t>
      </w:r>
      <w:proofErr w:type="spellStart"/>
      <w:r w:rsidRPr="0045670C">
        <w:rPr>
          <w:sz w:val="18"/>
        </w:rPr>
        <w:t>от</w:t>
      </w:r>
      <w:proofErr w:type="spellEnd"/>
      <w:r w:rsidRPr="0045670C">
        <w:rPr>
          <w:sz w:val="18"/>
        </w:rPr>
        <w:t xml:space="preserve"> </w:t>
      </w:r>
      <w:proofErr w:type="spellStart"/>
      <w:r w:rsidRPr="0045670C">
        <w:rPr>
          <w:sz w:val="18"/>
        </w:rPr>
        <w:t>парична</w:t>
      </w:r>
      <w:proofErr w:type="spellEnd"/>
      <w:r w:rsidRPr="0045670C">
        <w:rPr>
          <w:sz w:val="18"/>
        </w:rPr>
        <w:t xml:space="preserve"> </w:t>
      </w:r>
      <w:proofErr w:type="spellStart"/>
      <w:r w:rsidRPr="0045670C">
        <w:rPr>
          <w:sz w:val="18"/>
        </w:rPr>
        <w:t>статистика</w:t>
      </w:r>
      <w:proofErr w:type="spellEnd"/>
      <w:r w:rsidRPr="0045670C">
        <w:rPr>
          <w:sz w:val="18"/>
        </w:rPr>
        <w:t xml:space="preserve"> на БНБ</w:t>
      </w:r>
    </w:p>
  </w:footnote>
  <w:footnote w:id="4">
    <w:p w:rsidR="00935F4B" w:rsidRDefault="00935F4B" w:rsidP="00E74802">
      <w:pPr>
        <w:pStyle w:val="FootnoteText"/>
        <w:jc w:val="both"/>
      </w:pPr>
      <w:r>
        <w:rPr>
          <w:rStyle w:val="FootnoteReference"/>
        </w:rPr>
        <w:footnoteRef/>
      </w:r>
      <w:r>
        <w:t xml:space="preserve"> </w:t>
      </w:r>
      <w:r w:rsidRPr="00335B65">
        <w:rPr>
          <w:sz w:val="18"/>
          <w:szCs w:val="16"/>
          <w:lang w:val="bg-BG"/>
        </w:rPr>
        <w:t xml:space="preserve">Обхваща държавния бюджет и бюджетите на общините, </w:t>
      </w:r>
      <w:proofErr w:type="spellStart"/>
      <w:r w:rsidRPr="00335B65">
        <w:rPr>
          <w:sz w:val="18"/>
          <w:szCs w:val="16"/>
          <w:lang w:val="bg-BG"/>
        </w:rPr>
        <w:t>социалноосигурителните</w:t>
      </w:r>
      <w:proofErr w:type="spellEnd"/>
      <w:r w:rsidRPr="00335B65">
        <w:rPr>
          <w:sz w:val="18"/>
          <w:szCs w:val="16"/>
          <w:lang w:val="bg-BG"/>
        </w:rPr>
        <w:t xml:space="preserve"> фондове, ДВУ, БАН, БНР, БНТ, БТА, бюджетите по чл.14, ал.4 от ЗПФ, както и сметките за средствата от ЕС и сметките за чужди средства на бюджетните организации. Данните за 201</w:t>
      </w:r>
      <w:r>
        <w:rPr>
          <w:sz w:val="18"/>
          <w:szCs w:val="16"/>
        </w:rPr>
        <w:t>9</w:t>
      </w:r>
      <w:r w:rsidRPr="00335B65">
        <w:rPr>
          <w:sz w:val="18"/>
          <w:szCs w:val="16"/>
          <w:lang w:val="bg-BG"/>
        </w:rPr>
        <w:t xml:space="preserve"> г. са на база месечни отчети, а тези за 201</w:t>
      </w:r>
      <w:r>
        <w:rPr>
          <w:sz w:val="18"/>
          <w:szCs w:val="16"/>
        </w:rPr>
        <w:t>8</w:t>
      </w:r>
      <w:r w:rsidRPr="00335B65">
        <w:rPr>
          <w:sz w:val="18"/>
          <w:szCs w:val="16"/>
          <w:lang w:val="bg-BG"/>
        </w:rPr>
        <w:t xml:space="preserve"> г. - на база тримесечни отчети на ПРБ.</w:t>
      </w:r>
    </w:p>
  </w:footnote>
  <w:footnote w:id="5">
    <w:p w:rsidR="00935F4B" w:rsidRPr="00B70BD3" w:rsidRDefault="00935F4B" w:rsidP="0062059F">
      <w:pPr>
        <w:pStyle w:val="FootnoteText"/>
        <w:jc w:val="both"/>
        <w:rPr>
          <w:sz w:val="18"/>
          <w:szCs w:val="18"/>
        </w:rPr>
      </w:pPr>
      <w:r w:rsidRPr="00B70BD3">
        <w:rPr>
          <w:rStyle w:val="FootnoteReference"/>
          <w:sz w:val="18"/>
          <w:szCs w:val="18"/>
        </w:rPr>
        <w:footnoteRef/>
      </w:r>
      <w:r w:rsidRPr="00B70BD3">
        <w:rPr>
          <w:sz w:val="18"/>
          <w:szCs w:val="18"/>
        </w:rPr>
        <w:t xml:space="preserve"> </w:t>
      </w:r>
      <w:r w:rsidRPr="00B70BD3">
        <w:rPr>
          <w:sz w:val="18"/>
          <w:szCs w:val="18"/>
          <w:lang w:val="bg-BG"/>
        </w:rPr>
        <w:t>Поради извършено закръгление в млн. лв., някои сумарни позиции в Таблица №1</w:t>
      </w:r>
      <w:r>
        <w:rPr>
          <w:sz w:val="18"/>
          <w:szCs w:val="18"/>
          <w:lang w:val="bg-BG"/>
        </w:rPr>
        <w:t>,</w:t>
      </w:r>
      <w:r w:rsidRPr="00B70BD3">
        <w:rPr>
          <w:sz w:val="18"/>
          <w:szCs w:val="18"/>
          <w:lang w:val="bg-BG"/>
        </w:rPr>
        <w:t xml:space="preserve"> Таблица  №2</w:t>
      </w:r>
      <w:r>
        <w:rPr>
          <w:sz w:val="18"/>
          <w:szCs w:val="18"/>
          <w:lang w:val="bg-BG"/>
        </w:rPr>
        <w:t xml:space="preserve"> и в текста </w:t>
      </w:r>
      <w:r w:rsidRPr="00B70BD3">
        <w:rPr>
          <w:sz w:val="18"/>
          <w:szCs w:val="18"/>
          <w:lang w:val="bg-BG"/>
        </w:rPr>
        <w:t>не се изчерпват от съставните им числа.</w:t>
      </w:r>
    </w:p>
  </w:footnote>
  <w:footnote w:id="6">
    <w:p w:rsidR="00935F4B" w:rsidRPr="003F3760" w:rsidRDefault="00935F4B">
      <w:pPr>
        <w:pStyle w:val="FootnoteText"/>
        <w:rPr>
          <w:lang w:val="bg-BG"/>
        </w:rPr>
      </w:pPr>
      <w:r w:rsidRPr="00F84110">
        <w:rPr>
          <w:rStyle w:val="FootnoteReference"/>
          <w:lang w:val="bg-BG"/>
        </w:rPr>
        <w:footnoteRef/>
      </w:r>
      <w:r w:rsidRPr="00F84110">
        <w:rPr>
          <w:lang w:val="bg-BG"/>
        </w:rPr>
        <w:t xml:space="preserve"> </w:t>
      </w:r>
      <w:r w:rsidRPr="00F84110">
        <w:rPr>
          <w:sz w:val="18"/>
          <w:lang w:val="bg-BG"/>
        </w:rPr>
        <w:t>Актуализирани разчети съгласно ЗИД на ЗДБРБ за 2019 г.</w:t>
      </w:r>
    </w:p>
  </w:footnote>
  <w:footnote w:id="7">
    <w:p w:rsidR="00935F4B" w:rsidRPr="00E74802" w:rsidRDefault="00935F4B" w:rsidP="00B13128">
      <w:pPr>
        <w:pStyle w:val="FootnoteText"/>
        <w:jc w:val="both"/>
        <w:rPr>
          <w:sz w:val="18"/>
          <w:szCs w:val="18"/>
          <w:lang w:val="bg-BG"/>
        </w:rPr>
      </w:pPr>
      <w:r w:rsidRPr="00E74802">
        <w:rPr>
          <w:rStyle w:val="FootnoteReference"/>
          <w:sz w:val="18"/>
          <w:szCs w:val="18"/>
          <w:lang w:val="bg-BG"/>
        </w:rPr>
        <w:footnoteRef/>
      </w:r>
      <w:r w:rsidRPr="00E74802">
        <w:rPr>
          <w:sz w:val="18"/>
          <w:szCs w:val="18"/>
          <w:lang w:val="bg-BG"/>
        </w:rPr>
        <w:t xml:space="preserve"> </w:t>
      </w:r>
      <w:r w:rsidRPr="004D0661">
        <w:rPr>
          <w:sz w:val="18"/>
          <w:szCs w:val="18"/>
          <w:lang w:val="bg-BG"/>
        </w:rPr>
        <w:t>Обхватът на показателя фискален резерв е в съответствие с §1, т. 41 от Допълнителните разпоредби на Закона за публичните финанси.</w:t>
      </w:r>
    </w:p>
  </w:footnote>
  <w:footnote w:id="8">
    <w:p w:rsidR="00935F4B" w:rsidRPr="00DF79A3" w:rsidRDefault="00935F4B" w:rsidP="00B13128">
      <w:pPr>
        <w:pStyle w:val="FootnoteText"/>
        <w:rPr>
          <w:lang w:val="bg-BG"/>
        </w:rPr>
      </w:pPr>
      <w:r w:rsidRPr="00F97BCC">
        <w:rPr>
          <w:rStyle w:val="FootnoteReference"/>
          <w:lang w:val="bg-BG"/>
        </w:rPr>
        <w:footnoteRef/>
      </w:r>
      <w:r w:rsidRPr="00F97BCC">
        <w:rPr>
          <w:lang w:val="bg-BG"/>
        </w:rPr>
        <w:t xml:space="preserve"> </w:t>
      </w:r>
      <w:r w:rsidRPr="00185D08">
        <w:rPr>
          <w:sz w:val="18"/>
          <w:szCs w:val="16"/>
          <w:lang w:val="bg-BG"/>
        </w:rPr>
        <w:t>Държавният бюджет включва централен бюджет, бюджетите на НС, съдебната власт, министерствата и ведомствата.</w:t>
      </w:r>
    </w:p>
  </w:footnote>
  <w:footnote w:id="9">
    <w:p w:rsidR="00935F4B" w:rsidRPr="00BA6AD2" w:rsidRDefault="00935F4B" w:rsidP="00B13128">
      <w:pPr>
        <w:pStyle w:val="FootnoteText"/>
        <w:jc w:val="both"/>
        <w:rPr>
          <w:sz w:val="18"/>
          <w:szCs w:val="18"/>
          <w:lang w:val="bg-BG"/>
        </w:rPr>
      </w:pPr>
      <w:r w:rsidRPr="00182A94">
        <w:rPr>
          <w:rStyle w:val="FootnoteReference"/>
          <w:sz w:val="18"/>
          <w:szCs w:val="18"/>
          <w:lang w:val="bg-BG"/>
        </w:rPr>
        <w:footnoteRef/>
      </w:r>
      <w:r w:rsidRPr="00182A94">
        <w:rPr>
          <w:sz w:val="18"/>
          <w:szCs w:val="18"/>
          <w:lang w:val="bg-BG"/>
        </w:rPr>
        <w:t xml:space="preserve"> Поради извършено закръгление в млн. лв., някои сумарни позиции в Таблица №1</w:t>
      </w:r>
      <w:r>
        <w:rPr>
          <w:sz w:val="18"/>
          <w:szCs w:val="18"/>
          <w:lang w:val="bg-BG"/>
        </w:rPr>
        <w:t xml:space="preserve">, </w:t>
      </w:r>
      <w:r w:rsidRPr="00182A94">
        <w:rPr>
          <w:sz w:val="18"/>
          <w:szCs w:val="18"/>
          <w:lang w:val="bg-BG"/>
        </w:rPr>
        <w:t>Таблица №</w:t>
      </w:r>
      <w:r>
        <w:rPr>
          <w:sz w:val="18"/>
          <w:szCs w:val="18"/>
          <w:lang w:val="bg-BG"/>
        </w:rPr>
        <w:t>2</w:t>
      </w:r>
      <w:r w:rsidRPr="00182A94">
        <w:rPr>
          <w:sz w:val="18"/>
          <w:szCs w:val="18"/>
          <w:lang w:val="bg-BG"/>
        </w:rPr>
        <w:t xml:space="preserve"> и в текста не се изчерпват от </w:t>
      </w:r>
      <w:r w:rsidRPr="00BA6AD2">
        <w:rPr>
          <w:sz w:val="18"/>
          <w:szCs w:val="18"/>
          <w:lang w:val="bg-BG"/>
        </w:rPr>
        <w:t>съставните им числа.</w:t>
      </w:r>
    </w:p>
  </w:footnote>
  <w:footnote w:id="10">
    <w:p w:rsidR="00935F4B" w:rsidRPr="003F3760" w:rsidRDefault="00935F4B" w:rsidP="00B13128">
      <w:pPr>
        <w:pStyle w:val="FootnoteText"/>
        <w:rPr>
          <w:lang w:val="bg-BG"/>
        </w:rPr>
      </w:pPr>
      <w:r w:rsidRPr="009F11B4">
        <w:rPr>
          <w:rStyle w:val="FootnoteReference"/>
          <w:lang w:val="bg-BG"/>
        </w:rPr>
        <w:footnoteRef/>
      </w:r>
      <w:r w:rsidRPr="009F11B4">
        <w:rPr>
          <w:lang w:val="bg-BG"/>
        </w:rPr>
        <w:t xml:space="preserve"> </w:t>
      </w:r>
      <w:r w:rsidRPr="009F11B4">
        <w:rPr>
          <w:sz w:val="18"/>
          <w:lang w:val="bg-BG"/>
        </w:rPr>
        <w:t>Актуализирани разчети съгласно ЗИД на ЗДБРБ за 2019 г.</w:t>
      </w:r>
    </w:p>
  </w:footnote>
  <w:footnote w:id="11">
    <w:p w:rsidR="00935F4B" w:rsidRPr="002C3578" w:rsidRDefault="00935F4B" w:rsidP="00B13128">
      <w:pPr>
        <w:pStyle w:val="FootnoteText"/>
        <w:jc w:val="both"/>
        <w:rPr>
          <w:sz w:val="18"/>
          <w:szCs w:val="18"/>
          <w:lang w:val="bg-BG"/>
        </w:rPr>
      </w:pPr>
      <w:r w:rsidRPr="00B94753">
        <w:rPr>
          <w:rStyle w:val="FootnoteReference"/>
          <w:sz w:val="18"/>
          <w:szCs w:val="18"/>
        </w:rPr>
        <w:footnoteRef/>
      </w:r>
      <w:r w:rsidRPr="00B94753">
        <w:rPr>
          <w:sz w:val="18"/>
          <w:szCs w:val="18"/>
        </w:rPr>
        <w:t xml:space="preserve"> </w:t>
      </w:r>
      <w:r w:rsidRPr="002C3578">
        <w:rPr>
          <w:sz w:val="18"/>
          <w:szCs w:val="18"/>
          <w:lang w:val="bg-BG"/>
        </w:rPr>
        <w:t>В позицията "Резерв за непредвидени и неотложни разходи" се посочват само данните по разчет. Разходите по отчет се отразяват по съответните разходни позиции, към които се отнасят извършените разходи.</w:t>
      </w:r>
    </w:p>
  </w:footnote>
  <w:footnote w:id="12">
    <w:p w:rsidR="00935F4B" w:rsidRPr="005A4630" w:rsidRDefault="00935F4B" w:rsidP="002678AD">
      <w:pPr>
        <w:pStyle w:val="FootnoteText"/>
        <w:rPr>
          <w:sz w:val="18"/>
        </w:rPr>
      </w:pPr>
      <w:r w:rsidRPr="005A4630">
        <w:rPr>
          <w:rStyle w:val="FootnoteReference"/>
          <w:sz w:val="18"/>
        </w:rPr>
        <w:footnoteRef/>
      </w:r>
      <w:r w:rsidRPr="005A4630">
        <w:rPr>
          <w:sz w:val="18"/>
        </w:rPr>
        <w:t xml:space="preserve"> </w:t>
      </w:r>
      <w:proofErr w:type="spellStart"/>
      <w:r>
        <w:rPr>
          <w:sz w:val="18"/>
        </w:rPr>
        <w:t>С</w:t>
      </w:r>
      <w:r w:rsidRPr="005A4630">
        <w:rPr>
          <w:sz w:val="18"/>
        </w:rPr>
        <w:t>труктурен</w:t>
      </w:r>
      <w:proofErr w:type="spellEnd"/>
      <w:r w:rsidRPr="005A4630">
        <w:rPr>
          <w:sz w:val="18"/>
        </w:rPr>
        <w:t xml:space="preserve"> </w:t>
      </w:r>
      <w:proofErr w:type="spellStart"/>
      <w:r w:rsidRPr="005A4630">
        <w:rPr>
          <w:sz w:val="18"/>
        </w:rPr>
        <w:t>програмен</w:t>
      </w:r>
      <w:proofErr w:type="spellEnd"/>
      <w:r w:rsidRPr="005A4630">
        <w:rPr>
          <w:sz w:val="18"/>
        </w:rPr>
        <w:t xml:space="preserve"> </w:t>
      </w:r>
      <w:proofErr w:type="spellStart"/>
      <w:r w:rsidRPr="005A4630">
        <w:rPr>
          <w:sz w:val="18"/>
        </w:rPr>
        <w:t>заем</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6090"/>
    <w:multiLevelType w:val="hybridMultilevel"/>
    <w:tmpl w:val="92F660C8"/>
    <w:lvl w:ilvl="0" w:tplc="0402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nsid w:val="00892FFA"/>
    <w:multiLevelType w:val="hybridMultilevel"/>
    <w:tmpl w:val="94A88EA6"/>
    <w:lvl w:ilvl="0" w:tplc="257A31AA">
      <w:start w:val="1"/>
      <w:numFmt w:val="bullet"/>
      <w:lvlText w:val=""/>
      <w:lvlJc w:val="left"/>
      <w:pPr>
        <w:ind w:left="1069" w:hanging="360"/>
      </w:pPr>
      <w:rPr>
        <w:rFonts w:ascii="Symbol" w:hAnsi="Symbol" w:hint="default"/>
        <w:b/>
        <w:color w:val="auto"/>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nsid w:val="0F3230CB"/>
    <w:multiLevelType w:val="hybridMultilevel"/>
    <w:tmpl w:val="48F0886C"/>
    <w:lvl w:ilvl="0" w:tplc="0012154E">
      <w:start w:val="1"/>
      <w:numFmt w:val="bullet"/>
      <w:lvlText w:val=""/>
      <w:lvlJc w:val="left"/>
      <w:pPr>
        <w:tabs>
          <w:tab w:val="num" w:pos="2157"/>
        </w:tabs>
        <w:ind w:left="2157" w:hanging="357"/>
      </w:pPr>
      <w:rPr>
        <w:rFonts w:ascii="Wingdings" w:hAnsi="Wingdings" w:hint="default"/>
        <w:color w:val="auto"/>
        <w:sz w:val="24"/>
        <w:szCs w:val="24"/>
        <w:u w:color="FFFFFF"/>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11581A89"/>
    <w:multiLevelType w:val="hybridMultilevel"/>
    <w:tmpl w:val="08D66548"/>
    <w:lvl w:ilvl="0" w:tplc="4446C67E">
      <w:start w:val="1"/>
      <w:numFmt w:val="bullet"/>
      <w:lvlText w:val=""/>
      <w:lvlJc w:val="left"/>
      <w:pPr>
        <w:ind w:left="1440" w:hanging="360"/>
      </w:pPr>
      <w:rPr>
        <w:rFonts w:ascii="Symbol" w:hAnsi="Symbol" w:hint="default"/>
        <w:color w:val="auto"/>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1194083D"/>
    <w:multiLevelType w:val="hybridMultilevel"/>
    <w:tmpl w:val="B434DC02"/>
    <w:lvl w:ilvl="0" w:tplc="54C466F6">
      <w:numFmt w:val="bullet"/>
      <w:lvlText w:val="-"/>
      <w:lvlJc w:val="left"/>
      <w:pPr>
        <w:tabs>
          <w:tab w:val="num" w:pos="1500"/>
        </w:tabs>
        <w:ind w:left="150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nsid w:val="14105CA9"/>
    <w:multiLevelType w:val="hybridMultilevel"/>
    <w:tmpl w:val="2D5A56EE"/>
    <w:lvl w:ilvl="0" w:tplc="88C42E5E">
      <w:start w:val="1"/>
      <w:numFmt w:val="decimal"/>
      <w:pStyle w:val="ParagraphNumbering"/>
      <w:lvlText w:val="%1.     "/>
      <w:lvlJc w:val="left"/>
      <w:pPr>
        <w:tabs>
          <w:tab w:val="num" w:pos="1260"/>
        </w:tabs>
        <w:ind w:left="540" w:firstLine="0"/>
      </w:pPr>
      <w:rPr>
        <w:rFonts w:hint="default"/>
        <w:b/>
      </w:rPr>
    </w:lvl>
    <w:lvl w:ilvl="1" w:tplc="F6E687FE">
      <w:start w:val="1"/>
      <w:numFmt w:val="upperRoman"/>
      <w:lvlText w:val="%2."/>
      <w:lvlJc w:val="right"/>
      <w:pPr>
        <w:tabs>
          <w:tab w:val="num" w:pos="1260"/>
        </w:tabs>
        <w:ind w:left="1260" w:hanging="18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rPr>
        <w:b/>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CEE0108"/>
    <w:multiLevelType w:val="hybridMultilevel"/>
    <w:tmpl w:val="8222E77A"/>
    <w:lvl w:ilvl="0" w:tplc="04020005">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
    <w:nsid w:val="20EE040C"/>
    <w:multiLevelType w:val="hybridMultilevel"/>
    <w:tmpl w:val="DF5C7CEA"/>
    <w:lvl w:ilvl="0" w:tplc="04020005">
      <w:start w:val="1"/>
      <w:numFmt w:val="bullet"/>
      <w:lvlText w:val=""/>
      <w:lvlJc w:val="left"/>
      <w:pPr>
        <w:tabs>
          <w:tab w:val="num" w:pos="360"/>
        </w:tabs>
        <w:ind w:left="360" w:hanging="360"/>
      </w:pPr>
      <w:rPr>
        <w:rFonts w:ascii="Wingdings" w:hAnsi="Wingdings" w:hint="default"/>
        <w:color w:val="auto"/>
        <w:sz w:val="28"/>
        <w:u w:color="FFFFFF"/>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nsid w:val="23BF11F5"/>
    <w:multiLevelType w:val="hybridMultilevel"/>
    <w:tmpl w:val="1EE24DC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25A20358"/>
    <w:multiLevelType w:val="hybridMultilevel"/>
    <w:tmpl w:val="E1D8CE2E"/>
    <w:lvl w:ilvl="0" w:tplc="B8369D36">
      <w:start w:val="1"/>
      <w:numFmt w:val="bullet"/>
      <w:lvlText w:val=""/>
      <w:lvlJc w:val="left"/>
      <w:pPr>
        <w:tabs>
          <w:tab w:val="num" w:pos="898"/>
        </w:tabs>
        <w:ind w:left="0" w:firstLine="360"/>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nsid w:val="288D6CFF"/>
    <w:multiLevelType w:val="hybridMultilevel"/>
    <w:tmpl w:val="8E9EC7B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nsid w:val="2D752873"/>
    <w:multiLevelType w:val="multilevel"/>
    <w:tmpl w:val="0ECE36AC"/>
    <w:lvl w:ilvl="0">
      <w:start w:val="4"/>
      <w:numFmt w:val="decimal"/>
      <w:lvlText w:val="%1"/>
      <w:lvlJc w:val="left"/>
      <w:pPr>
        <w:ind w:left="360" w:hanging="360"/>
      </w:pPr>
      <w:rPr>
        <w:rFonts w:hint="default"/>
      </w:rPr>
    </w:lvl>
    <w:lvl w:ilvl="1">
      <w:start w:val="2"/>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2">
    <w:nsid w:val="2F8B1941"/>
    <w:multiLevelType w:val="hybridMultilevel"/>
    <w:tmpl w:val="269A2F3C"/>
    <w:lvl w:ilvl="0" w:tplc="1AC8DDA4">
      <w:start w:val="1"/>
      <w:numFmt w:val="bullet"/>
      <w:lvlText w:val=""/>
      <w:lvlJc w:val="left"/>
      <w:pPr>
        <w:tabs>
          <w:tab w:val="num" w:pos="1440"/>
        </w:tabs>
        <w:ind w:left="740" w:firstLine="340"/>
      </w:pPr>
      <w:rPr>
        <w:rFonts w:ascii="Wingdings" w:hAnsi="Wingdings" w:hint="default"/>
        <w:sz w:val="24"/>
        <w:szCs w:val="24"/>
      </w:rPr>
    </w:lvl>
    <w:lvl w:ilvl="1" w:tplc="B8089F6A">
      <w:start w:val="1"/>
      <w:numFmt w:val="bullet"/>
      <w:lvlText w:val=""/>
      <w:lvlJc w:val="left"/>
      <w:pPr>
        <w:tabs>
          <w:tab w:val="num" w:pos="1437"/>
        </w:tabs>
        <w:ind w:left="1437" w:hanging="357"/>
      </w:pPr>
      <w:rPr>
        <w:rFonts w:ascii="Wingdings" w:hAnsi="Wingdings" w:hint="default"/>
        <w:color w:val="auto"/>
        <w:sz w:val="28"/>
        <w:szCs w:val="24"/>
        <w:u w:color="FFFFFF"/>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nsid w:val="34706099"/>
    <w:multiLevelType w:val="hybridMultilevel"/>
    <w:tmpl w:val="517EAAC6"/>
    <w:lvl w:ilvl="0" w:tplc="04020005">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4">
    <w:nsid w:val="3AF86BBB"/>
    <w:multiLevelType w:val="hybridMultilevel"/>
    <w:tmpl w:val="C65EBD6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40506C4C"/>
    <w:multiLevelType w:val="hybridMultilevel"/>
    <w:tmpl w:val="8E46A080"/>
    <w:lvl w:ilvl="0" w:tplc="0402000B">
      <w:start w:val="1"/>
      <w:numFmt w:val="bullet"/>
      <w:lvlText w:val=""/>
      <w:lvlJc w:val="left"/>
      <w:pPr>
        <w:tabs>
          <w:tab w:val="num" w:pos="928"/>
        </w:tabs>
        <w:ind w:left="928" w:hanging="360"/>
      </w:pPr>
      <w:rPr>
        <w:rFonts w:ascii="Wingdings" w:hAnsi="Wingdings" w:hint="default"/>
      </w:rPr>
    </w:lvl>
    <w:lvl w:ilvl="1" w:tplc="0402000F">
      <w:start w:val="1"/>
      <w:numFmt w:val="decimal"/>
      <w:lvlText w:val="%2."/>
      <w:lvlJc w:val="left"/>
      <w:pPr>
        <w:tabs>
          <w:tab w:val="num" w:pos="1440"/>
        </w:tabs>
        <w:ind w:left="1440" w:hanging="360"/>
      </w:pPr>
      <w:rPr>
        <w:rFont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nsid w:val="489254F4"/>
    <w:multiLevelType w:val="hybridMultilevel"/>
    <w:tmpl w:val="A78E9870"/>
    <w:lvl w:ilvl="0" w:tplc="0409000B">
      <w:start w:val="1"/>
      <w:numFmt w:val="bullet"/>
      <w:lvlText w:val=""/>
      <w:lvlJc w:val="left"/>
      <w:pPr>
        <w:tabs>
          <w:tab w:val="num" w:pos="360"/>
        </w:tabs>
        <w:ind w:left="360" w:hanging="360"/>
      </w:pPr>
      <w:rPr>
        <w:rFonts w:ascii="Wingdings" w:hAnsi="Wingdings" w:hint="default"/>
      </w:rPr>
    </w:lvl>
    <w:lvl w:ilvl="1" w:tplc="8DDE1D3E">
      <w:start w:val="1"/>
      <w:numFmt w:val="bullet"/>
      <w:lvlText w:val=""/>
      <w:lvlJc w:val="left"/>
      <w:pPr>
        <w:tabs>
          <w:tab w:val="num" w:pos="1383"/>
        </w:tabs>
        <w:ind w:left="683" w:firstLine="340"/>
      </w:pPr>
      <w:rPr>
        <w:rFonts w:ascii="Wingdings" w:hAnsi="Wingdings"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17">
    <w:nsid w:val="4A5F564A"/>
    <w:multiLevelType w:val="hybridMultilevel"/>
    <w:tmpl w:val="19C03E34"/>
    <w:lvl w:ilvl="0" w:tplc="B8089F6A">
      <w:start w:val="1"/>
      <w:numFmt w:val="bullet"/>
      <w:lvlText w:val=""/>
      <w:lvlJc w:val="left"/>
      <w:pPr>
        <w:tabs>
          <w:tab w:val="num" w:pos="6878"/>
        </w:tabs>
        <w:ind w:left="6878" w:hanging="357"/>
      </w:pPr>
      <w:rPr>
        <w:rFonts w:ascii="Wingdings" w:hAnsi="Wingdings" w:hint="default"/>
        <w:color w:val="auto"/>
        <w:sz w:val="28"/>
        <w:u w:color="FFFFFF"/>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4B1C3D5E"/>
    <w:multiLevelType w:val="hybridMultilevel"/>
    <w:tmpl w:val="05085AC2"/>
    <w:lvl w:ilvl="0" w:tplc="EDA44120">
      <w:start w:val="1"/>
      <w:numFmt w:val="bullet"/>
      <w:lvlText w:val="-"/>
      <w:lvlJc w:val="left"/>
      <w:pPr>
        <w:tabs>
          <w:tab w:val="num" w:pos="700"/>
        </w:tabs>
        <w:ind w:left="700" w:hanging="360"/>
      </w:pPr>
      <w:rPr>
        <w:rFonts w:ascii="Mangal" w:hAnsi="Mangal"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CEB1EBB"/>
    <w:multiLevelType w:val="hybridMultilevel"/>
    <w:tmpl w:val="A7840AB6"/>
    <w:lvl w:ilvl="0" w:tplc="531CAAA0">
      <w:start w:val="1"/>
      <w:numFmt w:val="bullet"/>
      <w:lvlText w:val=""/>
      <w:lvlJc w:val="left"/>
      <w:pPr>
        <w:tabs>
          <w:tab w:val="num" w:pos="540"/>
        </w:tabs>
        <w:ind w:left="540" w:hanging="360"/>
      </w:pPr>
      <w:rPr>
        <w:rFonts w:ascii="Wingdings" w:hAnsi="Wingdings" w:hint="default"/>
        <w:color w:val="auto"/>
      </w:rPr>
    </w:lvl>
    <w:lvl w:ilvl="1" w:tplc="60389F10">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F0D78F0"/>
    <w:multiLevelType w:val="hybridMultilevel"/>
    <w:tmpl w:val="33664FCA"/>
    <w:lvl w:ilvl="0" w:tplc="5AC6C2E0">
      <w:start w:val="1"/>
      <w:numFmt w:val="bullet"/>
      <w:lvlText w:val=""/>
      <w:lvlJc w:val="left"/>
      <w:pPr>
        <w:tabs>
          <w:tab w:val="num" w:pos="1346"/>
        </w:tabs>
        <w:ind w:left="984" w:firstLine="96"/>
      </w:pPr>
      <w:rPr>
        <w:rFonts w:ascii="Symbol" w:hAnsi="Symbol" w:hint="default"/>
        <w:color w:val="auto"/>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21">
    <w:nsid w:val="53A41434"/>
    <w:multiLevelType w:val="hybridMultilevel"/>
    <w:tmpl w:val="D4069CA2"/>
    <w:lvl w:ilvl="0" w:tplc="AB6E2D68">
      <w:start w:val="1"/>
      <w:numFmt w:val="bullet"/>
      <w:lvlText w:val=""/>
      <w:lvlJc w:val="left"/>
      <w:pPr>
        <w:tabs>
          <w:tab w:val="num" w:pos="700"/>
        </w:tabs>
        <w:ind w:left="700" w:hanging="360"/>
      </w:pPr>
      <w:rPr>
        <w:rFonts w:ascii="Wingdings" w:hAnsi="Wingdings" w:hint="default"/>
        <w:color w:val="auto"/>
        <w:sz w:val="24"/>
        <w:szCs w:val="24"/>
      </w:rPr>
    </w:lvl>
    <w:lvl w:ilvl="1" w:tplc="7DDCFFB6">
      <w:start w:val="1"/>
      <w:numFmt w:val="bullet"/>
      <w:lvlText w:val=""/>
      <w:lvlJc w:val="left"/>
      <w:pPr>
        <w:tabs>
          <w:tab w:val="num" w:pos="1440"/>
        </w:tabs>
        <w:ind w:left="1440" w:hanging="360"/>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5D92F24"/>
    <w:multiLevelType w:val="hybridMultilevel"/>
    <w:tmpl w:val="C3E23384"/>
    <w:lvl w:ilvl="0" w:tplc="0402000D">
      <w:start w:val="1"/>
      <w:numFmt w:val="bullet"/>
      <w:lvlText w:val=""/>
      <w:lvlJc w:val="left"/>
      <w:pPr>
        <w:ind w:left="1320" w:hanging="360"/>
      </w:pPr>
      <w:rPr>
        <w:rFonts w:ascii="Wingdings" w:hAnsi="Wingdings" w:hint="default"/>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23">
    <w:nsid w:val="582E15B7"/>
    <w:multiLevelType w:val="hybridMultilevel"/>
    <w:tmpl w:val="B862F89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4">
    <w:nsid w:val="637F5E06"/>
    <w:multiLevelType w:val="hybridMultilevel"/>
    <w:tmpl w:val="18803A0C"/>
    <w:lvl w:ilvl="0" w:tplc="F934C166">
      <w:numFmt w:val="bullet"/>
      <w:lvlText w:val="-"/>
      <w:lvlJc w:val="left"/>
      <w:pPr>
        <w:ind w:left="898" w:hanging="360"/>
      </w:pPr>
      <w:rPr>
        <w:rFonts w:ascii="Times New Roman" w:eastAsia="Times New Roman" w:hAnsi="Times New Roman" w:cs="Times New Roman" w:hint="default"/>
      </w:rPr>
    </w:lvl>
    <w:lvl w:ilvl="1" w:tplc="04020003" w:tentative="1">
      <w:start w:val="1"/>
      <w:numFmt w:val="bullet"/>
      <w:lvlText w:val="o"/>
      <w:lvlJc w:val="left"/>
      <w:pPr>
        <w:ind w:left="1618" w:hanging="360"/>
      </w:pPr>
      <w:rPr>
        <w:rFonts w:ascii="Courier New" w:hAnsi="Courier New" w:cs="Courier New" w:hint="default"/>
      </w:rPr>
    </w:lvl>
    <w:lvl w:ilvl="2" w:tplc="04020005" w:tentative="1">
      <w:start w:val="1"/>
      <w:numFmt w:val="bullet"/>
      <w:lvlText w:val=""/>
      <w:lvlJc w:val="left"/>
      <w:pPr>
        <w:ind w:left="2338" w:hanging="360"/>
      </w:pPr>
      <w:rPr>
        <w:rFonts w:ascii="Wingdings" w:hAnsi="Wingdings" w:hint="default"/>
      </w:rPr>
    </w:lvl>
    <w:lvl w:ilvl="3" w:tplc="04020001" w:tentative="1">
      <w:start w:val="1"/>
      <w:numFmt w:val="bullet"/>
      <w:lvlText w:val=""/>
      <w:lvlJc w:val="left"/>
      <w:pPr>
        <w:ind w:left="3058" w:hanging="360"/>
      </w:pPr>
      <w:rPr>
        <w:rFonts w:ascii="Symbol" w:hAnsi="Symbol" w:hint="default"/>
      </w:rPr>
    </w:lvl>
    <w:lvl w:ilvl="4" w:tplc="04020003" w:tentative="1">
      <w:start w:val="1"/>
      <w:numFmt w:val="bullet"/>
      <w:lvlText w:val="o"/>
      <w:lvlJc w:val="left"/>
      <w:pPr>
        <w:ind w:left="3778" w:hanging="360"/>
      </w:pPr>
      <w:rPr>
        <w:rFonts w:ascii="Courier New" w:hAnsi="Courier New" w:cs="Courier New" w:hint="default"/>
      </w:rPr>
    </w:lvl>
    <w:lvl w:ilvl="5" w:tplc="04020005" w:tentative="1">
      <w:start w:val="1"/>
      <w:numFmt w:val="bullet"/>
      <w:lvlText w:val=""/>
      <w:lvlJc w:val="left"/>
      <w:pPr>
        <w:ind w:left="4498" w:hanging="360"/>
      </w:pPr>
      <w:rPr>
        <w:rFonts w:ascii="Wingdings" w:hAnsi="Wingdings" w:hint="default"/>
      </w:rPr>
    </w:lvl>
    <w:lvl w:ilvl="6" w:tplc="04020001" w:tentative="1">
      <w:start w:val="1"/>
      <w:numFmt w:val="bullet"/>
      <w:lvlText w:val=""/>
      <w:lvlJc w:val="left"/>
      <w:pPr>
        <w:ind w:left="5218" w:hanging="360"/>
      </w:pPr>
      <w:rPr>
        <w:rFonts w:ascii="Symbol" w:hAnsi="Symbol" w:hint="default"/>
      </w:rPr>
    </w:lvl>
    <w:lvl w:ilvl="7" w:tplc="04020003" w:tentative="1">
      <w:start w:val="1"/>
      <w:numFmt w:val="bullet"/>
      <w:lvlText w:val="o"/>
      <w:lvlJc w:val="left"/>
      <w:pPr>
        <w:ind w:left="5938" w:hanging="360"/>
      </w:pPr>
      <w:rPr>
        <w:rFonts w:ascii="Courier New" w:hAnsi="Courier New" w:cs="Courier New" w:hint="default"/>
      </w:rPr>
    </w:lvl>
    <w:lvl w:ilvl="8" w:tplc="04020005" w:tentative="1">
      <w:start w:val="1"/>
      <w:numFmt w:val="bullet"/>
      <w:lvlText w:val=""/>
      <w:lvlJc w:val="left"/>
      <w:pPr>
        <w:ind w:left="6658" w:hanging="360"/>
      </w:pPr>
      <w:rPr>
        <w:rFonts w:ascii="Wingdings" w:hAnsi="Wingdings" w:hint="default"/>
      </w:rPr>
    </w:lvl>
  </w:abstractNum>
  <w:abstractNum w:abstractNumId="25">
    <w:nsid w:val="643A5E75"/>
    <w:multiLevelType w:val="hybridMultilevel"/>
    <w:tmpl w:val="F88C976A"/>
    <w:lvl w:ilvl="0" w:tplc="04020001">
      <w:start w:val="1"/>
      <w:numFmt w:val="bullet"/>
      <w:lvlText w:val=""/>
      <w:lvlJc w:val="left"/>
      <w:pPr>
        <w:tabs>
          <w:tab w:val="num" w:pos="1101"/>
        </w:tabs>
        <w:ind w:left="1101" w:hanging="360"/>
      </w:pPr>
      <w:rPr>
        <w:rFonts w:ascii="Symbol" w:hAnsi="Symbol" w:hint="default"/>
      </w:rPr>
    </w:lvl>
    <w:lvl w:ilvl="1" w:tplc="04020003">
      <w:start w:val="1"/>
      <w:numFmt w:val="bullet"/>
      <w:lvlText w:val="o"/>
      <w:lvlJc w:val="left"/>
      <w:pPr>
        <w:tabs>
          <w:tab w:val="num" w:pos="1821"/>
        </w:tabs>
        <w:ind w:left="1821" w:hanging="360"/>
      </w:pPr>
      <w:rPr>
        <w:rFonts w:ascii="Courier New" w:hAnsi="Courier New" w:cs="Courier New" w:hint="default"/>
      </w:rPr>
    </w:lvl>
    <w:lvl w:ilvl="2" w:tplc="04020005" w:tentative="1">
      <w:start w:val="1"/>
      <w:numFmt w:val="bullet"/>
      <w:lvlText w:val=""/>
      <w:lvlJc w:val="left"/>
      <w:pPr>
        <w:tabs>
          <w:tab w:val="num" w:pos="2541"/>
        </w:tabs>
        <w:ind w:left="2541" w:hanging="360"/>
      </w:pPr>
      <w:rPr>
        <w:rFonts w:ascii="Wingdings" w:hAnsi="Wingdings" w:hint="default"/>
      </w:rPr>
    </w:lvl>
    <w:lvl w:ilvl="3" w:tplc="04020001" w:tentative="1">
      <w:start w:val="1"/>
      <w:numFmt w:val="bullet"/>
      <w:lvlText w:val=""/>
      <w:lvlJc w:val="left"/>
      <w:pPr>
        <w:tabs>
          <w:tab w:val="num" w:pos="3261"/>
        </w:tabs>
        <w:ind w:left="3261" w:hanging="360"/>
      </w:pPr>
      <w:rPr>
        <w:rFonts w:ascii="Symbol" w:hAnsi="Symbol" w:hint="default"/>
      </w:rPr>
    </w:lvl>
    <w:lvl w:ilvl="4" w:tplc="04020003" w:tentative="1">
      <w:start w:val="1"/>
      <w:numFmt w:val="bullet"/>
      <w:lvlText w:val="o"/>
      <w:lvlJc w:val="left"/>
      <w:pPr>
        <w:tabs>
          <w:tab w:val="num" w:pos="3981"/>
        </w:tabs>
        <w:ind w:left="3981" w:hanging="360"/>
      </w:pPr>
      <w:rPr>
        <w:rFonts w:ascii="Courier New" w:hAnsi="Courier New" w:cs="Courier New" w:hint="default"/>
      </w:rPr>
    </w:lvl>
    <w:lvl w:ilvl="5" w:tplc="04020005" w:tentative="1">
      <w:start w:val="1"/>
      <w:numFmt w:val="bullet"/>
      <w:lvlText w:val=""/>
      <w:lvlJc w:val="left"/>
      <w:pPr>
        <w:tabs>
          <w:tab w:val="num" w:pos="4701"/>
        </w:tabs>
        <w:ind w:left="4701" w:hanging="360"/>
      </w:pPr>
      <w:rPr>
        <w:rFonts w:ascii="Wingdings" w:hAnsi="Wingdings" w:hint="default"/>
      </w:rPr>
    </w:lvl>
    <w:lvl w:ilvl="6" w:tplc="04020001" w:tentative="1">
      <w:start w:val="1"/>
      <w:numFmt w:val="bullet"/>
      <w:lvlText w:val=""/>
      <w:lvlJc w:val="left"/>
      <w:pPr>
        <w:tabs>
          <w:tab w:val="num" w:pos="5421"/>
        </w:tabs>
        <w:ind w:left="5421" w:hanging="360"/>
      </w:pPr>
      <w:rPr>
        <w:rFonts w:ascii="Symbol" w:hAnsi="Symbol" w:hint="default"/>
      </w:rPr>
    </w:lvl>
    <w:lvl w:ilvl="7" w:tplc="04020003" w:tentative="1">
      <w:start w:val="1"/>
      <w:numFmt w:val="bullet"/>
      <w:lvlText w:val="o"/>
      <w:lvlJc w:val="left"/>
      <w:pPr>
        <w:tabs>
          <w:tab w:val="num" w:pos="6141"/>
        </w:tabs>
        <w:ind w:left="6141" w:hanging="360"/>
      </w:pPr>
      <w:rPr>
        <w:rFonts w:ascii="Courier New" w:hAnsi="Courier New" w:cs="Courier New" w:hint="default"/>
      </w:rPr>
    </w:lvl>
    <w:lvl w:ilvl="8" w:tplc="04020005" w:tentative="1">
      <w:start w:val="1"/>
      <w:numFmt w:val="bullet"/>
      <w:lvlText w:val=""/>
      <w:lvlJc w:val="left"/>
      <w:pPr>
        <w:tabs>
          <w:tab w:val="num" w:pos="6861"/>
        </w:tabs>
        <w:ind w:left="6861" w:hanging="360"/>
      </w:pPr>
      <w:rPr>
        <w:rFonts w:ascii="Wingdings" w:hAnsi="Wingdings" w:hint="default"/>
      </w:rPr>
    </w:lvl>
  </w:abstractNum>
  <w:abstractNum w:abstractNumId="26">
    <w:nsid w:val="65CD370F"/>
    <w:multiLevelType w:val="hybridMultilevel"/>
    <w:tmpl w:val="F0D23F02"/>
    <w:lvl w:ilvl="0" w:tplc="708AF0F2">
      <w:start w:val="1"/>
      <w:numFmt w:val="bullet"/>
      <w:lvlText w:val=""/>
      <w:lvlJc w:val="left"/>
      <w:pPr>
        <w:tabs>
          <w:tab w:val="num" w:pos="700"/>
        </w:tabs>
        <w:ind w:left="700" w:hanging="360"/>
      </w:pPr>
      <w:rPr>
        <w:rFonts w:ascii="Symbol" w:hAnsi="Symbol"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79E6BBC"/>
    <w:multiLevelType w:val="hybridMultilevel"/>
    <w:tmpl w:val="A3186A2C"/>
    <w:lvl w:ilvl="0" w:tplc="3B28C328">
      <w:start w:val="1"/>
      <w:numFmt w:val="bullet"/>
      <w:lvlText w:val="♦"/>
      <w:lvlJc w:val="left"/>
      <w:pPr>
        <w:tabs>
          <w:tab w:val="num" w:pos="2880"/>
        </w:tabs>
        <w:ind w:left="2880" w:hanging="360"/>
      </w:pPr>
      <w:rPr>
        <w:rFonts w:ascii="Courier New" w:hAnsi="Courier New" w:hint="default"/>
        <w:sz w:val="24"/>
        <w:szCs w:val="24"/>
      </w:rPr>
    </w:lvl>
    <w:lvl w:ilvl="1" w:tplc="8D0EC7F8">
      <w:start w:val="1"/>
      <w:numFmt w:val="bullet"/>
      <w:lvlText w:val=""/>
      <w:lvlJc w:val="left"/>
      <w:pPr>
        <w:tabs>
          <w:tab w:val="num" w:pos="2160"/>
        </w:tabs>
        <w:ind w:left="2160" w:hanging="360"/>
      </w:pPr>
      <w:rPr>
        <w:rFonts w:ascii="Wingdings" w:hAnsi="Wingdings" w:hint="default"/>
        <w:color w:val="auto"/>
        <w:sz w:val="24"/>
        <w:szCs w:val="24"/>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8">
    <w:nsid w:val="68B65AC9"/>
    <w:multiLevelType w:val="hybridMultilevel"/>
    <w:tmpl w:val="313EA526"/>
    <w:lvl w:ilvl="0" w:tplc="257A31AA">
      <w:start w:val="1"/>
      <w:numFmt w:val="bullet"/>
      <w:lvlText w:val=""/>
      <w:lvlJc w:val="left"/>
      <w:pPr>
        <w:tabs>
          <w:tab w:val="num" w:pos="540"/>
        </w:tabs>
        <w:ind w:left="30" w:firstLine="1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9204032"/>
    <w:multiLevelType w:val="hybridMultilevel"/>
    <w:tmpl w:val="5A7CE09A"/>
    <w:lvl w:ilvl="0" w:tplc="3B28C328">
      <w:start w:val="1"/>
      <w:numFmt w:val="bullet"/>
      <w:lvlText w:val="♦"/>
      <w:lvlJc w:val="left"/>
      <w:pPr>
        <w:tabs>
          <w:tab w:val="num" w:pos="2880"/>
        </w:tabs>
        <w:ind w:left="2880" w:hanging="360"/>
      </w:pPr>
      <w:rPr>
        <w:rFonts w:ascii="Courier New" w:hAnsi="Courier New" w:hint="default"/>
        <w:sz w:val="24"/>
        <w:szCs w:val="24"/>
      </w:rPr>
    </w:lvl>
    <w:lvl w:ilvl="1" w:tplc="7DDCFFB6">
      <w:start w:val="1"/>
      <w:numFmt w:val="bullet"/>
      <w:lvlText w:val=""/>
      <w:lvlJc w:val="left"/>
      <w:pPr>
        <w:tabs>
          <w:tab w:val="num" w:pos="2160"/>
        </w:tabs>
        <w:ind w:left="2160" w:hanging="360"/>
      </w:pPr>
      <w:rPr>
        <w:rFonts w:ascii="Wingdings" w:hAnsi="Wingdings" w:hint="default"/>
        <w:sz w:val="24"/>
        <w:szCs w:val="24"/>
      </w:rPr>
    </w:lvl>
    <w:lvl w:ilvl="2" w:tplc="F3BE7F08">
      <w:start w:val="1"/>
      <w:numFmt w:val="bullet"/>
      <w:lvlText w:val=""/>
      <w:lvlJc w:val="left"/>
      <w:pPr>
        <w:tabs>
          <w:tab w:val="num" w:pos="2880"/>
        </w:tabs>
        <w:ind w:left="2880" w:hanging="360"/>
      </w:pPr>
      <w:rPr>
        <w:rFonts w:ascii="Wingdings" w:hAnsi="Wingdings" w:hint="default"/>
        <w:color w:val="000000"/>
        <w:sz w:val="24"/>
        <w:szCs w:val="24"/>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0">
    <w:nsid w:val="6E544B1C"/>
    <w:multiLevelType w:val="hybridMultilevel"/>
    <w:tmpl w:val="F19A58DE"/>
    <w:lvl w:ilvl="0" w:tplc="0402000B">
      <w:start w:val="1"/>
      <w:numFmt w:val="bullet"/>
      <w:lvlText w:val=""/>
      <w:lvlJc w:val="left"/>
      <w:pPr>
        <w:ind w:left="928"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31">
    <w:nsid w:val="6F1E15D4"/>
    <w:multiLevelType w:val="hybridMultilevel"/>
    <w:tmpl w:val="9DAEC4A6"/>
    <w:lvl w:ilvl="0" w:tplc="A0881FC2">
      <w:start w:val="1"/>
      <w:numFmt w:val="bullet"/>
      <w:lvlText w:val=""/>
      <w:lvlJc w:val="left"/>
      <w:pPr>
        <w:tabs>
          <w:tab w:val="num" w:pos="1440"/>
        </w:tabs>
        <w:ind w:left="740" w:firstLine="340"/>
      </w:pPr>
      <w:rPr>
        <w:rFonts w:ascii="Wingdings" w:hAnsi="Wingdings" w:hint="default"/>
        <w:color w:val="000000"/>
        <w:sz w:val="24"/>
        <w:szCs w:val="24"/>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2">
    <w:nsid w:val="70676522"/>
    <w:multiLevelType w:val="hybridMultilevel"/>
    <w:tmpl w:val="4E68849A"/>
    <w:lvl w:ilvl="0" w:tplc="0402000D">
      <w:start w:val="1"/>
      <w:numFmt w:val="bullet"/>
      <w:lvlText w:val=""/>
      <w:lvlJc w:val="left"/>
      <w:pPr>
        <w:ind w:left="1425" w:hanging="360"/>
      </w:pPr>
      <w:rPr>
        <w:rFonts w:ascii="Wingdings" w:hAnsi="Wingdings"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33">
    <w:nsid w:val="71812127"/>
    <w:multiLevelType w:val="multilevel"/>
    <w:tmpl w:val="FDE86A66"/>
    <w:lvl w:ilvl="0">
      <w:start w:val="1"/>
      <w:numFmt w:val="decimal"/>
      <w:lvlText w:val="%1."/>
      <w:lvlJc w:val="left"/>
      <w:pPr>
        <w:tabs>
          <w:tab w:val="num" w:pos="532"/>
        </w:tabs>
        <w:ind w:left="532" w:hanging="39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34">
    <w:nsid w:val="74400184"/>
    <w:multiLevelType w:val="hybridMultilevel"/>
    <w:tmpl w:val="93A0FF94"/>
    <w:lvl w:ilvl="0" w:tplc="A0881FC2">
      <w:start w:val="1"/>
      <w:numFmt w:val="bullet"/>
      <w:lvlText w:val=""/>
      <w:lvlJc w:val="left"/>
      <w:pPr>
        <w:tabs>
          <w:tab w:val="num" w:pos="1440"/>
        </w:tabs>
        <w:ind w:left="740" w:firstLine="340"/>
      </w:pPr>
      <w:rPr>
        <w:rFonts w:ascii="Wingdings" w:hAnsi="Wingdings" w:hint="default"/>
        <w:color w:val="000000"/>
        <w:sz w:val="24"/>
        <w:szCs w:val="24"/>
      </w:rPr>
    </w:lvl>
    <w:lvl w:ilvl="1" w:tplc="CAE42808">
      <w:start w:val="1"/>
      <w:numFmt w:val="bullet"/>
      <w:lvlText w:val=""/>
      <w:lvlJc w:val="left"/>
      <w:pPr>
        <w:tabs>
          <w:tab w:val="num" w:pos="1440"/>
        </w:tabs>
        <w:ind w:left="1440" w:hanging="360"/>
      </w:pPr>
      <w:rPr>
        <w:rFonts w:ascii="Wingdings" w:hAnsi="Wingdings" w:hint="default"/>
        <w:color w:val="000000"/>
        <w:sz w:val="24"/>
        <w:szCs w:val="24"/>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5">
    <w:nsid w:val="74896D38"/>
    <w:multiLevelType w:val="hybridMultilevel"/>
    <w:tmpl w:val="ADA8828A"/>
    <w:lvl w:ilvl="0" w:tplc="0402000D">
      <w:start w:val="1"/>
      <w:numFmt w:val="bullet"/>
      <w:lvlText w:val=""/>
      <w:lvlJc w:val="left"/>
      <w:pPr>
        <w:tabs>
          <w:tab w:val="num" w:pos="1500"/>
        </w:tabs>
        <w:ind w:left="1500" w:hanging="360"/>
      </w:pPr>
      <w:rPr>
        <w:rFonts w:ascii="Wingdings" w:hAnsi="Wingdings" w:hint="default"/>
      </w:rPr>
    </w:lvl>
    <w:lvl w:ilvl="1" w:tplc="04020003" w:tentative="1">
      <w:start w:val="1"/>
      <w:numFmt w:val="bullet"/>
      <w:lvlText w:val="o"/>
      <w:lvlJc w:val="left"/>
      <w:pPr>
        <w:tabs>
          <w:tab w:val="num" w:pos="2220"/>
        </w:tabs>
        <w:ind w:left="2220" w:hanging="360"/>
      </w:pPr>
      <w:rPr>
        <w:rFonts w:ascii="Courier New" w:hAnsi="Courier New" w:cs="Courier New"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tentative="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cs="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cs="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36">
    <w:nsid w:val="79D837F9"/>
    <w:multiLevelType w:val="hybridMultilevel"/>
    <w:tmpl w:val="21AA00B6"/>
    <w:lvl w:ilvl="0" w:tplc="3B28C328">
      <w:start w:val="1"/>
      <w:numFmt w:val="bullet"/>
      <w:lvlText w:val="♦"/>
      <w:lvlJc w:val="left"/>
      <w:pPr>
        <w:tabs>
          <w:tab w:val="num" w:pos="2880"/>
        </w:tabs>
        <w:ind w:left="2880" w:hanging="360"/>
      </w:pPr>
      <w:rPr>
        <w:rFonts w:ascii="Courier New" w:hAnsi="Courier New" w:hint="default"/>
        <w:sz w:val="24"/>
        <w:szCs w:val="24"/>
      </w:rPr>
    </w:lvl>
    <w:lvl w:ilvl="1" w:tplc="72E4233E">
      <w:start w:val="1"/>
      <w:numFmt w:val="bullet"/>
      <w:lvlText w:val=""/>
      <w:lvlJc w:val="left"/>
      <w:pPr>
        <w:tabs>
          <w:tab w:val="num" w:pos="2160"/>
        </w:tabs>
        <w:ind w:left="2160" w:hanging="360"/>
      </w:pPr>
      <w:rPr>
        <w:rFonts w:ascii="Symbol" w:hAnsi="Symbol" w:hint="default"/>
        <w:sz w:val="24"/>
        <w:szCs w:val="24"/>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16"/>
  </w:num>
  <w:num w:numId="3">
    <w:abstractNumId w:val="28"/>
  </w:num>
  <w:num w:numId="4">
    <w:abstractNumId w:val="12"/>
  </w:num>
  <w:num w:numId="5">
    <w:abstractNumId w:val="31"/>
  </w:num>
  <w:num w:numId="6">
    <w:abstractNumId w:val="21"/>
  </w:num>
  <w:num w:numId="7">
    <w:abstractNumId w:val="26"/>
  </w:num>
  <w:num w:numId="8">
    <w:abstractNumId w:val="15"/>
  </w:num>
  <w:num w:numId="9">
    <w:abstractNumId w:val="19"/>
  </w:num>
  <w:num w:numId="10">
    <w:abstractNumId w:val="33"/>
  </w:num>
  <w:num w:numId="11">
    <w:abstractNumId w:val="27"/>
  </w:num>
  <w:num w:numId="12">
    <w:abstractNumId w:val="25"/>
  </w:num>
  <w:num w:numId="13">
    <w:abstractNumId w:val="4"/>
  </w:num>
  <w:num w:numId="14">
    <w:abstractNumId w:val="36"/>
  </w:num>
  <w:num w:numId="15">
    <w:abstractNumId w:val="34"/>
  </w:num>
  <w:num w:numId="16">
    <w:abstractNumId w:val="2"/>
  </w:num>
  <w:num w:numId="17">
    <w:abstractNumId w:val="29"/>
  </w:num>
  <w:num w:numId="18">
    <w:abstractNumId w:val="17"/>
  </w:num>
  <w:num w:numId="19">
    <w:abstractNumId w:val="7"/>
  </w:num>
  <w:num w:numId="20">
    <w:abstractNumId w:val="20"/>
  </w:num>
  <w:num w:numId="21">
    <w:abstractNumId w:val="9"/>
  </w:num>
  <w:num w:numId="22">
    <w:abstractNumId w:val="10"/>
  </w:num>
  <w:num w:numId="23">
    <w:abstractNumId w:val="35"/>
  </w:num>
  <w:num w:numId="24">
    <w:abstractNumId w:val="18"/>
  </w:num>
  <w:num w:numId="25">
    <w:abstractNumId w:val="22"/>
  </w:num>
  <w:num w:numId="26">
    <w:abstractNumId w:val="6"/>
  </w:num>
  <w:num w:numId="27">
    <w:abstractNumId w:val="13"/>
  </w:num>
  <w:num w:numId="28">
    <w:abstractNumId w:val="30"/>
  </w:num>
  <w:num w:numId="29">
    <w:abstractNumId w:val="0"/>
  </w:num>
  <w:num w:numId="30">
    <w:abstractNumId w:val="23"/>
  </w:num>
  <w:num w:numId="31">
    <w:abstractNumId w:val="32"/>
  </w:num>
  <w:num w:numId="32">
    <w:abstractNumId w:val="1"/>
  </w:num>
  <w:num w:numId="33">
    <w:abstractNumId w:val="11"/>
  </w:num>
  <w:num w:numId="34">
    <w:abstractNumId w:val="14"/>
  </w:num>
  <w:num w:numId="35">
    <w:abstractNumId w:val="3"/>
  </w:num>
  <w:num w:numId="36">
    <w:abstractNumId w:val="8"/>
  </w:num>
  <w:num w:numId="37">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E15"/>
    <w:rsid w:val="00000EF0"/>
    <w:rsid w:val="000016BE"/>
    <w:rsid w:val="00002BD7"/>
    <w:rsid w:val="00002D9C"/>
    <w:rsid w:val="00003489"/>
    <w:rsid w:val="00003B52"/>
    <w:rsid w:val="00004264"/>
    <w:rsid w:val="000063FC"/>
    <w:rsid w:val="000065C6"/>
    <w:rsid w:val="0000691E"/>
    <w:rsid w:val="00006EBC"/>
    <w:rsid w:val="00007D3C"/>
    <w:rsid w:val="00007F94"/>
    <w:rsid w:val="000110E0"/>
    <w:rsid w:val="000111D3"/>
    <w:rsid w:val="00011383"/>
    <w:rsid w:val="000119C6"/>
    <w:rsid w:val="00012533"/>
    <w:rsid w:val="00012AE6"/>
    <w:rsid w:val="00013B93"/>
    <w:rsid w:val="00013C59"/>
    <w:rsid w:val="000146EA"/>
    <w:rsid w:val="000158A2"/>
    <w:rsid w:val="00015C0F"/>
    <w:rsid w:val="00015D5B"/>
    <w:rsid w:val="000175C7"/>
    <w:rsid w:val="000178CA"/>
    <w:rsid w:val="00017EA1"/>
    <w:rsid w:val="0002050E"/>
    <w:rsid w:val="00021297"/>
    <w:rsid w:val="000215BD"/>
    <w:rsid w:val="00021A5F"/>
    <w:rsid w:val="000221B7"/>
    <w:rsid w:val="000229E1"/>
    <w:rsid w:val="00022B97"/>
    <w:rsid w:val="00022CAC"/>
    <w:rsid w:val="00022D9E"/>
    <w:rsid w:val="0002351F"/>
    <w:rsid w:val="00023D31"/>
    <w:rsid w:val="0002444B"/>
    <w:rsid w:val="0002477E"/>
    <w:rsid w:val="000249B9"/>
    <w:rsid w:val="000256B4"/>
    <w:rsid w:val="00025953"/>
    <w:rsid w:val="00025F45"/>
    <w:rsid w:val="00026903"/>
    <w:rsid w:val="0002693A"/>
    <w:rsid w:val="00026AD5"/>
    <w:rsid w:val="000274C9"/>
    <w:rsid w:val="00027951"/>
    <w:rsid w:val="00027B74"/>
    <w:rsid w:val="00030353"/>
    <w:rsid w:val="000307D3"/>
    <w:rsid w:val="000311EA"/>
    <w:rsid w:val="00031377"/>
    <w:rsid w:val="00031593"/>
    <w:rsid w:val="000319CB"/>
    <w:rsid w:val="000320C8"/>
    <w:rsid w:val="00032966"/>
    <w:rsid w:val="00033ACB"/>
    <w:rsid w:val="00034135"/>
    <w:rsid w:val="0003466C"/>
    <w:rsid w:val="00034FE3"/>
    <w:rsid w:val="000359FA"/>
    <w:rsid w:val="0003621F"/>
    <w:rsid w:val="00036A1B"/>
    <w:rsid w:val="00037141"/>
    <w:rsid w:val="000377BC"/>
    <w:rsid w:val="000378DC"/>
    <w:rsid w:val="0004080C"/>
    <w:rsid w:val="0004098D"/>
    <w:rsid w:val="00040C20"/>
    <w:rsid w:val="000411D9"/>
    <w:rsid w:val="00041338"/>
    <w:rsid w:val="000418BF"/>
    <w:rsid w:val="00042634"/>
    <w:rsid w:val="00042EFB"/>
    <w:rsid w:val="0004338F"/>
    <w:rsid w:val="000436DD"/>
    <w:rsid w:val="000439F5"/>
    <w:rsid w:val="00043AA0"/>
    <w:rsid w:val="00043AB2"/>
    <w:rsid w:val="00043E35"/>
    <w:rsid w:val="0004426E"/>
    <w:rsid w:val="00044273"/>
    <w:rsid w:val="00045C9D"/>
    <w:rsid w:val="0004753C"/>
    <w:rsid w:val="00050A1B"/>
    <w:rsid w:val="00051E5E"/>
    <w:rsid w:val="00052C5C"/>
    <w:rsid w:val="00053B0F"/>
    <w:rsid w:val="00053D51"/>
    <w:rsid w:val="000546BF"/>
    <w:rsid w:val="00054E02"/>
    <w:rsid w:val="00055007"/>
    <w:rsid w:val="000551E4"/>
    <w:rsid w:val="00055A61"/>
    <w:rsid w:val="00055DD1"/>
    <w:rsid w:val="00056221"/>
    <w:rsid w:val="00056B58"/>
    <w:rsid w:val="00056D9D"/>
    <w:rsid w:val="0005737D"/>
    <w:rsid w:val="00057886"/>
    <w:rsid w:val="00060A02"/>
    <w:rsid w:val="00060B42"/>
    <w:rsid w:val="000613BA"/>
    <w:rsid w:val="0006166E"/>
    <w:rsid w:val="00061758"/>
    <w:rsid w:val="000621DE"/>
    <w:rsid w:val="00062A78"/>
    <w:rsid w:val="00063235"/>
    <w:rsid w:val="00063CF1"/>
    <w:rsid w:val="00063E15"/>
    <w:rsid w:val="000642B9"/>
    <w:rsid w:val="0006477A"/>
    <w:rsid w:val="00064AF3"/>
    <w:rsid w:val="00064C44"/>
    <w:rsid w:val="00064E39"/>
    <w:rsid w:val="00064FC8"/>
    <w:rsid w:val="00065A46"/>
    <w:rsid w:val="00065DF8"/>
    <w:rsid w:val="000663D1"/>
    <w:rsid w:val="00066EED"/>
    <w:rsid w:val="00067283"/>
    <w:rsid w:val="0007047E"/>
    <w:rsid w:val="00070A97"/>
    <w:rsid w:val="00071657"/>
    <w:rsid w:val="00071F12"/>
    <w:rsid w:val="00072D22"/>
    <w:rsid w:val="00073108"/>
    <w:rsid w:val="00073DF5"/>
    <w:rsid w:val="000751C1"/>
    <w:rsid w:val="00075256"/>
    <w:rsid w:val="0007526B"/>
    <w:rsid w:val="000768B3"/>
    <w:rsid w:val="00080AB2"/>
    <w:rsid w:val="00080EF5"/>
    <w:rsid w:val="0008155D"/>
    <w:rsid w:val="000819F9"/>
    <w:rsid w:val="00081AFD"/>
    <w:rsid w:val="00082679"/>
    <w:rsid w:val="000827A4"/>
    <w:rsid w:val="000829EB"/>
    <w:rsid w:val="00082BD9"/>
    <w:rsid w:val="0008327E"/>
    <w:rsid w:val="000832E5"/>
    <w:rsid w:val="0008357F"/>
    <w:rsid w:val="000853B1"/>
    <w:rsid w:val="00085704"/>
    <w:rsid w:val="00085734"/>
    <w:rsid w:val="00085B96"/>
    <w:rsid w:val="00085E01"/>
    <w:rsid w:val="00085E1A"/>
    <w:rsid w:val="00086FA7"/>
    <w:rsid w:val="00087295"/>
    <w:rsid w:val="0008745A"/>
    <w:rsid w:val="000878C4"/>
    <w:rsid w:val="0009002F"/>
    <w:rsid w:val="000900E3"/>
    <w:rsid w:val="000902B5"/>
    <w:rsid w:val="00090D1D"/>
    <w:rsid w:val="00091196"/>
    <w:rsid w:val="00091BCE"/>
    <w:rsid w:val="000931C8"/>
    <w:rsid w:val="000937AB"/>
    <w:rsid w:val="000937E0"/>
    <w:rsid w:val="00093F6F"/>
    <w:rsid w:val="000943E4"/>
    <w:rsid w:val="00094A6C"/>
    <w:rsid w:val="00094A78"/>
    <w:rsid w:val="0009743A"/>
    <w:rsid w:val="000A052A"/>
    <w:rsid w:val="000A09BA"/>
    <w:rsid w:val="000A2DDA"/>
    <w:rsid w:val="000A301B"/>
    <w:rsid w:val="000A3F57"/>
    <w:rsid w:val="000A5B32"/>
    <w:rsid w:val="000A6E4D"/>
    <w:rsid w:val="000A7841"/>
    <w:rsid w:val="000B0155"/>
    <w:rsid w:val="000B0616"/>
    <w:rsid w:val="000B0815"/>
    <w:rsid w:val="000B09E5"/>
    <w:rsid w:val="000B0CE6"/>
    <w:rsid w:val="000B11FB"/>
    <w:rsid w:val="000B175F"/>
    <w:rsid w:val="000B1A24"/>
    <w:rsid w:val="000B1E59"/>
    <w:rsid w:val="000B25CC"/>
    <w:rsid w:val="000B2AD5"/>
    <w:rsid w:val="000B2CBE"/>
    <w:rsid w:val="000B460F"/>
    <w:rsid w:val="000B52FA"/>
    <w:rsid w:val="000B5F1E"/>
    <w:rsid w:val="000B62C7"/>
    <w:rsid w:val="000B7234"/>
    <w:rsid w:val="000B7447"/>
    <w:rsid w:val="000B75C1"/>
    <w:rsid w:val="000B7C4F"/>
    <w:rsid w:val="000B7E66"/>
    <w:rsid w:val="000C06FE"/>
    <w:rsid w:val="000C0FA1"/>
    <w:rsid w:val="000C13A5"/>
    <w:rsid w:val="000C2FAC"/>
    <w:rsid w:val="000C485F"/>
    <w:rsid w:val="000C5ACF"/>
    <w:rsid w:val="000C5C6D"/>
    <w:rsid w:val="000C69AE"/>
    <w:rsid w:val="000C6CB5"/>
    <w:rsid w:val="000C6CF3"/>
    <w:rsid w:val="000C7303"/>
    <w:rsid w:val="000C736E"/>
    <w:rsid w:val="000C75A5"/>
    <w:rsid w:val="000C7BB6"/>
    <w:rsid w:val="000C7D7C"/>
    <w:rsid w:val="000D0538"/>
    <w:rsid w:val="000D0AB1"/>
    <w:rsid w:val="000D1E34"/>
    <w:rsid w:val="000D23F8"/>
    <w:rsid w:val="000D2516"/>
    <w:rsid w:val="000D26D5"/>
    <w:rsid w:val="000D2B33"/>
    <w:rsid w:val="000D2BE7"/>
    <w:rsid w:val="000D3407"/>
    <w:rsid w:val="000D3942"/>
    <w:rsid w:val="000D3FA7"/>
    <w:rsid w:val="000D49F5"/>
    <w:rsid w:val="000D4BEB"/>
    <w:rsid w:val="000D5449"/>
    <w:rsid w:val="000D6D92"/>
    <w:rsid w:val="000D725A"/>
    <w:rsid w:val="000D740D"/>
    <w:rsid w:val="000D78E4"/>
    <w:rsid w:val="000E0022"/>
    <w:rsid w:val="000E0B42"/>
    <w:rsid w:val="000E0EBA"/>
    <w:rsid w:val="000E1529"/>
    <w:rsid w:val="000E1EAF"/>
    <w:rsid w:val="000E1FB5"/>
    <w:rsid w:val="000E234B"/>
    <w:rsid w:val="000E2894"/>
    <w:rsid w:val="000E2B21"/>
    <w:rsid w:val="000E39DF"/>
    <w:rsid w:val="000E3CDC"/>
    <w:rsid w:val="000E4599"/>
    <w:rsid w:val="000E4ABC"/>
    <w:rsid w:val="000E4CFE"/>
    <w:rsid w:val="000E4E5E"/>
    <w:rsid w:val="000E5205"/>
    <w:rsid w:val="000E5295"/>
    <w:rsid w:val="000E5483"/>
    <w:rsid w:val="000E5EE9"/>
    <w:rsid w:val="000E632B"/>
    <w:rsid w:val="000E6968"/>
    <w:rsid w:val="000E6DF6"/>
    <w:rsid w:val="000E76B3"/>
    <w:rsid w:val="000F04F4"/>
    <w:rsid w:val="000F26DE"/>
    <w:rsid w:val="000F3534"/>
    <w:rsid w:val="000F3EA1"/>
    <w:rsid w:val="000F47A8"/>
    <w:rsid w:val="000F5080"/>
    <w:rsid w:val="000F5EF4"/>
    <w:rsid w:val="000F5F76"/>
    <w:rsid w:val="000F68AF"/>
    <w:rsid w:val="000F6975"/>
    <w:rsid w:val="000F6B35"/>
    <w:rsid w:val="000F7354"/>
    <w:rsid w:val="0010026D"/>
    <w:rsid w:val="0010055E"/>
    <w:rsid w:val="001006E1"/>
    <w:rsid w:val="00100CE5"/>
    <w:rsid w:val="00100D97"/>
    <w:rsid w:val="001011A4"/>
    <w:rsid w:val="001017B7"/>
    <w:rsid w:val="0010212B"/>
    <w:rsid w:val="00102523"/>
    <w:rsid w:val="0010261A"/>
    <w:rsid w:val="00102869"/>
    <w:rsid w:val="001028F7"/>
    <w:rsid w:val="00102BA6"/>
    <w:rsid w:val="0010358B"/>
    <w:rsid w:val="001046B0"/>
    <w:rsid w:val="00104BB5"/>
    <w:rsid w:val="001053A6"/>
    <w:rsid w:val="00106081"/>
    <w:rsid w:val="0010649F"/>
    <w:rsid w:val="0010683E"/>
    <w:rsid w:val="00107258"/>
    <w:rsid w:val="00107498"/>
    <w:rsid w:val="001077FA"/>
    <w:rsid w:val="00107C9F"/>
    <w:rsid w:val="00107F93"/>
    <w:rsid w:val="00110E74"/>
    <w:rsid w:val="0011244D"/>
    <w:rsid w:val="00114DE5"/>
    <w:rsid w:val="00116D77"/>
    <w:rsid w:val="001179C1"/>
    <w:rsid w:val="00117C68"/>
    <w:rsid w:val="00117CA6"/>
    <w:rsid w:val="001202E6"/>
    <w:rsid w:val="00120CC7"/>
    <w:rsid w:val="00122FCA"/>
    <w:rsid w:val="00123862"/>
    <w:rsid w:val="00123B59"/>
    <w:rsid w:val="00123E2A"/>
    <w:rsid w:val="00124FB9"/>
    <w:rsid w:val="00125B7A"/>
    <w:rsid w:val="001260AA"/>
    <w:rsid w:val="001264C3"/>
    <w:rsid w:val="001269AE"/>
    <w:rsid w:val="00127D25"/>
    <w:rsid w:val="001301B6"/>
    <w:rsid w:val="001305A6"/>
    <w:rsid w:val="00131B05"/>
    <w:rsid w:val="00132AD1"/>
    <w:rsid w:val="00133033"/>
    <w:rsid w:val="0013308F"/>
    <w:rsid w:val="00133644"/>
    <w:rsid w:val="001342F2"/>
    <w:rsid w:val="0013522E"/>
    <w:rsid w:val="00135599"/>
    <w:rsid w:val="00135A23"/>
    <w:rsid w:val="00135E92"/>
    <w:rsid w:val="00136DA4"/>
    <w:rsid w:val="001371FA"/>
    <w:rsid w:val="00140F18"/>
    <w:rsid w:val="00140F61"/>
    <w:rsid w:val="00141B03"/>
    <w:rsid w:val="00142979"/>
    <w:rsid w:val="00142ABD"/>
    <w:rsid w:val="00142EDB"/>
    <w:rsid w:val="00143814"/>
    <w:rsid w:val="00143CC1"/>
    <w:rsid w:val="001445AC"/>
    <w:rsid w:val="00144B67"/>
    <w:rsid w:val="00144BF2"/>
    <w:rsid w:val="0014585D"/>
    <w:rsid w:val="00145944"/>
    <w:rsid w:val="00145AD1"/>
    <w:rsid w:val="001462A0"/>
    <w:rsid w:val="00146314"/>
    <w:rsid w:val="001466F3"/>
    <w:rsid w:val="00146C11"/>
    <w:rsid w:val="00150706"/>
    <w:rsid w:val="00150892"/>
    <w:rsid w:val="00150D38"/>
    <w:rsid w:val="00150E70"/>
    <w:rsid w:val="00151260"/>
    <w:rsid w:val="001514CB"/>
    <w:rsid w:val="001528EE"/>
    <w:rsid w:val="00152B9C"/>
    <w:rsid w:val="00153077"/>
    <w:rsid w:val="001535F3"/>
    <w:rsid w:val="00153DF3"/>
    <w:rsid w:val="00154247"/>
    <w:rsid w:val="00154DE5"/>
    <w:rsid w:val="00154FA1"/>
    <w:rsid w:val="00155948"/>
    <w:rsid w:val="00156356"/>
    <w:rsid w:val="00156A3B"/>
    <w:rsid w:val="00156B18"/>
    <w:rsid w:val="00156F40"/>
    <w:rsid w:val="00157673"/>
    <w:rsid w:val="00157B70"/>
    <w:rsid w:val="00157EC4"/>
    <w:rsid w:val="00157EF5"/>
    <w:rsid w:val="001606A4"/>
    <w:rsid w:val="00160A10"/>
    <w:rsid w:val="00160C5B"/>
    <w:rsid w:val="0016116C"/>
    <w:rsid w:val="0016122A"/>
    <w:rsid w:val="00161F90"/>
    <w:rsid w:val="001623A2"/>
    <w:rsid w:val="001625F2"/>
    <w:rsid w:val="00162F68"/>
    <w:rsid w:val="00163645"/>
    <w:rsid w:val="001643F8"/>
    <w:rsid w:val="00165FF0"/>
    <w:rsid w:val="00166023"/>
    <w:rsid w:val="001665AA"/>
    <w:rsid w:val="001668BD"/>
    <w:rsid w:val="00170EFE"/>
    <w:rsid w:val="00171F8E"/>
    <w:rsid w:val="0017216E"/>
    <w:rsid w:val="0017293F"/>
    <w:rsid w:val="00172AEE"/>
    <w:rsid w:val="0017483F"/>
    <w:rsid w:val="00174C24"/>
    <w:rsid w:val="00175539"/>
    <w:rsid w:val="00175890"/>
    <w:rsid w:val="00176340"/>
    <w:rsid w:val="00176AE7"/>
    <w:rsid w:val="00176CB6"/>
    <w:rsid w:val="00176E98"/>
    <w:rsid w:val="00177307"/>
    <w:rsid w:val="00180811"/>
    <w:rsid w:val="001808E6"/>
    <w:rsid w:val="00180AEF"/>
    <w:rsid w:val="0018154E"/>
    <w:rsid w:val="00181FCA"/>
    <w:rsid w:val="001820C4"/>
    <w:rsid w:val="001824F0"/>
    <w:rsid w:val="00182A94"/>
    <w:rsid w:val="00182D63"/>
    <w:rsid w:val="00182F27"/>
    <w:rsid w:val="00183392"/>
    <w:rsid w:val="0018398A"/>
    <w:rsid w:val="00183D5F"/>
    <w:rsid w:val="00183EA5"/>
    <w:rsid w:val="00183FAF"/>
    <w:rsid w:val="00184502"/>
    <w:rsid w:val="001845D5"/>
    <w:rsid w:val="001850C5"/>
    <w:rsid w:val="0018526D"/>
    <w:rsid w:val="00185A12"/>
    <w:rsid w:val="00185BF6"/>
    <w:rsid w:val="00185D08"/>
    <w:rsid w:val="00186C81"/>
    <w:rsid w:val="00186DF9"/>
    <w:rsid w:val="00190983"/>
    <w:rsid w:val="0019151C"/>
    <w:rsid w:val="00191AA6"/>
    <w:rsid w:val="00191C06"/>
    <w:rsid w:val="00191F79"/>
    <w:rsid w:val="0019213B"/>
    <w:rsid w:val="0019232E"/>
    <w:rsid w:val="0019239F"/>
    <w:rsid w:val="001924F6"/>
    <w:rsid w:val="00192CDB"/>
    <w:rsid w:val="00193D9B"/>
    <w:rsid w:val="00193F20"/>
    <w:rsid w:val="0019413C"/>
    <w:rsid w:val="001941E4"/>
    <w:rsid w:val="00195CF2"/>
    <w:rsid w:val="00195FB3"/>
    <w:rsid w:val="001965AA"/>
    <w:rsid w:val="001968E4"/>
    <w:rsid w:val="001971AE"/>
    <w:rsid w:val="00197278"/>
    <w:rsid w:val="00197392"/>
    <w:rsid w:val="00197EC3"/>
    <w:rsid w:val="00197FB1"/>
    <w:rsid w:val="001A0601"/>
    <w:rsid w:val="001A0BB0"/>
    <w:rsid w:val="001A1837"/>
    <w:rsid w:val="001A1C51"/>
    <w:rsid w:val="001A236F"/>
    <w:rsid w:val="001A28BA"/>
    <w:rsid w:val="001A3051"/>
    <w:rsid w:val="001A3387"/>
    <w:rsid w:val="001A3E89"/>
    <w:rsid w:val="001A4589"/>
    <w:rsid w:val="001A5350"/>
    <w:rsid w:val="001A59AF"/>
    <w:rsid w:val="001A6777"/>
    <w:rsid w:val="001A718F"/>
    <w:rsid w:val="001A75B9"/>
    <w:rsid w:val="001B18C3"/>
    <w:rsid w:val="001B20E4"/>
    <w:rsid w:val="001B2FCD"/>
    <w:rsid w:val="001B3285"/>
    <w:rsid w:val="001B370A"/>
    <w:rsid w:val="001B37B0"/>
    <w:rsid w:val="001B3E1C"/>
    <w:rsid w:val="001B4165"/>
    <w:rsid w:val="001B44DB"/>
    <w:rsid w:val="001B5EA6"/>
    <w:rsid w:val="001C0241"/>
    <w:rsid w:val="001C0F05"/>
    <w:rsid w:val="001C110F"/>
    <w:rsid w:val="001C239A"/>
    <w:rsid w:val="001C2EE5"/>
    <w:rsid w:val="001C4B35"/>
    <w:rsid w:val="001C4CCF"/>
    <w:rsid w:val="001C501A"/>
    <w:rsid w:val="001C5CC2"/>
    <w:rsid w:val="001C6573"/>
    <w:rsid w:val="001C6BA6"/>
    <w:rsid w:val="001C726D"/>
    <w:rsid w:val="001C729B"/>
    <w:rsid w:val="001C78CA"/>
    <w:rsid w:val="001D01FB"/>
    <w:rsid w:val="001D0221"/>
    <w:rsid w:val="001D061D"/>
    <w:rsid w:val="001D15E5"/>
    <w:rsid w:val="001D2381"/>
    <w:rsid w:val="001D2CE9"/>
    <w:rsid w:val="001D34AF"/>
    <w:rsid w:val="001D3E63"/>
    <w:rsid w:val="001D40DA"/>
    <w:rsid w:val="001D6081"/>
    <w:rsid w:val="001D6F2E"/>
    <w:rsid w:val="001D71BC"/>
    <w:rsid w:val="001D755A"/>
    <w:rsid w:val="001E0367"/>
    <w:rsid w:val="001E11E2"/>
    <w:rsid w:val="001E2B1A"/>
    <w:rsid w:val="001E373E"/>
    <w:rsid w:val="001E3753"/>
    <w:rsid w:val="001E383E"/>
    <w:rsid w:val="001E4011"/>
    <w:rsid w:val="001E4456"/>
    <w:rsid w:val="001E44C8"/>
    <w:rsid w:val="001E4E88"/>
    <w:rsid w:val="001E4FFF"/>
    <w:rsid w:val="001E5BEE"/>
    <w:rsid w:val="001E619D"/>
    <w:rsid w:val="001E68EE"/>
    <w:rsid w:val="001E751C"/>
    <w:rsid w:val="001E77C4"/>
    <w:rsid w:val="001E7EA4"/>
    <w:rsid w:val="001F00B7"/>
    <w:rsid w:val="001F1092"/>
    <w:rsid w:val="001F1E88"/>
    <w:rsid w:val="001F2337"/>
    <w:rsid w:val="001F367C"/>
    <w:rsid w:val="001F4EB9"/>
    <w:rsid w:val="001F4FDB"/>
    <w:rsid w:val="001F540A"/>
    <w:rsid w:val="001F5D2F"/>
    <w:rsid w:val="001F5E20"/>
    <w:rsid w:val="001F5FA3"/>
    <w:rsid w:val="001F60AC"/>
    <w:rsid w:val="001F6E1E"/>
    <w:rsid w:val="001F6F0C"/>
    <w:rsid w:val="001F74B9"/>
    <w:rsid w:val="002002AA"/>
    <w:rsid w:val="002003C3"/>
    <w:rsid w:val="002015EB"/>
    <w:rsid w:val="002019D1"/>
    <w:rsid w:val="00201E8F"/>
    <w:rsid w:val="002023B3"/>
    <w:rsid w:val="00202CDB"/>
    <w:rsid w:val="00203052"/>
    <w:rsid w:val="00204381"/>
    <w:rsid w:val="00204779"/>
    <w:rsid w:val="00204799"/>
    <w:rsid w:val="00204EBE"/>
    <w:rsid w:val="002051EA"/>
    <w:rsid w:val="002060C2"/>
    <w:rsid w:val="00207674"/>
    <w:rsid w:val="002076D5"/>
    <w:rsid w:val="002111F3"/>
    <w:rsid w:val="002117F4"/>
    <w:rsid w:val="002118E8"/>
    <w:rsid w:val="00212116"/>
    <w:rsid w:val="00212798"/>
    <w:rsid w:val="00213180"/>
    <w:rsid w:val="002136EF"/>
    <w:rsid w:val="00213D58"/>
    <w:rsid w:val="00213EB4"/>
    <w:rsid w:val="002142CA"/>
    <w:rsid w:val="0021481A"/>
    <w:rsid w:val="00214D1A"/>
    <w:rsid w:val="00214EEA"/>
    <w:rsid w:val="00215254"/>
    <w:rsid w:val="002159A0"/>
    <w:rsid w:val="00215ADA"/>
    <w:rsid w:val="00216326"/>
    <w:rsid w:val="00216648"/>
    <w:rsid w:val="00216651"/>
    <w:rsid w:val="00216AAD"/>
    <w:rsid w:val="00216C9A"/>
    <w:rsid w:val="00216D51"/>
    <w:rsid w:val="00217096"/>
    <w:rsid w:val="00217C7A"/>
    <w:rsid w:val="00217E93"/>
    <w:rsid w:val="0022027B"/>
    <w:rsid w:val="00220699"/>
    <w:rsid w:val="00220CF8"/>
    <w:rsid w:val="00220D8D"/>
    <w:rsid w:val="0022151A"/>
    <w:rsid w:val="002215FD"/>
    <w:rsid w:val="002216C7"/>
    <w:rsid w:val="00221E48"/>
    <w:rsid w:val="00222228"/>
    <w:rsid w:val="00222370"/>
    <w:rsid w:val="00223892"/>
    <w:rsid w:val="00223F09"/>
    <w:rsid w:val="002245C8"/>
    <w:rsid w:val="0022465E"/>
    <w:rsid w:val="00225164"/>
    <w:rsid w:val="00225168"/>
    <w:rsid w:val="0023041D"/>
    <w:rsid w:val="00231385"/>
    <w:rsid w:val="002316E9"/>
    <w:rsid w:val="002326C1"/>
    <w:rsid w:val="00232A8A"/>
    <w:rsid w:val="00233032"/>
    <w:rsid w:val="002332F7"/>
    <w:rsid w:val="00233986"/>
    <w:rsid w:val="00233D50"/>
    <w:rsid w:val="00234798"/>
    <w:rsid w:val="00236441"/>
    <w:rsid w:val="00240C3D"/>
    <w:rsid w:val="00240D9B"/>
    <w:rsid w:val="002413A5"/>
    <w:rsid w:val="002421FC"/>
    <w:rsid w:val="00242676"/>
    <w:rsid w:val="00243641"/>
    <w:rsid w:val="0024415B"/>
    <w:rsid w:val="00244642"/>
    <w:rsid w:val="00244D15"/>
    <w:rsid w:val="00244E1B"/>
    <w:rsid w:val="00245474"/>
    <w:rsid w:val="002462FC"/>
    <w:rsid w:val="00246417"/>
    <w:rsid w:val="0024752F"/>
    <w:rsid w:val="00247C3E"/>
    <w:rsid w:val="002500E6"/>
    <w:rsid w:val="00250302"/>
    <w:rsid w:val="002503BA"/>
    <w:rsid w:val="00251005"/>
    <w:rsid w:val="00251591"/>
    <w:rsid w:val="0025173F"/>
    <w:rsid w:val="00251F57"/>
    <w:rsid w:val="0025220D"/>
    <w:rsid w:val="002529E3"/>
    <w:rsid w:val="00252E78"/>
    <w:rsid w:val="00253D47"/>
    <w:rsid w:val="002545AB"/>
    <w:rsid w:val="00254667"/>
    <w:rsid w:val="0025469B"/>
    <w:rsid w:val="00255101"/>
    <w:rsid w:val="002553EF"/>
    <w:rsid w:val="0025556C"/>
    <w:rsid w:val="002555A1"/>
    <w:rsid w:val="002557F9"/>
    <w:rsid w:val="002559EF"/>
    <w:rsid w:val="0025637F"/>
    <w:rsid w:val="002567D3"/>
    <w:rsid w:val="00256C8E"/>
    <w:rsid w:val="002570B3"/>
    <w:rsid w:val="002572C6"/>
    <w:rsid w:val="00257669"/>
    <w:rsid w:val="00257837"/>
    <w:rsid w:val="002605A7"/>
    <w:rsid w:val="00260847"/>
    <w:rsid w:val="00261653"/>
    <w:rsid w:val="0026189C"/>
    <w:rsid w:val="00262391"/>
    <w:rsid w:val="0026368D"/>
    <w:rsid w:val="00263A27"/>
    <w:rsid w:val="0026424C"/>
    <w:rsid w:val="002642FC"/>
    <w:rsid w:val="0026460E"/>
    <w:rsid w:val="00266AF5"/>
    <w:rsid w:val="00266D04"/>
    <w:rsid w:val="002674FC"/>
    <w:rsid w:val="00267867"/>
    <w:rsid w:val="002678AD"/>
    <w:rsid w:val="002701ED"/>
    <w:rsid w:val="0027076E"/>
    <w:rsid w:val="002715E5"/>
    <w:rsid w:val="00271642"/>
    <w:rsid w:val="00271AF4"/>
    <w:rsid w:val="00272747"/>
    <w:rsid w:val="00272812"/>
    <w:rsid w:val="00273AF1"/>
    <w:rsid w:val="00273EB1"/>
    <w:rsid w:val="002742C4"/>
    <w:rsid w:val="0027478C"/>
    <w:rsid w:val="002747FE"/>
    <w:rsid w:val="002749F4"/>
    <w:rsid w:val="00274CEA"/>
    <w:rsid w:val="00276A09"/>
    <w:rsid w:val="00276E87"/>
    <w:rsid w:val="00280569"/>
    <w:rsid w:val="0028159B"/>
    <w:rsid w:val="0028206A"/>
    <w:rsid w:val="00283343"/>
    <w:rsid w:val="00283475"/>
    <w:rsid w:val="002841B8"/>
    <w:rsid w:val="002843A3"/>
    <w:rsid w:val="00284488"/>
    <w:rsid w:val="00284D15"/>
    <w:rsid w:val="00285044"/>
    <w:rsid w:val="0028534D"/>
    <w:rsid w:val="00285594"/>
    <w:rsid w:val="00285654"/>
    <w:rsid w:val="00285BC7"/>
    <w:rsid w:val="0028636E"/>
    <w:rsid w:val="0028653E"/>
    <w:rsid w:val="00286740"/>
    <w:rsid w:val="00286AC4"/>
    <w:rsid w:val="00287F6C"/>
    <w:rsid w:val="00290163"/>
    <w:rsid w:val="002907AE"/>
    <w:rsid w:val="00290876"/>
    <w:rsid w:val="00290C55"/>
    <w:rsid w:val="00290EE6"/>
    <w:rsid w:val="00292884"/>
    <w:rsid w:val="00292971"/>
    <w:rsid w:val="00292EC1"/>
    <w:rsid w:val="00293051"/>
    <w:rsid w:val="0029338A"/>
    <w:rsid w:val="00293D1E"/>
    <w:rsid w:val="00294726"/>
    <w:rsid w:val="0029481A"/>
    <w:rsid w:val="00294B02"/>
    <w:rsid w:val="00294D83"/>
    <w:rsid w:val="0029593D"/>
    <w:rsid w:val="00295C97"/>
    <w:rsid w:val="002961BB"/>
    <w:rsid w:val="002968B1"/>
    <w:rsid w:val="002968FE"/>
    <w:rsid w:val="00296F46"/>
    <w:rsid w:val="0029717D"/>
    <w:rsid w:val="00297645"/>
    <w:rsid w:val="00297C07"/>
    <w:rsid w:val="002A1277"/>
    <w:rsid w:val="002A1772"/>
    <w:rsid w:val="002A29F2"/>
    <w:rsid w:val="002A3C2E"/>
    <w:rsid w:val="002A4845"/>
    <w:rsid w:val="002A50A9"/>
    <w:rsid w:val="002A5F57"/>
    <w:rsid w:val="002A6CBF"/>
    <w:rsid w:val="002A6D63"/>
    <w:rsid w:val="002A743D"/>
    <w:rsid w:val="002A748F"/>
    <w:rsid w:val="002B02E8"/>
    <w:rsid w:val="002B107A"/>
    <w:rsid w:val="002B1377"/>
    <w:rsid w:val="002B14CD"/>
    <w:rsid w:val="002B2304"/>
    <w:rsid w:val="002B25DE"/>
    <w:rsid w:val="002B2668"/>
    <w:rsid w:val="002B2B8E"/>
    <w:rsid w:val="002B2EF8"/>
    <w:rsid w:val="002B323F"/>
    <w:rsid w:val="002B3E0D"/>
    <w:rsid w:val="002B3E89"/>
    <w:rsid w:val="002B484C"/>
    <w:rsid w:val="002B4D3E"/>
    <w:rsid w:val="002B5D34"/>
    <w:rsid w:val="002B695A"/>
    <w:rsid w:val="002B6BB4"/>
    <w:rsid w:val="002B7179"/>
    <w:rsid w:val="002B73E2"/>
    <w:rsid w:val="002B7904"/>
    <w:rsid w:val="002B79DA"/>
    <w:rsid w:val="002B7F97"/>
    <w:rsid w:val="002C0110"/>
    <w:rsid w:val="002C096A"/>
    <w:rsid w:val="002C12D6"/>
    <w:rsid w:val="002C18B7"/>
    <w:rsid w:val="002C1B26"/>
    <w:rsid w:val="002C23BF"/>
    <w:rsid w:val="002C24D7"/>
    <w:rsid w:val="002C286D"/>
    <w:rsid w:val="002C2CAC"/>
    <w:rsid w:val="002C2F4E"/>
    <w:rsid w:val="002C33B7"/>
    <w:rsid w:val="002C3578"/>
    <w:rsid w:val="002C3ED6"/>
    <w:rsid w:val="002C418B"/>
    <w:rsid w:val="002C4201"/>
    <w:rsid w:val="002C468E"/>
    <w:rsid w:val="002C4D33"/>
    <w:rsid w:val="002C522A"/>
    <w:rsid w:val="002C59E4"/>
    <w:rsid w:val="002C64F3"/>
    <w:rsid w:val="002C6996"/>
    <w:rsid w:val="002C69F6"/>
    <w:rsid w:val="002C6C5B"/>
    <w:rsid w:val="002C7537"/>
    <w:rsid w:val="002C793C"/>
    <w:rsid w:val="002D00C7"/>
    <w:rsid w:val="002D0399"/>
    <w:rsid w:val="002D0882"/>
    <w:rsid w:val="002D1067"/>
    <w:rsid w:val="002D11C6"/>
    <w:rsid w:val="002D1252"/>
    <w:rsid w:val="002D17E3"/>
    <w:rsid w:val="002D2739"/>
    <w:rsid w:val="002D2B07"/>
    <w:rsid w:val="002D2DC4"/>
    <w:rsid w:val="002D2FA5"/>
    <w:rsid w:val="002D3AE3"/>
    <w:rsid w:val="002D3F6E"/>
    <w:rsid w:val="002D516B"/>
    <w:rsid w:val="002D51C1"/>
    <w:rsid w:val="002D527A"/>
    <w:rsid w:val="002D5811"/>
    <w:rsid w:val="002D6978"/>
    <w:rsid w:val="002D6A0C"/>
    <w:rsid w:val="002D6A9D"/>
    <w:rsid w:val="002D72DE"/>
    <w:rsid w:val="002D7651"/>
    <w:rsid w:val="002D7BAD"/>
    <w:rsid w:val="002E029F"/>
    <w:rsid w:val="002E130D"/>
    <w:rsid w:val="002E1ADD"/>
    <w:rsid w:val="002E1EDB"/>
    <w:rsid w:val="002E20E4"/>
    <w:rsid w:val="002E2255"/>
    <w:rsid w:val="002E2470"/>
    <w:rsid w:val="002E2D64"/>
    <w:rsid w:val="002E339C"/>
    <w:rsid w:val="002E4150"/>
    <w:rsid w:val="002E43D0"/>
    <w:rsid w:val="002E49A6"/>
    <w:rsid w:val="002E6E45"/>
    <w:rsid w:val="002E6EAB"/>
    <w:rsid w:val="002E72AD"/>
    <w:rsid w:val="002E7F57"/>
    <w:rsid w:val="002F013B"/>
    <w:rsid w:val="002F0511"/>
    <w:rsid w:val="002F094A"/>
    <w:rsid w:val="002F209C"/>
    <w:rsid w:val="002F2AA4"/>
    <w:rsid w:val="002F37A8"/>
    <w:rsid w:val="002F3E25"/>
    <w:rsid w:val="002F4E32"/>
    <w:rsid w:val="002F5021"/>
    <w:rsid w:val="002F50A5"/>
    <w:rsid w:val="002F5497"/>
    <w:rsid w:val="002F56B6"/>
    <w:rsid w:val="002F6391"/>
    <w:rsid w:val="002F68BA"/>
    <w:rsid w:val="002F6AC3"/>
    <w:rsid w:val="002F6CBB"/>
    <w:rsid w:val="002F6D4A"/>
    <w:rsid w:val="002F748D"/>
    <w:rsid w:val="002F781A"/>
    <w:rsid w:val="002F7EAC"/>
    <w:rsid w:val="00300566"/>
    <w:rsid w:val="003006DA"/>
    <w:rsid w:val="0030071E"/>
    <w:rsid w:val="00300DE1"/>
    <w:rsid w:val="00300E8B"/>
    <w:rsid w:val="0030108C"/>
    <w:rsid w:val="003015BA"/>
    <w:rsid w:val="00301E6A"/>
    <w:rsid w:val="00302CD2"/>
    <w:rsid w:val="0030300D"/>
    <w:rsid w:val="00303208"/>
    <w:rsid w:val="00303427"/>
    <w:rsid w:val="0030350B"/>
    <w:rsid w:val="00303543"/>
    <w:rsid w:val="00303716"/>
    <w:rsid w:val="00303BB4"/>
    <w:rsid w:val="00304129"/>
    <w:rsid w:val="00304DDA"/>
    <w:rsid w:val="00305F56"/>
    <w:rsid w:val="00307BFD"/>
    <w:rsid w:val="00307E09"/>
    <w:rsid w:val="00307E4B"/>
    <w:rsid w:val="00307F21"/>
    <w:rsid w:val="00310430"/>
    <w:rsid w:val="003114FA"/>
    <w:rsid w:val="00311BEA"/>
    <w:rsid w:val="00311D79"/>
    <w:rsid w:val="00312B38"/>
    <w:rsid w:val="00313799"/>
    <w:rsid w:val="00313907"/>
    <w:rsid w:val="00313A44"/>
    <w:rsid w:val="00313E37"/>
    <w:rsid w:val="00314D1E"/>
    <w:rsid w:val="00315241"/>
    <w:rsid w:val="003153BB"/>
    <w:rsid w:val="0031729F"/>
    <w:rsid w:val="003174F8"/>
    <w:rsid w:val="00317FD8"/>
    <w:rsid w:val="0032081E"/>
    <w:rsid w:val="00320B2A"/>
    <w:rsid w:val="00320F20"/>
    <w:rsid w:val="00321743"/>
    <w:rsid w:val="00322BE4"/>
    <w:rsid w:val="00322FA8"/>
    <w:rsid w:val="00324DD1"/>
    <w:rsid w:val="00325472"/>
    <w:rsid w:val="00325769"/>
    <w:rsid w:val="00325AC3"/>
    <w:rsid w:val="00326155"/>
    <w:rsid w:val="003262A1"/>
    <w:rsid w:val="00326B55"/>
    <w:rsid w:val="00327425"/>
    <w:rsid w:val="00330509"/>
    <w:rsid w:val="003308A9"/>
    <w:rsid w:val="00330F50"/>
    <w:rsid w:val="0033105F"/>
    <w:rsid w:val="003310A7"/>
    <w:rsid w:val="003311C5"/>
    <w:rsid w:val="00331492"/>
    <w:rsid w:val="00332972"/>
    <w:rsid w:val="00332AE6"/>
    <w:rsid w:val="0033309B"/>
    <w:rsid w:val="00333789"/>
    <w:rsid w:val="00333B5E"/>
    <w:rsid w:val="00333CE8"/>
    <w:rsid w:val="0033470F"/>
    <w:rsid w:val="00334766"/>
    <w:rsid w:val="003348DB"/>
    <w:rsid w:val="00334E1E"/>
    <w:rsid w:val="00335348"/>
    <w:rsid w:val="00335F25"/>
    <w:rsid w:val="00336631"/>
    <w:rsid w:val="003368A9"/>
    <w:rsid w:val="00337244"/>
    <w:rsid w:val="00337793"/>
    <w:rsid w:val="00337863"/>
    <w:rsid w:val="00337CA7"/>
    <w:rsid w:val="00340786"/>
    <w:rsid w:val="003418A7"/>
    <w:rsid w:val="00342205"/>
    <w:rsid w:val="003423EB"/>
    <w:rsid w:val="003429F1"/>
    <w:rsid w:val="00342B71"/>
    <w:rsid w:val="00342EDD"/>
    <w:rsid w:val="0034309B"/>
    <w:rsid w:val="00343737"/>
    <w:rsid w:val="00343E19"/>
    <w:rsid w:val="00344353"/>
    <w:rsid w:val="003445B7"/>
    <w:rsid w:val="00344B38"/>
    <w:rsid w:val="00344DB4"/>
    <w:rsid w:val="003459AC"/>
    <w:rsid w:val="003464BD"/>
    <w:rsid w:val="00346828"/>
    <w:rsid w:val="00346E32"/>
    <w:rsid w:val="0034755B"/>
    <w:rsid w:val="00351513"/>
    <w:rsid w:val="00351BD9"/>
    <w:rsid w:val="00352C2B"/>
    <w:rsid w:val="00352F76"/>
    <w:rsid w:val="0035338B"/>
    <w:rsid w:val="003533A4"/>
    <w:rsid w:val="0035368F"/>
    <w:rsid w:val="00354E8D"/>
    <w:rsid w:val="0035525B"/>
    <w:rsid w:val="003554A7"/>
    <w:rsid w:val="00355740"/>
    <w:rsid w:val="00355C2D"/>
    <w:rsid w:val="00356CE8"/>
    <w:rsid w:val="00357974"/>
    <w:rsid w:val="003579F2"/>
    <w:rsid w:val="00360058"/>
    <w:rsid w:val="003600F3"/>
    <w:rsid w:val="00360470"/>
    <w:rsid w:val="00360BE6"/>
    <w:rsid w:val="00361524"/>
    <w:rsid w:val="00361EAF"/>
    <w:rsid w:val="00361FC7"/>
    <w:rsid w:val="00362463"/>
    <w:rsid w:val="0036257D"/>
    <w:rsid w:val="00363014"/>
    <w:rsid w:val="0036316C"/>
    <w:rsid w:val="00363315"/>
    <w:rsid w:val="0036333F"/>
    <w:rsid w:val="003636BA"/>
    <w:rsid w:val="00363C1A"/>
    <w:rsid w:val="00363E99"/>
    <w:rsid w:val="00364563"/>
    <w:rsid w:val="00365690"/>
    <w:rsid w:val="0036577B"/>
    <w:rsid w:val="00365959"/>
    <w:rsid w:val="00365D49"/>
    <w:rsid w:val="003674D9"/>
    <w:rsid w:val="003675CF"/>
    <w:rsid w:val="00367850"/>
    <w:rsid w:val="0037017F"/>
    <w:rsid w:val="00370377"/>
    <w:rsid w:val="00371384"/>
    <w:rsid w:val="00371EEF"/>
    <w:rsid w:val="0037244D"/>
    <w:rsid w:val="00372965"/>
    <w:rsid w:val="00372C6F"/>
    <w:rsid w:val="00373E32"/>
    <w:rsid w:val="003748CB"/>
    <w:rsid w:val="00374CB3"/>
    <w:rsid w:val="00375136"/>
    <w:rsid w:val="00375C31"/>
    <w:rsid w:val="00376467"/>
    <w:rsid w:val="00377E04"/>
    <w:rsid w:val="00377FA0"/>
    <w:rsid w:val="00380F3E"/>
    <w:rsid w:val="00380F49"/>
    <w:rsid w:val="003810AB"/>
    <w:rsid w:val="00381745"/>
    <w:rsid w:val="00381764"/>
    <w:rsid w:val="0038191F"/>
    <w:rsid w:val="0038363F"/>
    <w:rsid w:val="00383E33"/>
    <w:rsid w:val="003849E0"/>
    <w:rsid w:val="003854E9"/>
    <w:rsid w:val="0038577D"/>
    <w:rsid w:val="00385784"/>
    <w:rsid w:val="00385C8A"/>
    <w:rsid w:val="0038746F"/>
    <w:rsid w:val="00390575"/>
    <w:rsid w:val="003906CD"/>
    <w:rsid w:val="00391125"/>
    <w:rsid w:val="00391F0E"/>
    <w:rsid w:val="003922B1"/>
    <w:rsid w:val="0039296F"/>
    <w:rsid w:val="003930B5"/>
    <w:rsid w:val="0039334A"/>
    <w:rsid w:val="00393468"/>
    <w:rsid w:val="00393585"/>
    <w:rsid w:val="003935B9"/>
    <w:rsid w:val="00395CCF"/>
    <w:rsid w:val="003967B0"/>
    <w:rsid w:val="00396958"/>
    <w:rsid w:val="00396B1E"/>
    <w:rsid w:val="00396E17"/>
    <w:rsid w:val="003A06C5"/>
    <w:rsid w:val="003A0890"/>
    <w:rsid w:val="003A0A29"/>
    <w:rsid w:val="003A1AF7"/>
    <w:rsid w:val="003A221F"/>
    <w:rsid w:val="003A295A"/>
    <w:rsid w:val="003A2CEE"/>
    <w:rsid w:val="003A3159"/>
    <w:rsid w:val="003A39C7"/>
    <w:rsid w:val="003A3AC4"/>
    <w:rsid w:val="003A3D0E"/>
    <w:rsid w:val="003A3D9A"/>
    <w:rsid w:val="003A409D"/>
    <w:rsid w:val="003A4129"/>
    <w:rsid w:val="003A420E"/>
    <w:rsid w:val="003A4AAF"/>
    <w:rsid w:val="003A4B2E"/>
    <w:rsid w:val="003A54BC"/>
    <w:rsid w:val="003A5737"/>
    <w:rsid w:val="003A58AF"/>
    <w:rsid w:val="003B019B"/>
    <w:rsid w:val="003B01E4"/>
    <w:rsid w:val="003B088E"/>
    <w:rsid w:val="003B1F25"/>
    <w:rsid w:val="003B2E07"/>
    <w:rsid w:val="003B3951"/>
    <w:rsid w:val="003B3BDF"/>
    <w:rsid w:val="003B44AF"/>
    <w:rsid w:val="003B4787"/>
    <w:rsid w:val="003B4F0C"/>
    <w:rsid w:val="003B50BA"/>
    <w:rsid w:val="003B5452"/>
    <w:rsid w:val="003B5717"/>
    <w:rsid w:val="003B5B2E"/>
    <w:rsid w:val="003B5CAF"/>
    <w:rsid w:val="003B6534"/>
    <w:rsid w:val="003B6D41"/>
    <w:rsid w:val="003B7C7B"/>
    <w:rsid w:val="003C0E58"/>
    <w:rsid w:val="003C14B1"/>
    <w:rsid w:val="003C1591"/>
    <w:rsid w:val="003C199E"/>
    <w:rsid w:val="003C2280"/>
    <w:rsid w:val="003C2AA7"/>
    <w:rsid w:val="003C2F47"/>
    <w:rsid w:val="003C44D1"/>
    <w:rsid w:val="003C4733"/>
    <w:rsid w:val="003C4F06"/>
    <w:rsid w:val="003C5A14"/>
    <w:rsid w:val="003C5DE7"/>
    <w:rsid w:val="003C6080"/>
    <w:rsid w:val="003C6592"/>
    <w:rsid w:val="003C667C"/>
    <w:rsid w:val="003C7651"/>
    <w:rsid w:val="003C7879"/>
    <w:rsid w:val="003D067C"/>
    <w:rsid w:val="003D0906"/>
    <w:rsid w:val="003D13D8"/>
    <w:rsid w:val="003D15ED"/>
    <w:rsid w:val="003D2486"/>
    <w:rsid w:val="003D2A35"/>
    <w:rsid w:val="003D321B"/>
    <w:rsid w:val="003D35FA"/>
    <w:rsid w:val="003D39EF"/>
    <w:rsid w:val="003D41BA"/>
    <w:rsid w:val="003D41C7"/>
    <w:rsid w:val="003D420B"/>
    <w:rsid w:val="003D4CC1"/>
    <w:rsid w:val="003D529E"/>
    <w:rsid w:val="003D6474"/>
    <w:rsid w:val="003D664F"/>
    <w:rsid w:val="003D6670"/>
    <w:rsid w:val="003D707F"/>
    <w:rsid w:val="003D71D5"/>
    <w:rsid w:val="003D74EF"/>
    <w:rsid w:val="003D7671"/>
    <w:rsid w:val="003E1122"/>
    <w:rsid w:val="003E12C9"/>
    <w:rsid w:val="003E1604"/>
    <w:rsid w:val="003E1766"/>
    <w:rsid w:val="003E18F5"/>
    <w:rsid w:val="003E1A61"/>
    <w:rsid w:val="003E279B"/>
    <w:rsid w:val="003E2AB7"/>
    <w:rsid w:val="003E2C47"/>
    <w:rsid w:val="003E2F36"/>
    <w:rsid w:val="003E2FB3"/>
    <w:rsid w:val="003E37A0"/>
    <w:rsid w:val="003E393E"/>
    <w:rsid w:val="003E507E"/>
    <w:rsid w:val="003E5394"/>
    <w:rsid w:val="003E678B"/>
    <w:rsid w:val="003E6D93"/>
    <w:rsid w:val="003E76C6"/>
    <w:rsid w:val="003F0186"/>
    <w:rsid w:val="003F038A"/>
    <w:rsid w:val="003F0555"/>
    <w:rsid w:val="003F0573"/>
    <w:rsid w:val="003F09E9"/>
    <w:rsid w:val="003F0D0F"/>
    <w:rsid w:val="003F11D8"/>
    <w:rsid w:val="003F1222"/>
    <w:rsid w:val="003F1AAC"/>
    <w:rsid w:val="003F1C6D"/>
    <w:rsid w:val="003F1D12"/>
    <w:rsid w:val="003F1E3F"/>
    <w:rsid w:val="003F1ECD"/>
    <w:rsid w:val="003F2C12"/>
    <w:rsid w:val="003F3195"/>
    <w:rsid w:val="003F32A8"/>
    <w:rsid w:val="003F3673"/>
    <w:rsid w:val="003F3760"/>
    <w:rsid w:val="003F465F"/>
    <w:rsid w:val="003F47AB"/>
    <w:rsid w:val="003F4B6C"/>
    <w:rsid w:val="003F4DAF"/>
    <w:rsid w:val="003F5A39"/>
    <w:rsid w:val="003F6039"/>
    <w:rsid w:val="003F67D7"/>
    <w:rsid w:val="003F7144"/>
    <w:rsid w:val="003F74EF"/>
    <w:rsid w:val="00400758"/>
    <w:rsid w:val="00400A77"/>
    <w:rsid w:val="00401B6E"/>
    <w:rsid w:val="00404123"/>
    <w:rsid w:val="00404B91"/>
    <w:rsid w:val="00404BB2"/>
    <w:rsid w:val="0040541F"/>
    <w:rsid w:val="00405424"/>
    <w:rsid w:val="00405C8A"/>
    <w:rsid w:val="00406889"/>
    <w:rsid w:val="00406DEE"/>
    <w:rsid w:val="004072DC"/>
    <w:rsid w:val="00410081"/>
    <w:rsid w:val="00410E96"/>
    <w:rsid w:val="00411C1D"/>
    <w:rsid w:val="0041242B"/>
    <w:rsid w:val="00412A04"/>
    <w:rsid w:val="00412C22"/>
    <w:rsid w:val="00412DB7"/>
    <w:rsid w:val="0041307A"/>
    <w:rsid w:val="00413397"/>
    <w:rsid w:val="00413D02"/>
    <w:rsid w:val="00413DF7"/>
    <w:rsid w:val="004141EF"/>
    <w:rsid w:val="0041452C"/>
    <w:rsid w:val="004150A8"/>
    <w:rsid w:val="004158E1"/>
    <w:rsid w:val="00415B20"/>
    <w:rsid w:val="00417E9B"/>
    <w:rsid w:val="00417ECD"/>
    <w:rsid w:val="00420473"/>
    <w:rsid w:val="00420694"/>
    <w:rsid w:val="0042081E"/>
    <w:rsid w:val="00420E0C"/>
    <w:rsid w:val="00421989"/>
    <w:rsid w:val="00421C02"/>
    <w:rsid w:val="00422163"/>
    <w:rsid w:val="00422B00"/>
    <w:rsid w:val="0042331A"/>
    <w:rsid w:val="00423479"/>
    <w:rsid w:val="00424B49"/>
    <w:rsid w:val="00424BC0"/>
    <w:rsid w:val="00424CD9"/>
    <w:rsid w:val="00424EE9"/>
    <w:rsid w:val="00425C82"/>
    <w:rsid w:val="004267BD"/>
    <w:rsid w:val="00426D00"/>
    <w:rsid w:val="00427071"/>
    <w:rsid w:val="0043000A"/>
    <w:rsid w:val="0043033C"/>
    <w:rsid w:val="00430A35"/>
    <w:rsid w:val="00431218"/>
    <w:rsid w:val="004318F3"/>
    <w:rsid w:val="0043232C"/>
    <w:rsid w:val="00432C14"/>
    <w:rsid w:val="00432D80"/>
    <w:rsid w:val="00432EC8"/>
    <w:rsid w:val="00433ACC"/>
    <w:rsid w:val="004341E9"/>
    <w:rsid w:val="00434323"/>
    <w:rsid w:val="00434720"/>
    <w:rsid w:val="00434C76"/>
    <w:rsid w:val="00434CA4"/>
    <w:rsid w:val="00436D44"/>
    <w:rsid w:val="004379FE"/>
    <w:rsid w:val="00440C48"/>
    <w:rsid w:val="00440E3B"/>
    <w:rsid w:val="00440EE7"/>
    <w:rsid w:val="0044111B"/>
    <w:rsid w:val="00441F13"/>
    <w:rsid w:val="00441FF4"/>
    <w:rsid w:val="0044241E"/>
    <w:rsid w:val="004437DC"/>
    <w:rsid w:val="004443AB"/>
    <w:rsid w:val="00444624"/>
    <w:rsid w:val="0044486A"/>
    <w:rsid w:val="004448DB"/>
    <w:rsid w:val="004450D0"/>
    <w:rsid w:val="00445D17"/>
    <w:rsid w:val="00445F93"/>
    <w:rsid w:val="0044645D"/>
    <w:rsid w:val="00446746"/>
    <w:rsid w:val="004473E1"/>
    <w:rsid w:val="00447435"/>
    <w:rsid w:val="00447467"/>
    <w:rsid w:val="00447BE4"/>
    <w:rsid w:val="00447CC7"/>
    <w:rsid w:val="0045342A"/>
    <w:rsid w:val="004539F3"/>
    <w:rsid w:val="00453E52"/>
    <w:rsid w:val="00454F37"/>
    <w:rsid w:val="004551C5"/>
    <w:rsid w:val="0045536D"/>
    <w:rsid w:val="0045563A"/>
    <w:rsid w:val="00455C0B"/>
    <w:rsid w:val="0045670C"/>
    <w:rsid w:val="00460A2F"/>
    <w:rsid w:val="00460DFC"/>
    <w:rsid w:val="004618DC"/>
    <w:rsid w:val="00462344"/>
    <w:rsid w:val="00462792"/>
    <w:rsid w:val="00462EC3"/>
    <w:rsid w:val="00463713"/>
    <w:rsid w:val="00464A54"/>
    <w:rsid w:val="00465E1C"/>
    <w:rsid w:val="00466917"/>
    <w:rsid w:val="00466A68"/>
    <w:rsid w:val="00466E1F"/>
    <w:rsid w:val="00467A07"/>
    <w:rsid w:val="00467DDF"/>
    <w:rsid w:val="00467E6F"/>
    <w:rsid w:val="0047087C"/>
    <w:rsid w:val="004709CF"/>
    <w:rsid w:val="00470D72"/>
    <w:rsid w:val="004712BA"/>
    <w:rsid w:val="004715DB"/>
    <w:rsid w:val="004717FC"/>
    <w:rsid w:val="00472D57"/>
    <w:rsid w:val="0047319E"/>
    <w:rsid w:val="0047343D"/>
    <w:rsid w:val="004737AB"/>
    <w:rsid w:val="004756A4"/>
    <w:rsid w:val="004757DD"/>
    <w:rsid w:val="00475A00"/>
    <w:rsid w:val="00475DE8"/>
    <w:rsid w:val="0047620B"/>
    <w:rsid w:val="004765C1"/>
    <w:rsid w:val="00476839"/>
    <w:rsid w:val="00477156"/>
    <w:rsid w:val="00480314"/>
    <w:rsid w:val="00480836"/>
    <w:rsid w:val="0048093C"/>
    <w:rsid w:val="00480C6C"/>
    <w:rsid w:val="00481755"/>
    <w:rsid w:val="00483EBC"/>
    <w:rsid w:val="004842F9"/>
    <w:rsid w:val="004847E2"/>
    <w:rsid w:val="0048633C"/>
    <w:rsid w:val="00487507"/>
    <w:rsid w:val="00487663"/>
    <w:rsid w:val="004877CE"/>
    <w:rsid w:val="00487AA1"/>
    <w:rsid w:val="00487D87"/>
    <w:rsid w:val="0049089F"/>
    <w:rsid w:val="0049099D"/>
    <w:rsid w:val="00490E4A"/>
    <w:rsid w:val="004913DD"/>
    <w:rsid w:val="00491AF2"/>
    <w:rsid w:val="00491FB0"/>
    <w:rsid w:val="00492077"/>
    <w:rsid w:val="004920BE"/>
    <w:rsid w:val="004923E3"/>
    <w:rsid w:val="004930C9"/>
    <w:rsid w:val="00495607"/>
    <w:rsid w:val="00495774"/>
    <w:rsid w:val="00495889"/>
    <w:rsid w:val="00495F75"/>
    <w:rsid w:val="00496151"/>
    <w:rsid w:val="00496379"/>
    <w:rsid w:val="004969CB"/>
    <w:rsid w:val="00496CB2"/>
    <w:rsid w:val="00497689"/>
    <w:rsid w:val="00497B8B"/>
    <w:rsid w:val="004A0111"/>
    <w:rsid w:val="004A0A58"/>
    <w:rsid w:val="004A0FBA"/>
    <w:rsid w:val="004A18B0"/>
    <w:rsid w:val="004A1B28"/>
    <w:rsid w:val="004A1C37"/>
    <w:rsid w:val="004A2BF9"/>
    <w:rsid w:val="004A2C3A"/>
    <w:rsid w:val="004A39B3"/>
    <w:rsid w:val="004A3A16"/>
    <w:rsid w:val="004A443B"/>
    <w:rsid w:val="004A596F"/>
    <w:rsid w:val="004A5BC6"/>
    <w:rsid w:val="004A6087"/>
    <w:rsid w:val="004A73AA"/>
    <w:rsid w:val="004B014F"/>
    <w:rsid w:val="004B0A99"/>
    <w:rsid w:val="004B14D9"/>
    <w:rsid w:val="004B2450"/>
    <w:rsid w:val="004B32FC"/>
    <w:rsid w:val="004B3CEC"/>
    <w:rsid w:val="004B4071"/>
    <w:rsid w:val="004B41D3"/>
    <w:rsid w:val="004B4228"/>
    <w:rsid w:val="004B4A3D"/>
    <w:rsid w:val="004B5ADF"/>
    <w:rsid w:val="004B5DC2"/>
    <w:rsid w:val="004B66C4"/>
    <w:rsid w:val="004B67FA"/>
    <w:rsid w:val="004B702C"/>
    <w:rsid w:val="004B7411"/>
    <w:rsid w:val="004B74DA"/>
    <w:rsid w:val="004C009E"/>
    <w:rsid w:val="004C1CED"/>
    <w:rsid w:val="004C2707"/>
    <w:rsid w:val="004C43B3"/>
    <w:rsid w:val="004C458A"/>
    <w:rsid w:val="004C4C7A"/>
    <w:rsid w:val="004C4E08"/>
    <w:rsid w:val="004C4F65"/>
    <w:rsid w:val="004C525B"/>
    <w:rsid w:val="004C5F4E"/>
    <w:rsid w:val="004C60F8"/>
    <w:rsid w:val="004C665A"/>
    <w:rsid w:val="004C6BE5"/>
    <w:rsid w:val="004C6EDF"/>
    <w:rsid w:val="004C6F08"/>
    <w:rsid w:val="004C75F6"/>
    <w:rsid w:val="004C7AF0"/>
    <w:rsid w:val="004C7D8C"/>
    <w:rsid w:val="004D0314"/>
    <w:rsid w:val="004D0661"/>
    <w:rsid w:val="004D0892"/>
    <w:rsid w:val="004D1AD3"/>
    <w:rsid w:val="004D311F"/>
    <w:rsid w:val="004D4B5F"/>
    <w:rsid w:val="004D4EF0"/>
    <w:rsid w:val="004D4F33"/>
    <w:rsid w:val="004D54BD"/>
    <w:rsid w:val="004D5BD3"/>
    <w:rsid w:val="004D63A4"/>
    <w:rsid w:val="004D6524"/>
    <w:rsid w:val="004D68BE"/>
    <w:rsid w:val="004D6BD9"/>
    <w:rsid w:val="004D6E1E"/>
    <w:rsid w:val="004E0134"/>
    <w:rsid w:val="004E0695"/>
    <w:rsid w:val="004E09DC"/>
    <w:rsid w:val="004E1731"/>
    <w:rsid w:val="004E1D47"/>
    <w:rsid w:val="004E20A2"/>
    <w:rsid w:val="004E2A05"/>
    <w:rsid w:val="004E31BA"/>
    <w:rsid w:val="004E3966"/>
    <w:rsid w:val="004E3AFB"/>
    <w:rsid w:val="004E3D62"/>
    <w:rsid w:val="004E43D2"/>
    <w:rsid w:val="004E45A3"/>
    <w:rsid w:val="004E46DA"/>
    <w:rsid w:val="004E59B2"/>
    <w:rsid w:val="004E5E56"/>
    <w:rsid w:val="004E604F"/>
    <w:rsid w:val="004E73E8"/>
    <w:rsid w:val="004E74EC"/>
    <w:rsid w:val="004E7BF8"/>
    <w:rsid w:val="004E7DEA"/>
    <w:rsid w:val="004F141F"/>
    <w:rsid w:val="004F2000"/>
    <w:rsid w:val="004F24FB"/>
    <w:rsid w:val="004F2BF1"/>
    <w:rsid w:val="004F2F68"/>
    <w:rsid w:val="004F4735"/>
    <w:rsid w:val="004F5A9D"/>
    <w:rsid w:val="004F5B6B"/>
    <w:rsid w:val="004F5B94"/>
    <w:rsid w:val="004F63B9"/>
    <w:rsid w:val="004F709F"/>
    <w:rsid w:val="004F767C"/>
    <w:rsid w:val="005001BC"/>
    <w:rsid w:val="00500DD6"/>
    <w:rsid w:val="00501602"/>
    <w:rsid w:val="00501C83"/>
    <w:rsid w:val="0050271A"/>
    <w:rsid w:val="00502E71"/>
    <w:rsid w:val="00503A88"/>
    <w:rsid w:val="00504C80"/>
    <w:rsid w:val="005061E5"/>
    <w:rsid w:val="005062B4"/>
    <w:rsid w:val="00506F08"/>
    <w:rsid w:val="005104CF"/>
    <w:rsid w:val="00510E7E"/>
    <w:rsid w:val="00510F27"/>
    <w:rsid w:val="00511EE9"/>
    <w:rsid w:val="00513759"/>
    <w:rsid w:val="00514262"/>
    <w:rsid w:val="00514327"/>
    <w:rsid w:val="00514D54"/>
    <w:rsid w:val="005159CD"/>
    <w:rsid w:val="00515C6E"/>
    <w:rsid w:val="005160E2"/>
    <w:rsid w:val="005161AD"/>
    <w:rsid w:val="00516B43"/>
    <w:rsid w:val="00516BBA"/>
    <w:rsid w:val="00516CBD"/>
    <w:rsid w:val="00516EB9"/>
    <w:rsid w:val="0051752A"/>
    <w:rsid w:val="00517F39"/>
    <w:rsid w:val="00517FBF"/>
    <w:rsid w:val="00520740"/>
    <w:rsid w:val="005211AC"/>
    <w:rsid w:val="00521371"/>
    <w:rsid w:val="00521617"/>
    <w:rsid w:val="00522945"/>
    <w:rsid w:val="00523BD2"/>
    <w:rsid w:val="00523D41"/>
    <w:rsid w:val="00523FAF"/>
    <w:rsid w:val="00524146"/>
    <w:rsid w:val="00524EA5"/>
    <w:rsid w:val="00525257"/>
    <w:rsid w:val="00525B14"/>
    <w:rsid w:val="00525B7E"/>
    <w:rsid w:val="00525D95"/>
    <w:rsid w:val="005260E6"/>
    <w:rsid w:val="0052633F"/>
    <w:rsid w:val="00526B74"/>
    <w:rsid w:val="00526DB4"/>
    <w:rsid w:val="00527901"/>
    <w:rsid w:val="00527AC5"/>
    <w:rsid w:val="00527EDB"/>
    <w:rsid w:val="00530B61"/>
    <w:rsid w:val="00530FDE"/>
    <w:rsid w:val="0053152B"/>
    <w:rsid w:val="00531CF0"/>
    <w:rsid w:val="00531E6A"/>
    <w:rsid w:val="0053288C"/>
    <w:rsid w:val="00532B67"/>
    <w:rsid w:val="00532B8D"/>
    <w:rsid w:val="00532E70"/>
    <w:rsid w:val="005342A1"/>
    <w:rsid w:val="0053580A"/>
    <w:rsid w:val="0053590B"/>
    <w:rsid w:val="00535C1A"/>
    <w:rsid w:val="00535D0B"/>
    <w:rsid w:val="00536119"/>
    <w:rsid w:val="00536249"/>
    <w:rsid w:val="00536390"/>
    <w:rsid w:val="0053646A"/>
    <w:rsid w:val="0053674A"/>
    <w:rsid w:val="00536EB8"/>
    <w:rsid w:val="0053709A"/>
    <w:rsid w:val="00537407"/>
    <w:rsid w:val="00540B24"/>
    <w:rsid w:val="005415DB"/>
    <w:rsid w:val="005416BB"/>
    <w:rsid w:val="005418E2"/>
    <w:rsid w:val="00541A87"/>
    <w:rsid w:val="00541CC7"/>
    <w:rsid w:val="00541D3C"/>
    <w:rsid w:val="00542445"/>
    <w:rsid w:val="00542F7E"/>
    <w:rsid w:val="00543B10"/>
    <w:rsid w:val="00545235"/>
    <w:rsid w:val="005452F5"/>
    <w:rsid w:val="00546054"/>
    <w:rsid w:val="005466DD"/>
    <w:rsid w:val="00546765"/>
    <w:rsid w:val="00546871"/>
    <w:rsid w:val="00547879"/>
    <w:rsid w:val="005479F1"/>
    <w:rsid w:val="00547A24"/>
    <w:rsid w:val="00547B59"/>
    <w:rsid w:val="00547E58"/>
    <w:rsid w:val="00550288"/>
    <w:rsid w:val="005509A3"/>
    <w:rsid w:val="005517D2"/>
    <w:rsid w:val="00551840"/>
    <w:rsid w:val="00551D2E"/>
    <w:rsid w:val="005523C9"/>
    <w:rsid w:val="00552767"/>
    <w:rsid w:val="005529F1"/>
    <w:rsid w:val="00552DD1"/>
    <w:rsid w:val="00553279"/>
    <w:rsid w:val="0055332C"/>
    <w:rsid w:val="005536CF"/>
    <w:rsid w:val="0055394B"/>
    <w:rsid w:val="00553C93"/>
    <w:rsid w:val="00553FA6"/>
    <w:rsid w:val="0055409C"/>
    <w:rsid w:val="00554124"/>
    <w:rsid w:val="0055413D"/>
    <w:rsid w:val="005544B3"/>
    <w:rsid w:val="00554E40"/>
    <w:rsid w:val="00554F97"/>
    <w:rsid w:val="00555448"/>
    <w:rsid w:val="005554C2"/>
    <w:rsid w:val="00555ED2"/>
    <w:rsid w:val="00556C0A"/>
    <w:rsid w:val="0055775F"/>
    <w:rsid w:val="00557E0E"/>
    <w:rsid w:val="00557E48"/>
    <w:rsid w:val="00562A60"/>
    <w:rsid w:val="00562AE4"/>
    <w:rsid w:val="00564B27"/>
    <w:rsid w:val="00564C9B"/>
    <w:rsid w:val="00564DE4"/>
    <w:rsid w:val="00564FA7"/>
    <w:rsid w:val="00565386"/>
    <w:rsid w:val="00565A20"/>
    <w:rsid w:val="005661AF"/>
    <w:rsid w:val="0056691D"/>
    <w:rsid w:val="00567552"/>
    <w:rsid w:val="005679D6"/>
    <w:rsid w:val="00567D22"/>
    <w:rsid w:val="00567FC1"/>
    <w:rsid w:val="0057038E"/>
    <w:rsid w:val="00570A13"/>
    <w:rsid w:val="00570B11"/>
    <w:rsid w:val="005710C0"/>
    <w:rsid w:val="005718EC"/>
    <w:rsid w:val="00572297"/>
    <w:rsid w:val="00572482"/>
    <w:rsid w:val="00572C96"/>
    <w:rsid w:val="005730AB"/>
    <w:rsid w:val="005730C8"/>
    <w:rsid w:val="00573521"/>
    <w:rsid w:val="00573774"/>
    <w:rsid w:val="00573EAB"/>
    <w:rsid w:val="005748E5"/>
    <w:rsid w:val="005750C2"/>
    <w:rsid w:val="0057515A"/>
    <w:rsid w:val="00575BC1"/>
    <w:rsid w:val="00576B32"/>
    <w:rsid w:val="00577129"/>
    <w:rsid w:val="0058007A"/>
    <w:rsid w:val="00580CD8"/>
    <w:rsid w:val="00580E09"/>
    <w:rsid w:val="00582E34"/>
    <w:rsid w:val="005830F2"/>
    <w:rsid w:val="005843CD"/>
    <w:rsid w:val="00585ABE"/>
    <w:rsid w:val="00585DEE"/>
    <w:rsid w:val="00585F7D"/>
    <w:rsid w:val="00586239"/>
    <w:rsid w:val="0058649D"/>
    <w:rsid w:val="005868D0"/>
    <w:rsid w:val="005875DB"/>
    <w:rsid w:val="00587993"/>
    <w:rsid w:val="00587B01"/>
    <w:rsid w:val="0059095A"/>
    <w:rsid w:val="00590BA5"/>
    <w:rsid w:val="00590F0B"/>
    <w:rsid w:val="005914A0"/>
    <w:rsid w:val="00591C47"/>
    <w:rsid w:val="005923EC"/>
    <w:rsid w:val="005928C5"/>
    <w:rsid w:val="00593297"/>
    <w:rsid w:val="0059381A"/>
    <w:rsid w:val="00594879"/>
    <w:rsid w:val="00594E6B"/>
    <w:rsid w:val="00595AB2"/>
    <w:rsid w:val="00596854"/>
    <w:rsid w:val="00597798"/>
    <w:rsid w:val="005978A0"/>
    <w:rsid w:val="00597A30"/>
    <w:rsid w:val="00597A74"/>
    <w:rsid w:val="00597E5D"/>
    <w:rsid w:val="00597FA3"/>
    <w:rsid w:val="005A0129"/>
    <w:rsid w:val="005A0EFB"/>
    <w:rsid w:val="005A1885"/>
    <w:rsid w:val="005A21BC"/>
    <w:rsid w:val="005A2571"/>
    <w:rsid w:val="005A3963"/>
    <w:rsid w:val="005A3CA5"/>
    <w:rsid w:val="005A4CCA"/>
    <w:rsid w:val="005A5A32"/>
    <w:rsid w:val="005A5C9B"/>
    <w:rsid w:val="005A6AE8"/>
    <w:rsid w:val="005A7007"/>
    <w:rsid w:val="005A72D7"/>
    <w:rsid w:val="005A73B5"/>
    <w:rsid w:val="005A7911"/>
    <w:rsid w:val="005A7BE4"/>
    <w:rsid w:val="005B035A"/>
    <w:rsid w:val="005B0468"/>
    <w:rsid w:val="005B0BCF"/>
    <w:rsid w:val="005B197F"/>
    <w:rsid w:val="005B1C5D"/>
    <w:rsid w:val="005B2B3E"/>
    <w:rsid w:val="005B2B86"/>
    <w:rsid w:val="005B32E1"/>
    <w:rsid w:val="005B3401"/>
    <w:rsid w:val="005B3653"/>
    <w:rsid w:val="005B372F"/>
    <w:rsid w:val="005B4024"/>
    <w:rsid w:val="005B4374"/>
    <w:rsid w:val="005B4559"/>
    <w:rsid w:val="005B4689"/>
    <w:rsid w:val="005B5237"/>
    <w:rsid w:val="005B54E9"/>
    <w:rsid w:val="005B5773"/>
    <w:rsid w:val="005B6604"/>
    <w:rsid w:val="005B77C7"/>
    <w:rsid w:val="005B79D1"/>
    <w:rsid w:val="005B7B29"/>
    <w:rsid w:val="005B7BF4"/>
    <w:rsid w:val="005C0CAE"/>
    <w:rsid w:val="005C0F0A"/>
    <w:rsid w:val="005C109C"/>
    <w:rsid w:val="005C1D42"/>
    <w:rsid w:val="005C2439"/>
    <w:rsid w:val="005C2746"/>
    <w:rsid w:val="005C2B9F"/>
    <w:rsid w:val="005C3FEE"/>
    <w:rsid w:val="005C4796"/>
    <w:rsid w:val="005C4E3B"/>
    <w:rsid w:val="005C55F8"/>
    <w:rsid w:val="005C5AE4"/>
    <w:rsid w:val="005C5C59"/>
    <w:rsid w:val="005C71AA"/>
    <w:rsid w:val="005C73FB"/>
    <w:rsid w:val="005C7C55"/>
    <w:rsid w:val="005C7FB2"/>
    <w:rsid w:val="005D0A1C"/>
    <w:rsid w:val="005D114B"/>
    <w:rsid w:val="005D2250"/>
    <w:rsid w:val="005D30DB"/>
    <w:rsid w:val="005D3640"/>
    <w:rsid w:val="005D3712"/>
    <w:rsid w:val="005D4088"/>
    <w:rsid w:val="005D43CB"/>
    <w:rsid w:val="005D4951"/>
    <w:rsid w:val="005D6209"/>
    <w:rsid w:val="005D6312"/>
    <w:rsid w:val="005D707E"/>
    <w:rsid w:val="005D7574"/>
    <w:rsid w:val="005D7867"/>
    <w:rsid w:val="005D7EEA"/>
    <w:rsid w:val="005D7F1C"/>
    <w:rsid w:val="005E0076"/>
    <w:rsid w:val="005E0989"/>
    <w:rsid w:val="005E0A3F"/>
    <w:rsid w:val="005E0F68"/>
    <w:rsid w:val="005E0FB0"/>
    <w:rsid w:val="005E12E0"/>
    <w:rsid w:val="005E1717"/>
    <w:rsid w:val="005E1A9F"/>
    <w:rsid w:val="005E1E33"/>
    <w:rsid w:val="005E2907"/>
    <w:rsid w:val="005E3057"/>
    <w:rsid w:val="005E3375"/>
    <w:rsid w:val="005E3957"/>
    <w:rsid w:val="005E3EA2"/>
    <w:rsid w:val="005E50DF"/>
    <w:rsid w:val="005E53B2"/>
    <w:rsid w:val="005E5D7B"/>
    <w:rsid w:val="005E6143"/>
    <w:rsid w:val="005E618A"/>
    <w:rsid w:val="005E670D"/>
    <w:rsid w:val="005E6F26"/>
    <w:rsid w:val="005E7BE5"/>
    <w:rsid w:val="005E7E1E"/>
    <w:rsid w:val="005F05DF"/>
    <w:rsid w:val="005F0E48"/>
    <w:rsid w:val="005F1247"/>
    <w:rsid w:val="005F12B4"/>
    <w:rsid w:val="005F32FC"/>
    <w:rsid w:val="005F374A"/>
    <w:rsid w:val="005F3781"/>
    <w:rsid w:val="005F3C83"/>
    <w:rsid w:val="005F4066"/>
    <w:rsid w:val="005F5068"/>
    <w:rsid w:val="005F585D"/>
    <w:rsid w:val="005F5AD1"/>
    <w:rsid w:val="005F5F63"/>
    <w:rsid w:val="005F6133"/>
    <w:rsid w:val="005F65F9"/>
    <w:rsid w:val="005F661F"/>
    <w:rsid w:val="005F6E29"/>
    <w:rsid w:val="005F7245"/>
    <w:rsid w:val="005F770F"/>
    <w:rsid w:val="006004E2"/>
    <w:rsid w:val="006006E5"/>
    <w:rsid w:val="00600C91"/>
    <w:rsid w:val="00601B4A"/>
    <w:rsid w:val="00601C10"/>
    <w:rsid w:val="00601C6D"/>
    <w:rsid w:val="00601E59"/>
    <w:rsid w:val="00601F31"/>
    <w:rsid w:val="006029EF"/>
    <w:rsid w:val="00602DAC"/>
    <w:rsid w:val="006031AD"/>
    <w:rsid w:val="00603C32"/>
    <w:rsid w:val="006040AB"/>
    <w:rsid w:val="00604699"/>
    <w:rsid w:val="0060482E"/>
    <w:rsid w:val="00605306"/>
    <w:rsid w:val="00605D5C"/>
    <w:rsid w:val="00606840"/>
    <w:rsid w:val="006073CE"/>
    <w:rsid w:val="0060764B"/>
    <w:rsid w:val="00607658"/>
    <w:rsid w:val="0060780D"/>
    <w:rsid w:val="00610BF6"/>
    <w:rsid w:val="00610E61"/>
    <w:rsid w:val="00611140"/>
    <w:rsid w:val="006114AE"/>
    <w:rsid w:val="0061211C"/>
    <w:rsid w:val="006124DD"/>
    <w:rsid w:val="006127AB"/>
    <w:rsid w:val="0061290D"/>
    <w:rsid w:val="00612DE7"/>
    <w:rsid w:val="006130EE"/>
    <w:rsid w:val="006131CE"/>
    <w:rsid w:val="006138C0"/>
    <w:rsid w:val="0061441E"/>
    <w:rsid w:val="006147E5"/>
    <w:rsid w:val="006149DB"/>
    <w:rsid w:val="00615836"/>
    <w:rsid w:val="00615D2C"/>
    <w:rsid w:val="00615DFD"/>
    <w:rsid w:val="00616104"/>
    <w:rsid w:val="00616AAF"/>
    <w:rsid w:val="006173C1"/>
    <w:rsid w:val="00617584"/>
    <w:rsid w:val="006176D9"/>
    <w:rsid w:val="00617B03"/>
    <w:rsid w:val="00617E61"/>
    <w:rsid w:val="0062059F"/>
    <w:rsid w:val="00620605"/>
    <w:rsid w:val="00621247"/>
    <w:rsid w:val="00621740"/>
    <w:rsid w:val="006226A2"/>
    <w:rsid w:val="00622E44"/>
    <w:rsid w:val="00623453"/>
    <w:rsid w:val="00623C52"/>
    <w:rsid w:val="00624692"/>
    <w:rsid w:val="00624A65"/>
    <w:rsid w:val="00625445"/>
    <w:rsid w:val="0062612B"/>
    <w:rsid w:val="006267F7"/>
    <w:rsid w:val="0062731C"/>
    <w:rsid w:val="00631192"/>
    <w:rsid w:val="006311F1"/>
    <w:rsid w:val="006314C2"/>
    <w:rsid w:val="00631843"/>
    <w:rsid w:val="0063209E"/>
    <w:rsid w:val="006320EC"/>
    <w:rsid w:val="0063233E"/>
    <w:rsid w:val="006326C5"/>
    <w:rsid w:val="00632A6F"/>
    <w:rsid w:val="00632AF3"/>
    <w:rsid w:val="00633754"/>
    <w:rsid w:val="0063405A"/>
    <w:rsid w:val="00635AD4"/>
    <w:rsid w:val="00636CD7"/>
    <w:rsid w:val="00636CE4"/>
    <w:rsid w:val="0063794E"/>
    <w:rsid w:val="00637AF9"/>
    <w:rsid w:val="00640454"/>
    <w:rsid w:val="00641023"/>
    <w:rsid w:val="00641482"/>
    <w:rsid w:val="00641A26"/>
    <w:rsid w:val="0064274E"/>
    <w:rsid w:val="00642AF6"/>
    <w:rsid w:val="0064302D"/>
    <w:rsid w:val="006438FE"/>
    <w:rsid w:val="00645069"/>
    <w:rsid w:val="006459AD"/>
    <w:rsid w:val="006464AC"/>
    <w:rsid w:val="006469C2"/>
    <w:rsid w:val="00646A3A"/>
    <w:rsid w:val="00646F69"/>
    <w:rsid w:val="00647013"/>
    <w:rsid w:val="00647C7E"/>
    <w:rsid w:val="006502ED"/>
    <w:rsid w:val="006512F0"/>
    <w:rsid w:val="0065135E"/>
    <w:rsid w:val="00651ADF"/>
    <w:rsid w:val="00651FFE"/>
    <w:rsid w:val="00652861"/>
    <w:rsid w:val="00652B05"/>
    <w:rsid w:val="00652BF0"/>
    <w:rsid w:val="00652F60"/>
    <w:rsid w:val="00652FB4"/>
    <w:rsid w:val="00653F1C"/>
    <w:rsid w:val="0065423E"/>
    <w:rsid w:val="00654637"/>
    <w:rsid w:val="0065486D"/>
    <w:rsid w:val="00654CF7"/>
    <w:rsid w:val="00654D82"/>
    <w:rsid w:val="0065544D"/>
    <w:rsid w:val="006554E5"/>
    <w:rsid w:val="00656AE0"/>
    <w:rsid w:val="00656DBF"/>
    <w:rsid w:val="00657160"/>
    <w:rsid w:val="006573F5"/>
    <w:rsid w:val="006577FA"/>
    <w:rsid w:val="006600B7"/>
    <w:rsid w:val="00660629"/>
    <w:rsid w:val="006608F8"/>
    <w:rsid w:val="00660C93"/>
    <w:rsid w:val="00661B4C"/>
    <w:rsid w:val="00662282"/>
    <w:rsid w:val="006629AB"/>
    <w:rsid w:val="0066339D"/>
    <w:rsid w:val="006637F7"/>
    <w:rsid w:val="00664474"/>
    <w:rsid w:val="0066448E"/>
    <w:rsid w:val="00664D95"/>
    <w:rsid w:val="00664FC5"/>
    <w:rsid w:val="006658F0"/>
    <w:rsid w:val="00665F0E"/>
    <w:rsid w:val="006662BA"/>
    <w:rsid w:val="00666332"/>
    <w:rsid w:val="0066642F"/>
    <w:rsid w:val="006666FD"/>
    <w:rsid w:val="00666DDF"/>
    <w:rsid w:val="006673D9"/>
    <w:rsid w:val="00667D51"/>
    <w:rsid w:val="00670491"/>
    <w:rsid w:val="00670F08"/>
    <w:rsid w:val="00671112"/>
    <w:rsid w:val="006711CD"/>
    <w:rsid w:val="00671274"/>
    <w:rsid w:val="006714CE"/>
    <w:rsid w:val="00672021"/>
    <w:rsid w:val="00672626"/>
    <w:rsid w:val="00672876"/>
    <w:rsid w:val="00672DD5"/>
    <w:rsid w:val="00672F78"/>
    <w:rsid w:val="0067339C"/>
    <w:rsid w:val="006734BE"/>
    <w:rsid w:val="00673D32"/>
    <w:rsid w:val="00675D32"/>
    <w:rsid w:val="00675E99"/>
    <w:rsid w:val="006760DF"/>
    <w:rsid w:val="0067611A"/>
    <w:rsid w:val="0067642C"/>
    <w:rsid w:val="00676A74"/>
    <w:rsid w:val="00676B58"/>
    <w:rsid w:val="00676D5D"/>
    <w:rsid w:val="00677F01"/>
    <w:rsid w:val="00680148"/>
    <w:rsid w:val="00680F5B"/>
    <w:rsid w:val="00682164"/>
    <w:rsid w:val="006821A3"/>
    <w:rsid w:val="00682BA5"/>
    <w:rsid w:val="00682FA5"/>
    <w:rsid w:val="0068316A"/>
    <w:rsid w:val="006834D8"/>
    <w:rsid w:val="00683CCE"/>
    <w:rsid w:val="00683DEA"/>
    <w:rsid w:val="00683F05"/>
    <w:rsid w:val="006843EE"/>
    <w:rsid w:val="00684B43"/>
    <w:rsid w:val="00684D70"/>
    <w:rsid w:val="006858F0"/>
    <w:rsid w:val="00685937"/>
    <w:rsid w:val="0068612F"/>
    <w:rsid w:val="00687B93"/>
    <w:rsid w:val="00687E4C"/>
    <w:rsid w:val="00690A36"/>
    <w:rsid w:val="00690C85"/>
    <w:rsid w:val="0069106C"/>
    <w:rsid w:val="006914E7"/>
    <w:rsid w:val="006916AA"/>
    <w:rsid w:val="00691D6E"/>
    <w:rsid w:val="00692436"/>
    <w:rsid w:val="00692D16"/>
    <w:rsid w:val="00692FF7"/>
    <w:rsid w:val="006930BD"/>
    <w:rsid w:val="0069324C"/>
    <w:rsid w:val="00694761"/>
    <w:rsid w:val="00694840"/>
    <w:rsid w:val="0069509B"/>
    <w:rsid w:val="006951E2"/>
    <w:rsid w:val="006960FC"/>
    <w:rsid w:val="006964C6"/>
    <w:rsid w:val="00696852"/>
    <w:rsid w:val="00697379"/>
    <w:rsid w:val="006976BB"/>
    <w:rsid w:val="006978ED"/>
    <w:rsid w:val="00697AF3"/>
    <w:rsid w:val="006A015F"/>
    <w:rsid w:val="006A114F"/>
    <w:rsid w:val="006A184C"/>
    <w:rsid w:val="006A2C78"/>
    <w:rsid w:val="006A3481"/>
    <w:rsid w:val="006A433E"/>
    <w:rsid w:val="006A4F97"/>
    <w:rsid w:val="006A677D"/>
    <w:rsid w:val="006A6E5D"/>
    <w:rsid w:val="006B1158"/>
    <w:rsid w:val="006B15AD"/>
    <w:rsid w:val="006B3446"/>
    <w:rsid w:val="006B3921"/>
    <w:rsid w:val="006B4618"/>
    <w:rsid w:val="006B4F01"/>
    <w:rsid w:val="006B58A1"/>
    <w:rsid w:val="006B7845"/>
    <w:rsid w:val="006B7867"/>
    <w:rsid w:val="006C0638"/>
    <w:rsid w:val="006C09E4"/>
    <w:rsid w:val="006C0ED8"/>
    <w:rsid w:val="006C102B"/>
    <w:rsid w:val="006C1144"/>
    <w:rsid w:val="006C1185"/>
    <w:rsid w:val="006C16F4"/>
    <w:rsid w:val="006C1B63"/>
    <w:rsid w:val="006C1F97"/>
    <w:rsid w:val="006C2872"/>
    <w:rsid w:val="006C34D7"/>
    <w:rsid w:val="006C36AE"/>
    <w:rsid w:val="006C3DDE"/>
    <w:rsid w:val="006C7528"/>
    <w:rsid w:val="006C783F"/>
    <w:rsid w:val="006C7A48"/>
    <w:rsid w:val="006C7E40"/>
    <w:rsid w:val="006D05DB"/>
    <w:rsid w:val="006D179A"/>
    <w:rsid w:val="006D21E9"/>
    <w:rsid w:val="006D22F6"/>
    <w:rsid w:val="006D311A"/>
    <w:rsid w:val="006D341F"/>
    <w:rsid w:val="006D3A1F"/>
    <w:rsid w:val="006D4403"/>
    <w:rsid w:val="006D4720"/>
    <w:rsid w:val="006D4DF2"/>
    <w:rsid w:val="006D4FA9"/>
    <w:rsid w:val="006D5019"/>
    <w:rsid w:val="006D501E"/>
    <w:rsid w:val="006D5274"/>
    <w:rsid w:val="006D5B26"/>
    <w:rsid w:val="006D6D49"/>
    <w:rsid w:val="006D6DB7"/>
    <w:rsid w:val="006D70E0"/>
    <w:rsid w:val="006D7E6D"/>
    <w:rsid w:val="006E0F71"/>
    <w:rsid w:val="006E13AE"/>
    <w:rsid w:val="006E2597"/>
    <w:rsid w:val="006E3498"/>
    <w:rsid w:val="006E3D8A"/>
    <w:rsid w:val="006E4199"/>
    <w:rsid w:val="006E43F6"/>
    <w:rsid w:val="006E450A"/>
    <w:rsid w:val="006E4CA2"/>
    <w:rsid w:val="006E4D80"/>
    <w:rsid w:val="006E4E3E"/>
    <w:rsid w:val="006E532B"/>
    <w:rsid w:val="006E5464"/>
    <w:rsid w:val="006E5EE8"/>
    <w:rsid w:val="006E718A"/>
    <w:rsid w:val="006E71F1"/>
    <w:rsid w:val="006E78A2"/>
    <w:rsid w:val="006E7D1E"/>
    <w:rsid w:val="006F0766"/>
    <w:rsid w:val="006F0B1D"/>
    <w:rsid w:val="006F195F"/>
    <w:rsid w:val="006F1CEE"/>
    <w:rsid w:val="006F1F96"/>
    <w:rsid w:val="006F21DA"/>
    <w:rsid w:val="006F2870"/>
    <w:rsid w:val="006F28CA"/>
    <w:rsid w:val="006F2D05"/>
    <w:rsid w:val="006F2DD0"/>
    <w:rsid w:val="006F3AED"/>
    <w:rsid w:val="006F5A43"/>
    <w:rsid w:val="006F618D"/>
    <w:rsid w:val="006F61DF"/>
    <w:rsid w:val="006F650B"/>
    <w:rsid w:val="006F67AF"/>
    <w:rsid w:val="006F6BE5"/>
    <w:rsid w:val="006F70EF"/>
    <w:rsid w:val="007014EC"/>
    <w:rsid w:val="007019F6"/>
    <w:rsid w:val="00701F04"/>
    <w:rsid w:val="0070267F"/>
    <w:rsid w:val="00702CAB"/>
    <w:rsid w:val="00703521"/>
    <w:rsid w:val="00704407"/>
    <w:rsid w:val="00704FF7"/>
    <w:rsid w:val="00705B86"/>
    <w:rsid w:val="00705E27"/>
    <w:rsid w:val="00705F5D"/>
    <w:rsid w:val="00706583"/>
    <w:rsid w:val="007065C8"/>
    <w:rsid w:val="007103DD"/>
    <w:rsid w:val="007107DF"/>
    <w:rsid w:val="007108F1"/>
    <w:rsid w:val="00710FA6"/>
    <w:rsid w:val="00710FBC"/>
    <w:rsid w:val="00711275"/>
    <w:rsid w:val="007125DE"/>
    <w:rsid w:val="00712967"/>
    <w:rsid w:val="00712FC2"/>
    <w:rsid w:val="0071384D"/>
    <w:rsid w:val="00713A49"/>
    <w:rsid w:val="00713A52"/>
    <w:rsid w:val="00713B49"/>
    <w:rsid w:val="00713CCA"/>
    <w:rsid w:val="00713ED4"/>
    <w:rsid w:val="00713EF8"/>
    <w:rsid w:val="00714741"/>
    <w:rsid w:val="00714C37"/>
    <w:rsid w:val="00714C8E"/>
    <w:rsid w:val="007156A6"/>
    <w:rsid w:val="0071574D"/>
    <w:rsid w:val="00715DF7"/>
    <w:rsid w:val="00716567"/>
    <w:rsid w:val="00716847"/>
    <w:rsid w:val="00716F33"/>
    <w:rsid w:val="00717202"/>
    <w:rsid w:val="0071747F"/>
    <w:rsid w:val="00717754"/>
    <w:rsid w:val="00717B7A"/>
    <w:rsid w:val="00720BDD"/>
    <w:rsid w:val="0072101F"/>
    <w:rsid w:val="007212CB"/>
    <w:rsid w:val="0072166A"/>
    <w:rsid w:val="00721EE9"/>
    <w:rsid w:val="0072369E"/>
    <w:rsid w:val="007238A9"/>
    <w:rsid w:val="007240EE"/>
    <w:rsid w:val="007243FC"/>
    <w:rsid w:val="00724512"/>
    <w:rsid w:val="00724D36"/>
    <w:rsid w:val="00724E1B"/>
    <w:rsid w:val="00724E80"/>
    <w:rsid w:val="00724F48"/>
    <w:rsid w:val="00724FD0"/>
    <w:rsid w:val="00725400"/>
    <w:rsid w:val="0072604F"/>
    <w:rsid w:val="0072742F"/>
    <w:rsid w:val="0073154D"/>
    <w:rsid w:val="0073162B"/>
    <w:rsid w:val="00731913"/>
    <w:rsid w:val="00731DB2"/>
    <w:rsid w:val="007321D1"/>
    <w:rsid w:val="0073226A"/>
    <w:rsid w:val="007326BB"/>
    <w:rsid w:val="007328A3"/>
    <w:rsid w:val="00732B3D"/>
    <w:rsid w:val="0073326B"/>
    <w:rsid w:val="007337E1"/>
    <w:rsid w:val="00733FA3"/>
    <w:rsid w:val="007342AC"/>
    <w:rsid w:val="00734F0F"/>
    <w:rsid w:val="00734F21"/>
    <w:rsid w:val="00736743"/>
    <w:rsid w:val="007373FD"/>
    <w:rsid w:val="00737A7A"/>
    <w:rsid w:val="00737FE5"/>
    <w:rsid w:val="007401D9"/>
    <w:rsid w:val="00740460"/>
    <w:rsid w:val="0074051D"/>
    <w:rsid w:val="00741B45"/>
    <w:rsid w:val="00741E2F"/>
    <w:rsid w:val="00741EC9"/>
    <w:rsid w:val="0074246F"/>
    <w:rsid w:val="007424C4"/>
    <w:rsid w:val="007429ED"/>
    <w:rsid w:val="00742A67"/>
    <w:rsid w:val="00743DC3"/>
    <w:rsid w:val="00743F94"/>
    <w:rsid w:val="007445A8"/>
    <w:rsid w:val="00744E39"/>
    <w:rsid w:val="007450A7"/>
    <w:rsid w:val="00745692"/>
    <w:rsid w:val="007464FB"/>
    <w:rsid w:val="00747741"/>
    <w:rsid w:val="00747D86"/>
    <w:rsid w:val="00750C6B"/>
    <w:rsid w:val="00750DF9"/>
    <w:rsid w:val="00752066"/>
    <w:rsid w:val="007529C8"/>
    <w:rsid w:val="00753B48"/>
    <w:rsid w:val="00753EB2"/>
    <w:rsid w:val="0075428E"/>
    <w:rsid w:val="007542B0"/>
    <w:rsid w:val="00754D0A"/>
    <w:rsid w:val="007553B1"/>
    <w:rsid w:val="0075719C"/>
    <w:rsid w:val="007577CE"/>
    <w:rsid w:val="007579E1"/>
    <w:rsid w:val="00757B91"/>
    <w:rsid w:val="007607CE"/>
    <w:rsid w:val="00760AD3"/>
    <w:rsid w:val="00760DF0"/>
    <w:rsid w:val="00760F06"/>
    <w:rsid w:val="007615E4"/>
    <w:rsid w:val="0076186B"/>
    <w:rsid w:val="00761E0D"/>
    <w:rsid w:val="00762133"/>
    <w:rsid w:val="0076230C"/>
    <w:rsid w:val="00762DD6"/>
    <w:rsid w:val="00762FDB"/>
    <w:rsid w:val="00763648"/>
    <w:rsid w:val="00763A62"/>
    <w:rsid w:val="007640A5"/>
    <w:rsid w:val="007648E6"/>
    <w:rsid w:val="00764FA0"/>
    <w:rsid w:val="00765995"/>
    <w:rsid w:val="00765E01"/>
    <w:rsid w:val="00765E98"/>
    <w:rsid w:val="00766416"/>
    <w:rsid w:val="00766422"/>
    <w:rsid w:val="00766B23"/>
    <w:rsid w:val="00766B5F"/>
    <w:rsid w:val="00766CA5"/>
    <w:rsid w:val="00767D7B"/>
    <w:rsid w:val="00767F3E"/>
    <w:rsid w:val="00770427"/>
    <w:rsid w:val="0077045B"/>
    <w:rsid w:val="00770887"/>
    <w:rsid w:val="007708DC"/>
    <w:rsid w:val="007727F1"/>
    <w:rsid w:val="00772CAA"/>
    <w:rsid w:val="007730CC"/>
    <w:rsid w:val="00774716"/>
    <w:rsid w:val="0077484D"/>
    <w:rsid w:val="00774DE7"/>
    <w:rsid w:val="007752F8"/>
    <w:rsid w:val="00775AF6"/>
    <w:rsid w:val="00776409"/>
    <w:rsid w:val="007766A4"/>
    <w:rsid w:val="00776784"/>
    <w:rsid w:val="007767C5"/>
    <w:rsid w:val="0077785A"/>
    <w:rsid w:val="00777E17"/>
    <w:rsid w:val="00780319"/>
    <w:rsid w:val="007803D0"/>
    <w:rsid w:val="00780ABC"/>
    <w:rsid w:val="007815EB"/>
    <w:rsid w:val="00781659"/>
    <w:rsid w:val="0078251F"/>
    <w:rsid w:val="00783029"/>
    <w:rsid w:val="007830F5"/>
    <w:rsid w:val="0078359E"/>
    <w:rsid w:val="007837AB"/>
    <w:rsid w:val="007841D6"/>
    <w:rsid w:val="00784D35"/>
    <w:rsid w:val="00784E3D"/>
    <w:rsid w:val="00786515"/>
    <w:rsid w:val="007866E5"/>
    <w:rsid w:val="00786C75"/>
    <w:rsid w:val="0078727E"/>
    <w:rsid w:val="00790251"/>
    <w:rsid w:val="00790C39"/>
    <w:rsid w:val="0079130C"/>
    <w:rsid w:val="007919BA"/>
    <w:rsid w:val="00792348"/>
    <w:rsid w:val="00792F8D"/>
    <w:rsid w:val="007930AB"/>
    <w:rsid w:val="00793281"/>
    <w:rsid w:val="007950CE"/>
    <w:rsid w:val="007957B6"/>
    <w:rsid w:val="0079645D"/>
    <w:rsid w:val="00796BDD"/>
    <w:rsid w:val="00796C8D"/>
    <w:rsid w:val="00797250"/>
    <w:rsid w:val="007977B0"/>
    <w:rsid w:val="00797848"/>
    <w:rsid w:val="00797A1F"/>
    <w:rsid w:val="007A10A3"/>
    <w:rsid w:val="007A126F"/>
    <w:rsid w:val="007A12F9"/>
    <w:rsid w:val="007A1642"/>
    <w:rsid w:val="007A2B3E"/>
    <w:rsid w:val="007A3376"/>
    <w:rsid w:val="007A34B2"/>
    <w:rsid w:val="007A4208"/>
    <w:rsid w:val="007A4EC2"/>
    <w:rsid w:val="007A4FA2"/>
    <w:rsid w:val="007A50B2"/>
    <w:rsid w:val="007A62E3"/>
    <w:rsid w:val="007A6B37"/>
    <w:rsid w:val="007A7191"/>
    <w:rsid w:val="007A7314"/>
    <w:rsid w:val="007A78EA"/>
    <w:rsid w:val="007B008F"/>
    <w:rsid w:val="007B04F5"/>
    <w:rsid w:val="007B3315"/>
    <w:rsid w:val="007B3549"/>
    <w:rsid w:val="007B4A82"/>
    <w:rsid w:val="007B52A7"/>
    <w:rsid w:val="007B64AA"/>
    <w:rsid w:val="007B7198"/>
    <w:rsid w:val="007B7302"/>
    <w:rsid w:val="007B7497"/>
    <w:rsid w:val="007B7F69"/>
    <w:rsid w:val="007C1321"/>
    <w:rsid w:val="007C1790"/>
    <w:rsid w:val="007C18CB"/>
    <w:rsid w:val="007C2392"/>
    <w:rsid w:val="007C24EE"/>
    <w:rsid w:val="007C2A25"/>
    <w:rsid w:val="007C3B8A"/>
    <w:rsid w:val="007C4657"/>
    <w:rsid w:val="007C5910"/>
    <w:rsid w:val="007C5951"/>
    <w:rsid w:val="007C6DCF"/>
    <w:rsid w:val="007C6E65"/>
    <w:rsid w:val="007C7BB9"/>
    <w:rsid w:val="007C7C33"/>
    <w:rsid w:val="007C7F1F"/>
    <w:rsid w:val="007D0044"/>
    <w:rsid w:val="007D06F4"/>
    <w:rsid w:val="007D2193"/>
    <w:rsid w:val="007D2455"/>
    <w:rsid w:val="007D32B4"/>
    <w:rsid w:val="007D3AF7"/>
    <w:rsid w:val="007D434E"/>
    <w:rsid w:val="007D4BA8"/>
    <w:rsid w:val="007D4C28"/>
    <w:rsid w:val="007D4DEE"/>
    <w:rsid w:val="007D569F"/>
    <w:rsid w:val="007D57A5"/>
    <w:rsid w:val="007D59BC"/>
    <w:rsid w:val="007D5B05"/>
    <w:rsid w:val="007D716C"/>
    <w:rsid w:val="007D79D5"/>
    <w:rsid w:val="007D7D59"/>
    <w:rsid w:val="007E00E9"/>
    <w:rsid w:val="007E04BF"/>
    <w:rsid w:val="007E0F97"/>
    <w:rsid w:val="007E100E"/>
    <w:rsid w:val="007E127A"/>
    <w:rsid w:val="007E1753"/>
    <w:rsid w:val="007E1904"/>
    <w:rsid w:val="007E1DD6"/>
    <w:rsid w:val="007E1F9F"/>
    <w:rsid w:val="007E2108"/>
    <w:rsid w:val="007E28C4"/>
    <w:rsid w:val="007E2B0A"/>
    <w:rsid w:val="007E2F61"/>
    <w:rsid w:val="007E301B"/>
    <w:rsid w:val="007E323F"/>
    <w:rsid w:val="007E35E4"/>
    <w:rsid w:val="007E376B"/>
    <w:rsid w:val="007E3A9E"/>
    <w:rsid w:val="007E3CBB"/>
    <w:rsid w:val="007E413C"/>
    <w:rsid w:val="007E41FB"/>
    <w:rsid w:val="007E4B68"/>
    <w:rsid w:val="007E4CC0"/>
    <w:rsid w:val="007E4DD3"/>
    <w:rsid w:val="007E59CA"/>
    <w:rsid w:val="007E75C0"/>
    <w:rsid w:val="007E786E"/>
    <w:rsid w:val="007F07F3"/>
    <w:rsid w:val="007F1203"/>
    <w:rsid w:val="007F178D"/>
    <w:rsid w:val="007F1A1F"/>
    <w:rsid w:val="007F1DF5"/>
    <w:rsid w:val="007F1F03"/>
    <w:rsid w:val="007F2625"/>
    <w:rsid w:val="007F35DF"/>
    <w:rsid w:val="007F406A"/>
    <w:rsid w:val="007F45BC"/>
    <w:rsid w:val="007F5114"/>
    <w:rsid w:val="007F54DE"/>
    <w:rsid w:val="007F59DB"/>
    <w:rsid w:val="007F65F9"/>
    <w:rsid w:val="007F65FF"/>
    <w:rsid w:val="007F68B7"/>
    <w:rsid w:val="007F6C61"/>
    <w:rsid w:val="007F7902"/>
    <w:rsid w:val="0080016B"/>
    <w:rsid w:val="00801265"/>
    <w:rsid w:val="00801843"/>
    <w:rsid w:val="008024AE"/>
    <w:rsid w:val="0080396D"/>
    <w:rsid w:val="00803CEE"/>
    <w:rsid w:val="00803F6D"/>
    <w:rsid w:val="00803F9C"/>
    <w:rsid w:val="00805103"/>
    <w:rsid w:val="00805E97"/>
    <w:rsid w:val="00805FD3"/>
    <w:rsid w:val="00806131"/>
    <w:rsid w:val="008069A6"/>
    <w:rsid w:val="00807560"/>
    <w:rsid w:val="00810546"/>
    <w:rsid w:val="00810653"/>
    <w:rsid w:val="00810935"/>
    <w:rsid w:val="00810D7B"/>
    <w:rsid w:val="00810DC0"/>
    <w:rsid w:val="00810E3C"/>
    <w:rsid w:val="00812597"/>
    <w:rsid w:val="008138E4"/>
    <w:rsid w:val="00813BBB"/>
    <w:rsid w:val="00815198"/>
    <w:rsid w:val="008152EF"/>
    <w:rsid w:val="00815CEC"/>
    <w:rsid w:val="008168A5"/>
    <w:rsid w:val="00816D7C"/>
    <w:rsid w:val="00817036"/>
    <w:rsid w:val="008170E9"/>
    <w:rsid w:val="00817C76"/>
    <w:rsid w:val="0082004A"/>
    <w:rsid w:val="008202F3"/>
    <w:rsid w:val="0082037E"/>
    <w:rsid w:val="0082079C"/>
    <w:rsid w:val="00820962"/>
    <w:rsid w:val="00820BE6"/>
    <w:rsid w:val="008210D3"/>
    <w:rsid w:val="008213AF"/>
    <w:rsid w:val="00821444"/>
    <w:rsid w:val="008215B9"/>
    <w:rsid w:val="00821747"/>
    <w:rsid w:val="00821B89"/>
    <w:rsid w:val="0082235A"/>
    <w:rsid w:val="00822EDB"/>
    <w:rsid w:val="008234DD"/>
    <w:rsid w:val="00823976"/>
    <w:rsid w:val="00823C82"/>
    <w:rsid w:val="00823F07"/>
    <w:rsid w:val="008241D8"/>
    <w:rsid w:val="008242AC"/>
    <w:rsid w:val="0082454A"/>
    <w:rsid w:val="00827DA4"/>
    <w:rsid w:val="00830423"/>
    <w:rsid w:val="008306CF"/>
    <w:rsid w:val="0083082F"/>
    <w:rsid w:val="00830BE9"/>
    <w:rsid w:val="00830D15"/>
    <w:rsid w:val="008314D1"/>
    <w:rsid w:val="0083168F"/>
    <w:rsid w:val="00831EED"/>
    <w:rsid w:val="00832056"/>
    <w:rsid w:val="008326E7"/>
    <w:rsid w:val="008328E3"/>
    <w:rsid w:val="0083292F"/>
    <w:rsid w:val="008332D2"/>
    <w:rsid w:val="00834BCD"/>
    <w:rsid w:val="00834FB3"/>
    <w:rsid w:val="008354B6"/>
    <w:rsid w:val="008358FD"/>
    <w:rsid w:val="00835CC8"/>
    <w:rsid w:val="00835DBD"/>
    <w:rsid w:val="0083601A"/>
    <w:rsid w:val="008360FD"/>
    <w:rsid w:val="00836272"/>
    <w:rsid w:val="00836D0F"/>
    <w:rsid w:val="008374FC"/>
    <w:rsid w:val="00837BEB"/>
    <w:rsid w:val="00840198"/>
    <w:rsid w:val="00840441"/>
    <w:rsid w:val="008405E0"/>
    <w:rsid w:val="00840BC5"/>
    <w:rsid w:val="00840C3C"/>
    <w:rsid w:val="00840F7F"/>
    <w:rsid w:val="00841150"/>
    <w:rsid w:val="0084162D"/>
    <w:rsid w:val="0084199D"/>
    <w:rsid w:val="00841D85"/>
    <w:rsid w:val="00842771"/>
    <w:rsid w:val="00842ECE"/>
    <w:rsid w:val="00843CBA"/>
    <w:rsid w:val="00843EAC"/>
    <w:rsid w:val="008442D2"/>
    <w:rsid w:val="00844697"/>
    <w:rsid w:val="00844985"/>
    <w:rsid w:val="00844A9F"/>
    <w:rsid w:val="00844E9A"/>
    <w:rsid w:val="00845606"/>
    <w:rsid w:val="0084568A"/>
    <w:rsid w:val="00845BDB"/>
    <w:rsid w:val="008461C8"/>
    <w:rsid w:val="00846F2F"/>
    <w:rsid w:val="00847E54"/>
    <w:rsid w:val="00850E23"/>
    <w:rsid w:val="008519BC"/>
    <w:rsid w:val="00852638"/>
    <w:rsid w:val="00852D5C"/>
    <w:rsid w:val="00852F05"/>
    <w:rsid w:val="00853090"/>
    <w:rsid w:val="00853329"/>
    <w:rsid w:val="00853509"/>
    <w:rsid w:val="00853AF2"/>
    <w:rsid w:val="0085437C"/>
    <w:rsid w:val="00854CCB"/>
    <w:rsid w:val="0085580B"/>
    <w:rsid w:val="00855C1C"/>
    <w:rsid w:val="00856595"/>
    <w:rsid w:val="00856D8A"/>
    <w:rsid w:val="008575D8"/>
    <w:rsid w:val="00860156"/>
    <w:rsid w:val="00860F01"/>
    <w:rsid w:val="00860F36"/>
    <w:rsid w:val="008625C0"/>
    <w:rsid w:val="00862B00"/>
    <w:rsid w:val="00863FA2"/>
    <w:rsid w:val="00864BAC"/>
    <w:rsid w:val="00865223"/>
    <w:rsid w:val="00865264"/>
    <w:rsid w:val="0086592B"/>
    <w:rsid w:val="00866142"/>
    <w:rsid w:val="00866972"/>
    <w:rsid w:val="00867198"/>
    <w:rsid w:val="0086751D"/>
    <w:rsid w:val="00867903"/>
    <w:rsid w:val="00867EE1"/>
    <w:rsid w:val="00870084"/>
    <w:rsid w:val="00870638"/>
    <w:rsid w:val="00870888"/>
    <w:rsid w:val="00870FA2"/>
    <w:rsid w:val="00871528"/>
    <w:rsid w:val="0087193A"/>
    <w:rsid w:val="00871B9F"/>
    <w:rsid w:val="008722DD"/>
    <w:rsid w:val="008734C1"/>
    <w:rsid w:val="0087488B"/>
    <w:rsid w:val="00874B1E"/>
    <w:rsid w:val="00874BAA"/>
    <w:rsid w:val="00875B98"/>
    <w:rsid w:val="00875CB8"/>
    <w:rsid w:val="00876987"/>
    <w:rsid w:val="008777AC"/>
    <w:rsid w:val="00877A4E"/>
    <w:rsid w:val="0088035F"/>
    <w:rsid w:val="00880721"/>
    <w:rsid w:val="00880CE6"/>
    <w:rsid w:val="008817DD"/>
    <w:rsid w:val="00881DA0"/>
    <w:rsid w:val="00881F81"/>
    <w:rsid w:val="00882DCD"/>
    <w:rsid w:val="00883399"/>
    <w:rsid w:val="00883A3D"/>
    <w:rsid w:val="00883A43"/>
    <w:rsid w:val="00884394"/>
    <w:rsid w:val="0088475C"/>
    <w:rsid w:val="00885C38"/>
    <w:rsid w:val="00886D08"/>
    <w:rsid w:val="00887157"/>
    <w:rsid w:val="00887FDF"/>
    <w:rsid w:val="00891B29"/>
    <w:rsid w:val="0089296D"/>
    <w:rsid w:val="008930F0"/>
    <w:rsid w:val="00893D2C"/>
    <w:rsid w:val="00893F6D"/>
    <w:rsid w:val="008947AD"/>
    <w:rsid w:val="00896D37"/>
    <w:rsid w:val="00897432"/>
    <w:rsid w:val="00897E53"/>
    <w:rsid w:val="008A0754"/>
    <w:rsid w:val="008A0A31"/>
    <w:rsid w:val="008A0DA6"/>
    <w:rsid w:val="008A1FA2"/>
    <w:rsid w:val="008A3859"/>
    <w:rsid w:val="008A443A"/>
    <w:rsid w:val="008A4C9D"/>
    <w:rsid w:val="008A4FD2"/>
    <w:rsid w:val="008A50AB"/>
    <w:rsid w:val="008A5DC0"/>
    <w:rsid w:val="008A680B"/>
    <w:rsid w:val="008A7090"/>
    <w:rsid w:val="008B0629"/>
    <w:rsid w:val="008B07BC"/>
    <w:rsid w:val="008B1242"/>
    <w:rsid w:val="008B165E"/>
    <w:rsid w:val="008B19FD"/>
    <w:rsid w:val="008B21AD"/>
    <w:rsid w:val="008B2795"/>
    <w:rsid w:val="008B2B3C"/>
    <w:rsid w:val="008B327D"/>
    <w:rsid w:val="008B3C26"/>
    <w:rsid w:val="008B4705"/>
    <w:rsid w:val="008B5D4B"/>
    <w:rsid w:val="008B70EF"/>
    <w:rsid w:val="008B7125"/>
    <w:rsid w:val="008C01D1"/>
    <w:rsid w:val="008C022C"/>
    <w:rsid w:val="008C0A2D"/>
    <w:rsid w:val="008C1229"/>
    <w:rsid w:val="008C298A"/>
    <w:rsid w:val="008C30EB"/>
    <w:rsid w:val="008C326F"/>
    <w:rsid w:val="008C34B2"/>
    <w:rsid w:val="008C3788"/>
    <w:rsid w:val="008C3C39"/>
    <w:rsid w:val="008C46E0"/>
    <w:rsid w:val="008C48B0"/>
    <w:rsid w:val="008C541E"/>
    <w:rsid w:val="008C5EA2"/>
    <w:rsid w:val="008C635B"/>
    <w:rsid w:val="008C6976"/>
    <w:rsid w:val="008C6B7D"/>
    <w:rsid w:val="008C7074"/>
    <w:rsid w:val="008C7213"/>
    <w:rsid w:val="008C73F7"/>
    <w:rsid w:val="008C750D"/>
    <w:rsid w:val="008C7604"/>
    <w:rsid w:val="008D006B"/>
    <w:rsid w:val="008D0437"/>
    <w:rsid w:val="008D0DFE"/>
    <w:rsid w:val="008D1112"/>
    <w:rsid w:val="008D176B"/>
    <w:rsid w:val="008D196A"/>
    <w:rsid w:val="008D1A01"/>
    <w:rsid w:val="008D1F29"/>
    <w:rsid w:val="008D2835"/>
    <w:rsid w:val="008D3DDA"/>
    <w:rsid w:val="008D3FF4"/>
    <w:rsid w:val="008D4678"/>
    <w:rsid w:val="008D53C2"/>
    <w:rsid w:val="008D53D8"/>
    <w:rsid w:val="008D5C9C"/>
    <w:rsid w:val="008D60BA"/>
    <w:rsid w:val="008D653F"/>
    <w:rsid w:val="008D65F2"/>
    <w:rsid w:val="008D73C3"/>
    <w:rsid w:val="008D73D2"/>
    <w:rsid w:val="008D78AA"/>
    <w:rsid w:val="008E09C3"/>
    <w:rsid w:val="008E0ACA"/>
    <w:rsid w:val="008E1192"/>
    <w:rsid w:val="008E13BD"/>
    <w:rsid w:val="008E182C"/>
    <w:rsid w:val="008E20FF"/>
    <w:rsid w:val="008E272A"/>
    <w:rsid w:val="008E33F2"/>
    <w:rsid w:val="008E3521"/>
    <w:rsid w:val="008E3A2F"/>
    <w:rsid w:val="008E3AED"/>
    <w:rsid w:val="008E3DEE"/>
    <w:rsid w:val="008E4C75"/>
    <w:rsid w:val="008E513C"/>
    <w:rsid w:val="008E56F4"/>
    <w:rsid w:val="008E646D"/>
    <w:rsid w:val="008E7038"/>
    <w:rsid w:val="008E72DC"/>
    <w:rsid w:val="008F0D04"/>
    <w:rsid w:val="008F0DD5"/>
    <w:rsid w:val="008F1581"/>
    <w:rsid w:val="008F1D9B"/>
    <w:rsid w:val="008F1EA8"/>
    <w:rsid w:val="008F1EB5"/>
    <w:rsid w:val="008F209F"/>
    <w:rsid w:val="008F21BA"/>
    <w:rsid w:val="008F2B13"/>
    <w:rsid w:val="008F2C55"/>
    <w:rsid w:val="008F3684"/>
    <w:rsid w:val="008F4D07"/>
    <w:rsid w:val="008F4F70"/>
    <w:rsid w:val="008F57F6"/>
    <w:rsid w:val="008F5D76"/>
    <w:rsid w:val="008F5E15"/>
    <w:rsid w:val="008F62EF"/>
    <w:rsid w:val="008F6D8B"/>
    <w:rsid w:val="009006AA"/>
    <w:rsid w:val="009012FB"/>
    <w:rsid w:val="009020AD"/>
    <w:rsid w:val="0090215C"/>
    <w:rsid w:val="0090310A"/>
    <w:rsid w:val="009039C4"/>
    <w:rsid w:val="0090512C"/>
    <w:rsid w:val="009051FB"/>
    <w:rsid w:val="0090557C"/>
    <w:rsid w:val="0090562D"/>
    <w:rsid w:val="0090641A"/>
    <w:rsid w:val="0090737E"/>
    <w:rsid w:val="00907E49"/>
    <w:rsid w:val="009108E1"/>
    <w:rsid w:val="00910E84"/>
    <w:rsid w:val="00911411"/>
    <w:rsid w:val="00911664"/>
    <w:rsid w:val="00911B8C"/>
    <w:rsid w:val="00911DA0"/>
    <w:rsid w:val="00911E48"/>
    <w:rsid w:val="0091226D"/>
    <w:rsid w:val="0091353B"/>
    <w:rsid w:val="0091366D"/>
    <w:rsid w:val="00914399"/>
    <w:rsid w:val="009145A3"/>
    <w:rsid w:val="0091562C"/>
    <w:rsid w:val="009160C9"/>
    <w:rsid w:val="0091667E"/>
    <w:rsid w:val="009167E2"/>
    <w:rsid w:val="0091680A"/>
    <w:rsid w:val="00916F6B"/>
    <w:rsid w:val="00917990"/>
    <w:rsid w:val="00917A63"/>
    <w:rsid w:val="00917BC5"/>
    <w:rsid w:val="00921262"/>
    <w:rsid w:val="00921588"/>
    <w:rsid w:val="0092187E"/>
    <w:rsid w:val="00921942"/>
    <w:rsid w:val="009223FB"/>
    <w:rsid w:val="00922FE6"/>
    <w:rsid w:val="009231A5"/>
    <w:rsid w:val="009240F6"/>
    <w:rsid w:val="0092429A"/>
    <w:rsid w:val="009247A9"/>
    <w:rsid w:val="00924C97"/>
    <w:rsid w:val="00925C80"/>
    <w:rsid w:val="00925E60"/>
    <w:rsid w:val="00926944"/>
    <w:rsid w:val="009269F4"/>
    <w:rsid w:val="009272C0"/>
    <w:rsid w:val="00927717"/>
    <w:rsid w:val="00927E90"/>
    <w:rsid w:val="00927EF1"/>
    <w:rsid w:val="0093004F"/>
    <w:rsid w:val="0093040B"/>
    <w:rsid w:val="00930DB4"/>
    <w:rsid w:val="00930E6C"/>
    <w:rsid w:val="0093211F"/>
    <w:rsid w:val="00932186"/>
    <w:rsid w:val="009325A8"/>
    <w:rsid w:val="0093296D"/>
    <w:rsid w:val="00933BBE"/>
    <w:rsid w:val="009343A4"/>
    <w:rsid w:val="00934F91"/>
    <w:rsid w:val="00935767"/>
    <w:rsid w:val="00935852"/>
    <w:rsid w:val="00935F4B"/>
    <w:rsid w:val="0093602D"/>
    <w:rsid w:val="009366D4"/>
    <w:rsid w:val="009367C4"/>
    <w:rsid w:val="00937178"/>
    <w:rsid w:val="00937331"/>
    <w:rsid w:val="00937702"/>
    <w:rsid w:val="00937A89"/>
    <w:rsid w:val="00937E06"/>
    <w:rsid w:val="00937F0C"/>
    <w:rsid w:val="00940209"/>
    <w:rsid w:val="00940328"/>
    <w:rsid w:val="009403AD"/>
    <w:rsid w:val="00940EA8"/>
    <w:rsid w:val="00940FE5"/>
    <w:rsid w:val="00941E99"/>
    <w:rsid w:val="009420B2"/>
    <w:rsid w:val="009426F7"/>
    <w:rsid w:val="009427EB"/>
    <w:rsid w:val="00942C9B"/>
    <w:rsid w:val="00944627"/>
    <w:rsid w:val="00944890"/>
    <w:rsid w:val="009448F8"/>
    <w:rsid w:val="00944B8F"/>
    <w:rsid w:val="009463C3"/>
    <w:rsid w:val="00946883"/>
    <w:rsid w:val="00947393"/>
    <w:rsid w:val="00947D06"/>
    <w:rsid w:val="009501B4"/>
    <w:rsid w:val="00951176"/>
    <w:rsid w:val="00951C14"/>
    <w:rsid w:val="00951D98"/>
    <w:rsid w:val="00951E83"/>
    <w:rsid w:val="0095270C"/>
    <w:rsid w:val="00952D62"/>
    <w:rsid w:val="00953E5F"/>
    <w:rsid w:val="009544DF"/>
    <w:rsid w:val="00954CE2"/>
    <w:rsid w:val="009556AA"/>
    <w:rsid w:val="009557EA"/>
    <w:rsid w:val="00955A05"/>
    <w:rsid w:val="00955DC8"/>
    <w:rsid w:val="00956296"/>
    <w:rsid w:val="009567AC"/>
    <w:rsid w:val="00956CC1"/>
    <w:rsid w:val="00956E59"/>
    <w:rsid w:val="0096006A"/>
    <w:rsid w:val="009606FD"/>
    <w:rsid w:val="00960E05"/>
    <w:rsid w:val="00961073"/>
    <w:rsid w:val="009619E6"/>
    <w:rsid w:val="00961D25"/>
    <w:rsid w:val="00962004"/>
    <w:rsid w:val="00962749"/>
    <w:rsid w:val="00962C48"/>
    <w:rsid w:val="00962F63"/>
    <w:rsid w:val="00962FD6"/>
    <w:rsid w:val="00963799"/>
    <w:rsid w:val="00963E5A"/>
    <w:rsid w:val="0096612D"/>
    <w:rsid w:val="009661FC"/>
    <w:rsid w:val="0096631B"/>
    <w:rsid w:val="00966977"/>
    <w:rsid w:val="009672EC"/>
    <w:rsid w:val="00967BB9"/>
    <w:rsid w:val="00967E84"/>
    <w:rsid w:val="00970FB3"/>
    <w:rsid w:val="00971857"/>
    <w:rsid w:val="00971C40"/>
    <w:rsid w:val="0097264F"/>
    <w:rsid w:val="00973445"/>
    <w:rsid w:val="0097384D"/>
    <w:rsid w:val="00974001"/>
    <w:rsid w:val="009749AD"/>
    <w:rsid w:val="009750CE"/>
    <w:rsid w:val="00975816"/>
    <w:rsid w:val="00975E09"/>
    <w:rsid w:val="00976910"/>
    <w:rsid w:val="00976DCD"/>
    <w:rsid w:val="009772CA"/>
    <w:rsid w:val="009772D1"/>
    <w:rsid w:val="009810FB"/>
    <w:rsid w:val="00982E94"/>
    <w:rsid w:val="00983265"/>
    <w:rsid w:val="00983505"/>
    <w:rsid w:val="00983EFB"/>
    <w:rsid w:val="0098490F"/>
    <w:rsid w:val="00984976"/>
    <w:rsid w:val="0098552E"/>
    <w:rsid w:val="00985622"/>
    <w:rsid w:val="00986786"/>
    <w:rsid w:val="00986FE2"/>
    <w:rsid w:val="009875A2"/>
    <w:rsid w:val="00987A25"/>
    <w:rsid w:val="00987A4B"/>
    <w:rsid w:val="00987AE4"/>
    <w:rsid w:val="00987CE4"/>
    <w:rsid w:val="00987D06"/>
    <w:rsid w:val="00987F6E"/>
    <w:rsid w:val="00990212"/>
    <w:rsid w:val="00990354"/>
    <w:rsid w:val="00990A2E"/>
    <w:rsid w:val="00990D38"/>
    <w:rsid w:val="00991AB2"/>
    <w:rsid w:val="0099209A"/>
    <w:rsid w:val="009926DE"/>
    <w:rsid w:val="0099311B"/>
    <w:rsid w:val="0099382C"/>
    <w:rsid w:val="00993DF8"/>
    <w:rsid w:val="00994293"/>
    <w:rsid w:val="009947C7"/>
    <w:rsid w:val="00994F58"/>
    <w:rsid w:val="009955F2"/>
    <w:rsid w:val="00995EA7"/>
    <w:rsid w:val="00996230"/>
    <w:rsid w:val="00996BA8"/>
    <w:rsid w:val="00996FC9"/>
    <w:rsid w:val="00997295"/>
    <w:rsid w:val="009973BB"/>
    <w:rsid w:val="009975EC"/>
    <w:rsid w:val="00997A43"/>
    <w:rsid w:val="00997C45"/>
    <w:rsid w:val="009A044E"/>
    <w:rsid w:val="009A067C"/>
    <w:rsid w:val="009A158A"/>
    <w:rsid w:val="009A2AD3"/>
    <w:rsid w:val="009A2D3C"/>
    <w:rsid w:val="009A38EA"/>
    <w:rsid w:val="009A3E8B"/>
    <w:rsid w:val="009A3FA1"/>
    <w:rsid w:val="009A4971"/>
    <w:rsid w:val="009A4AC9"/>
    <w:rsid w:val="009A50B6"/>
    <w:rsid w:val="009A52F8"/>
    <w:rsid w:val="009A5BBF"/>
    <w:rsid w:val="009A5E4F"/>
    <w:rsid w:val="009A6453"/>
    <w:rsid w:val="009A7350"/>
    <w:rsid w:val="009A7BBC"/>
    <w:rsid w:val="009B0036"/>
    <w:rsid w:val="009B051D"/>
    <w:rsid w:val="009B0738"/>
    <w:rsid w:val="009B08E4"/>
    <w:rsid w:val="009B0977"/>
    <w:rsid w:val="009B09EA"/>
    <w:rsid w:val="009B1713"/>
    <w:rsid w:val="009B1721"/>
    <w:rsid w:val="009B1E96"/>
    <w:rsid w:val="009B2E77"/>
    <w:rsid w:val="009B3F96"/>
    <w:rsid w:val="009B45A3"/>
    <w:rsid w:val="009B46C0"/>
    <w:rsid w:val="009B4DFD"/>
    <w:rsid w:val="009B50FB"/>
    <w:rsid w:val="009B536C"/>
    <w:rsid w:val="009B62F2"/>
    <w:rsid w:val="009B6D9A"/>
    <w:rsid w:val="009B753E"/>
    <w:rsid w:val="009B78BC"/>
    <w:rsid w:val="009C0765"/>
    <w:rsid w:val="009C2054"/>
    <w:rsid w:val="009C24EB"/>
    <w:rsid w:val="009C2594"/>
    <w:rsid w:val="009C2A6B"/>
    <w:rsid w:val="009C30A3"/>
    <w:rsid w:val="009C341D"/>
    <w:rsid w:val="009C3B37"/>
    <w:rsid w:val="009C3FD0"/>
    <w:rsid w:val="009C547C"/>
    <w:rsid w:val="009C6341"/>
    <w:rsid w:val="009C653D"/>
    <w:rsid w:val="009C721E"/>
    <w:rsid w:val="009C7B7E"/>
    <w:rsid w:val="009D06E2"/>
    <w:rsid w:val="009D0ADA"/>
    <w:rsid w:val="009D0CF2"/>
    <w:rsid w:val="009D1F8D"/>
    <w:rsid w:val="009D1FAB"/>
    <w:rsid w:val="009D2C24"/>
    <w:rsid w:val="009D3E39"/>
    <w:rsid w:val="009D4399"/>
    <w:rsid w:val="009D4E74"/>
    <w:rsid w:val="009D4F20"/>
    <w:rsid w:val="009D4F9E"/>
    <w:rsid w:val="009D56E3"/>
    <w:rsid w:val="009D5B81"/>
    <w:rsid w:val="009D62F2"/>
    <w:rsid w:val="009E05D6"/>
    <w:rsid w:val="009E1E3D"/>
    <w:rsid w:val="009E202C"/>
    <w:rsid w:val="009E28B9"/>
    <w:rsid w:val="009E2E3B"/>
    <w:rsid w:val="009E3980"/>
    <w:rsid w:val="009E3B55"/>
    <w:rsid w:val="009E43F8"/>
    <w:rsid w:val="009E4599"/>
    <w:rsid w:val="009E469A"/>
    <w:rsid w:val="009E5682"/>
    <w:rsid w:val="009E6012"/>
    <w:rsid w:val="009E6B24"/>
    <w:rsid w:val="009E7C7C"/>
    <w:rsid w:val="009E7EDD"/>
    <w:rsid w:val="009F0AA2"/>
    <w:rsid w:val="009F1097"/>
    <w:rsid w:val="009F11B4"/>
    <w:rsid w:val="009F17C7"/>
    <w:rsid w:val="009F1983"/>
    <w:rsid w:val="009F23BD"/>
    <w:rsid w:val="009F28DA"/>
    <w:rsid w:val="009F2913"/>
    <w:rsid w:val="009F38CE"/>
    <w:rsid w:val="009F3C50"/>
    <w:rsid w:val="009F3FDB"/>
    <w:rsid w:val="009F422D"/>
    <w:rsid w:val="009F425D"/>
    <w:rsid w:val="009F42B3"/>
    <w:rsid w:val="009F48AA"/>
    <w:rsid w:val="009F4E34"/>
    <w:rsid w:val="009F532D"/>
    <w:rsid w:val="009F5ABB"/>
    <w:rsid w:val="009F6253"/>
    <w:rsid w:val="009F6ACC"/>
    <w:rsid w:val="009F7087"/>
    <w:rsid w:val="009F7DA5"/>
    <w:rsid w:val="009F7F00"/>
    <w:rsid w:val="00A00672"/>
    <w:rsid w:val="00A00F9E"/>
    <w:rsid w:val="00A01594"/>
    <w:rsid w:val="00A01B11"/>
    <w:rsid w:val="00A0283A"/>
    <w:rsid w:val="00A02887"/>
    <w:rsid w:val="00A02FCC"/>
    <w:rsid w:val="00A04318"/>
    <w:rsid w:val="00A04927"/>
    <w:rsid w:val="00A0497C"/>
    <w:rsid w:val="00A04F4B"/>
    <w:rsid w:val="00A04FFB"/>
    <w:rsid w:val="00A0695D"/>
    <w:rsid w:val="00A10AC7"/>
    <w:rsid w:val="00A10DA5"/>
    <w:rsid w:val="00A11319"/>
    <w:rsid w:val="00A12A2D"/>
    <w:rsid w:val="00A13915"/>
    <w:rsid w:val="00A13C4E"/>
    <w:rsid w:val="00A14560"/>
    <w:rsid w:val="00A14628"/>
    <w:rsid w:val="00A14D7C"/>
    <w:rsid w:val="00A14E53"/>
    <w:rsid w:val="00A15418"/>
    <w:rsid w:val="00A16B7B"/>
    <w:rsid w:val="00A178E7"/>
    <w:rsid w:val="00A17F7B"/>
    <w:rsid w:val="00A20195"/>
    <w:rsid w:val="00A20303"/>
    <w:rsid w:val="00A2032E"/>
    <w:rsid w:val="00A23F13"/>
    <w:rsid w:val="00A240BF"/>
    <w:rsid w:val="00A24643"/>
    <w:rsid w:val="00A249A0"/>
    <w:rsid w:val="00A249F7"/>
    <w:rsid w:val="00A24B24"/>
    <w:rsid w:val="00A24B51"/>
    <w:rsid w:val="00A24C80"/>
    <w:rsid w:val="00A24E4F"/>
    <w:rsid w:val="00A252C3"/>
    <w:rsid w:val="00A2728D"/>
    <w:rsid w:val="00A3027C"/>
    <w:rsid w:val="00A30A76"/>
    <w:rsid w:val="00A30EB9"/>
    <w:rsid w:val="00A32CAE"/>
    <w:rsid w:val="00A3371D"/>
    <w:rsid w:val="00A33C2B"/>
    <w:rsid w:val="00A341C0"/>
    <w:rsid w:val="00A348D3"/>
    <w:rsid w:val="00A3523E"/>
    <w:rsid w:val="00A352BC"/>
    <w:rsid w:val="00A37822"/>
    <w:rsid w:val="00A37C8C"/>
    <w:rsid w:val="00A37DB5"/>
    <w:rsid w:val="00A37E59"/>
    <w:rsid w:val="00A4079A"/>
    <w:rsid w:val="00A40A62"/>
    <w:rsid w:val="00A40C5B"/>
    <w:rsid w:val="00A40D9E"/>
    <w:rsid w:val="00A40E17"/>
    <w:rsid w:val="00A412B4"/>
    <w:rsid w:val="00A41319"/>
    <w:rsid w:val="00A415A9"/>
    <w:rsid w:val="00A41767"/>
    <w:rsid w:val="00A42538"/>
    <w:rsid w:val="00A42605"/>
    <w:rsid w:val="00A42AAE"/>
    <w:rsid w:val="00A43680"/>
    <w:rsid w:val="00A44286"/>
    <w:rsid w:val="00A4460E"/>
    <w:rsid w:val="00A446ED"/>
    <w:rsid w:val="00A44794"/>
    <w:rsid w:val="00A44E0A"/>
    <w:rsid w:val="00A44F16"/>
    <w:rsid w:val="00A4514A"/>
    <w:rsid w:val="00A4544B"/>
    <w:rsid w:val="00A45793"/>
    <w:rsid w:val="00A4612A"/>
    <w:rsid w:val="00A461A9"/>
    <w:rsid w:val="00A463B8"/>
    <w:rsid w:val="00A46541"/>
    <w:rsid w:val="00A46DDF"/>
    <w:rsid w:val="00A473A0"/>
    <w:rsid w:val="00A47613"/>
    <w:rsid w:val="00A50017"/>
    <w:rsid w:val="00A5097F"/>
    <w:rsid w:val="00A50A2F"/>
    <w:rsid w:val="00A51A64"/>
    <w:rsid w:val="00A51A85"/>
    <w:rsid w:val="00A53E27"/>
    <w:rsid w:val="00A54707"/>
    <w:rsid w:val="00A555A6"/>
    <w:rsid w:val="00A555DC"/>
    <w:rsid w:val="00A556DE"/>
    <w:rsid w:val="00A55B03"/>
    <w:rsid w:val="00A55DC7"/>
    <w:rsid w:val="00A56DCA"/>
    <w:rsid w:val="00A57514"/>
    <w:rsid w:val="00A608D2"/>
    <w:rsid w:val="00A60A7C"/>
    <w:rsid w:val="00A63118"/>
    <w:rsid w:val="00A63947"/>
    <w:rsid w:val="00A64063"/>
    <w:rsid w:val="00A64DD4"/>
    <w:rsid w:val="00A6526E"/>
    <w:rsid w:val="00A66962"/>
    <w:rsid w:val="00A70049"/>
    <w:rsid w:val="00A700D2"/>
    <w:rsid w:val="00A71831"/>
    <w:rsid w:val="00A72295"/>
    <w:rsid w:val="00A72310"/>
    <w:rsid w:val="00A72611"/>
    <w:rsid w:val="00A72FE5"/>
    <w:rsid w:val="00A73091"/>
    <w:rsid w:val="00A7328B"/>
    <w:rsid w:val="00A73DA1"/>
    <w:rsid w:val="00A73EF0"/>
    <w:rsid w:val="00A74112"/>
    <w:rsid w:val="00A74B3D"/>
    <w:rsid w:val="00A7504B"/>
    <w:rsid w:val="00A76160"/>
    <w:rsid w:val="00A76521"/>
    <w:rsid w:val="00A77154"/>
    <w:rsid w:val="00A77462"/>
    <w:rsid w:val="00A775F1"/>
    <w:rsid w:val="00A8034E"/>
    <w:rsid w:val="00A80774"/>
    <w:rsid w:val="00A81005"/>
    <w:rsid w:val="00A81543"/>
    <w:rsid w:val="00A825FF"/>
    <w:rsid w:val="00A8294F"/>
    <w:rsid w:val="00A8297B"/>
    <w:rsid w:val="00A841C9"/>
    <w:rsid w:val="00A84E08"/>
    <w:rsid w:val="00A851FA"/>
    <w:rsid w:val="00A85602"/>
    <w:rsid w:val="00A85A19"/>
    <w:rsid w:val="00A8631F"/>
    <w:rsid w:val="00A86D6A"/>
    <w:rsid w:val="00A90046"/>
    <w:rsid w:val="00A90542"/>
    <w:rsid w:val="00A90A3E"/>
    <w:rsid w:val="00A9101B"/>
    <w:rsid w:val="00A91A56"/>
    <w:rsid w:val="00A91A5F"/>
    <w:rsid w:val="00A91FD2"/>
    <w:rsid w:val="00A92D5F"/>
    <w:rsid w:val="00A93845"/>
    <w:rsid w:val="00A94ED5"/>
    <w:rsid w:val="00A953AC"/>
    <w:rsid w:val="00A95437"/>
    <w:rsid w:val="00A95523"/>
    <w:rsid w:val="00A96705"/>
    <w:rsid w:val="00A968C9"/>
    <w:rsid w:val="00A9696C"/>
    <w:rsid w:val="00A977B0"/>
    <w:rsid w:val="00AA07C3"/>
    <w:rsid w:val="00AA0987"/>
    <w:rsid w:val="00AA1E72"/>
    <w:rsid w:val="00AA274A"/>
    <w:rsid w:val="00AA3595"/>
    <w:rsid w:val="00AA4582"/>
    <w:rsid w:val="00AA4649"/>
    <w:rsid w:val="00AA5177"/>
    <w:rsid w:val="00AA54D3"/>
    <w:rsid w:val="00AA55C7"/>
    <w:rsid w:val="00AA6367"/>
    <w:rsid w:val="00AA6ED9"/>
    <w:rsid w:val="00AA7215"/>
    <w:rsid w:val="00AA7CAF"/>
    <w:rsid w:val="00AB0046"/>
    <w:rsid w:val="00AB0C38"/>
    <w:rsid w:val="00AB1750"/>
    <w:rsid w:val="00AB1878"/>
    <w:rsid w:val="00AB1C75"/>
    <w:rsid w:val="00AB24F1"/>
    <w:rsid w:val="00AB365E"/>
    <w:rsid w:val="00AB443B"/>
    <w:rsid w:val="00AB44CD"/>
    <w:rsid w:val="00AB4667"/>
    <w:rsid w:val="00AB4E1B"/>
    <w:rsid w:val="00AB4EA7"/>
    <w:rsid w:val="00AB5AF3"/>
    <w:rsid w:val="00AB6B43"/>
    <w:rsid w:val="00AB6E51"/>
    <w:rsid w:val="00AB7A71"/>
    <w:rsid w:val="00AB7C65"/>
    <w:rsid w:val="00AC0A98"/>
    <w:rsid w:val="00AC1729"/>
    <w:rsid w:val="00AC2954"/>
    <w:rsid w:val="00AC2E5B"/>
    <w:rsid w:val="00AC3200"/>
    <w:rsid w:val="00AC3300"/>
    <w:rsid w:val="00AC41AA"/>
    <w:rsid w:val="00AC420C"/>
    <w:rsid w:val="00AC50F2"/>
    <w:rsid w:val="00AC6147"/>
    <w:rsid w:val="00AC6261"/>
    <w:rsid w:val="00AC63A4"/>
    <w:rsid w:val="00AC645F"/>
    <w:rsid w:val="00AC6DDB"/>
    <w:rsid w:val="00AC779C"/>
    <w:rsid w:val="00AD12AC"/>
    <w:rsid w:val="00AD1536"/>
    <w:rsid w:val="00AD1C9E"/>
    <w:rsid w:val="00AD27B4"/>
    <w:rsid w:val="00AD32F7"/>
    <w:rsid w:val="00AD334E"/>
    <w:rsid w:val="00AD3A95"/>
    <w:rsid w:val="00AD3DB0"/>
    <w:rsid w:val="00AD4519"/>
    <w:rsid w:val="00AD584B"/>
    <w:rsid w:val="00AD5DC0"/>
    <w:rsid w:val="00AD5FD7"/>
    <w:rsid w:val="00AD63D3"/>
    <w:rsid w:val="00AD65BA"/>
    <w:rsid w:val="00AD6B5D"/>
    <w:rsid w:val="00AD7027"/>
    <w:rsid w:val="00AE120E"/>
    <w:rsid w:val="00AE17A1"/>
    <w:rsid w:val="00AE22BE"/>
    <w:rsid w:val="00AE244F"/>
    <w:rsid w:val="00AE5544"/>
    <w:rsid w:val="00AE6D16"/>
    <w:rsid w:val="00AE6E66"/>
    <w:rsid w:val="00AE70AA"/>
    <w:rsid w:val="00AE73F3"/>
    <w:rsid w:val="00AF0271"/>
    <w:rsid w:val="00AF099F"/>
    <w:rsid w:val="00AF1218"/>
    <w:rsid w:val="00AF12CD"/>
    <w:rsid w:val="00AF190A"/>
    <w:rsid w:val="00AF1BD5"/>
    <w:rsid w:val="00AF1CA0"/>
    <w:rsid w:val="00AF1E89"/>
    <w:rsid w:val="00AF1FFD"/>
    <w:rsid w:val="00AF205D"/>
    <w:rsid w:val="00AF242C"/>
    <w:rsid w:val="00AF2EC5"/>
    <w:rsid w:val="00AF3022"/>
    <w:rsid w:val="00AF3241"/>
    <w:rsid w:val="00AF4235"/>
    <w:rsid w:val="00AF489E"/>
    <w:rsid w:val="00AF5E98"/>
    <w:rsid w:val="00AF5ED0"/>
    <w:rsid w:val="00AF68D2"/>
    <w:rsid w:val="00AF74C8"/>
    <w:rsid w:val="00AF7B4A"/>
    <w:rsid w:val="00AF7DE7"/>
    <w:rsid w:val="00B00085"/>
    <w:rsid w:val="00B00966"/>
    <w:rsid w:val="00B00DE8"/>
    <w:rsid w:val="00B011F2"/>
    <w:rsid w:val="00B0247F"/>
    <w:rsid w:val="00B02A41"/>
    <w:rsid w:val="00B02B0D"/>
    <w:rsid w:val="00B0343C"/>
    <w:rsid w:val="00B036E0"/>
    <w:rsid w:val="00B03AF2"/>
    <w:rsid w:val="00B03D11"/>
    <w:rsid w:val="00B04268"/>
    <w:rsid w:val="00B049D7"/>
    <w:rsid w:val="00B04A6B"/>
    <w:rsid w:val="00B04F49"/>
    <w:rsid w:val="00B05191"/>
    <w:rsid w:val="00B0527D"/>
    <w:rsid w:val="00B0532B"/>
    <w:rsid w:val="00B05EF9"/>
    <w:rsid w:val="00B067C3"/>
    <w:rsid w:val="00B06E02"/>
    <w:rsid w:val="00B07348"/>
    <w:rsid w:val="00B100AC"/>
    <w:rsid w:val="00B103A6"/>
    <w:rsid w:val="00B1053E"/>
    <w:rsid w:val="00B1082C"/>
    <w:rsid w:val="00B10A61"/>
    <w:rsid w:val="00B110AB"/>
    <w:rsid w:val="00B110C1"/>
    <w:rsid w:val="00B12155"/>
    <w:rsid w:val="00B12935"/>
    <w:rsid w:val="00B129B7"/>
    <w:rsid w:val="00B12B2D"/>
    <w:rsid w:val="00B13128"/>
    <w:rsid w:val="00B13721"/>
    <w:rsid w:val="00B13C4B"/>
    <w:rsid w:val="00B16262"/>
    <w:rsid w:val="00B16A1D"/>
    <w:rsid w:val="00B16BE0"/>
    <w:rsid w:val="00B16C80"/>
    <w:rsid w:val="00B170A3"/>
    <w:rsid w:val="00B1783A"/>
    <w:rsid w:val="00B17ADD"/>
    <w:rsid w:val="00B20173"/>
    <w:rsid w:val="00B201FA"/>
    <w:rsid w:val="00B20366"/>
    <w:rsid w:val="00B209F4"/>
    <w:rsid w:val="00B20BB9"/>
    <w:rsid w:val="00B20C95"/>
    <w:rsid w:val="00B20F01"/>
    <w:rsid w:val="00B2122C"/>
    <w:rsid w:val="00B21242"/>
    <w:rsid w:val="00B22D04"/>
    <w:rsid w:val="00B23068"/>
    <w:rsid w:val="00B237FA"/>
    <w:rsid w:val="00B2387C"/>
    <w:rsid w:val="00B23FEF"/>
    <w:rsid w:val="00B24250"/>
    <w:rsid w:val="00B2429A"/>
    <w:rsid w:val="00B24448"/>
    <w:rsid w:val="00B24950"/>
    <w:rsid w:val="00B24D9B"/>
    <w:rsid w:val="00B24E45"/>
    <w:rsid w:val="00B24EA2"/>
    <w:rsid w:val="00B25A0E"/>
    <w:rsid w:val="00B2623A"/>
    <w:rsid w:val="00B26519"/>
    <w:rsid w:val="00B26E23"/>
    <w:rsid w:val="00B27B66"/>
    <w:rsid w:val="00B3002A"/>
    <w:rsid w:val="00B30A94"/>
    <w:rsid w:val="00B30B56"/>
    <w:rsid w:val="00B30D6F"/>
    <w:rsid w:val="00B31322"/>
    <w:rsid w:val="00B31D49"/>
    <w:rsid w:val="00B32126"/>
    <w:rsid w:val="00B329C7"/>
    <w:rsid w:val="00B33729"/>
    <w:rsid w:val="00B34F16"/>
    <w:rsid w:val="00B35DC3"/>
    <w:rsid w:val="00B36A14"/>
    <w:rsid w:val="00B3738D"/>
    <w:rsid w:val="00B378BA"/>
    <w:rsid w:val="00B37E10"/>
    <w:rsid w:val="00B37F65"/>
    <w:rsid w:val="00B37F8A"/>
    <w:rsid w:val="00B40C9B"/>
    <w:rsid w:val="00B40E83"/>
    <w:rsid w:val="00B414B6"/>
    <w:rsid w:val="00B4152F"/>
    <w:rsid w:val="00B417F7"/>
    <w:rsid w:val="00B418FB"/>
    <w:rsid w:val="00B41A74"/>
    <w:rsid w:val="00B41DDD"/>
    <w:rsid w:val="00B41FED"/>
    <w:rsid w:val="00B42914"/>
    <w:rsid w:val="00B42F86"/>
    <w:rsid w:val="00B432B9"/>
    <w:rsid w:val="00B43A5C"/>
    <w:rsid w:val="00B44C1C"/>
    <w:rsid w:val="00B45BCB"/>
    <w:rsid w:val="00B45C7E"/>
    <w:rsid w:val="00B4647C"/>
    <w:rsid w:val="00B466BC"/>
    <w:rsid w:val="00B47730"/>
    <w:rsid w:val="00B51846"/>
    <w:rsid w:val="00B5196B"/>
    <w:rsid w:val="00B5197A"/>
    <w:rsid w:val="00B52123"/>
    <w:rsid w:val="00B52192"/>
    <w:rsid w:val="00B529DF"/>
    <w:rsid w:val="00B53232"/>
    <w:rsid w:val="00B538A7"/>
    <w:rsid w:val="00B541D3"/>
    <w:rsid w:val="00B542CF"/>
    <w:rsid w:val="00B5559A"/>
    <w:rsid w:val="00B55E9E"/>
    <w:rsid w:val="00B56453"/>
    <w:rsid w:val="00B566E2"/>
    <w:rsid w:val="00B573FE"/>
    <w:rsid w:val="00B57DC1"/>
    <w:rsid w:val="00B602EC"/>
    <w:rsid w:val="00B6079A"/>
    <w:rsid w:val="00B608A3"/>
    <w:rsid w:val="00B60FE8"/>
    <w:rsid w:val="00B6108F"/>
    <w:rsid w:val="00B61869"/>
    <w:rsid w:val="00B61C85"/>
    <w:rsid w:val="00B625C3"/>
    <w:rsid w:val="00B62756"/>
    <w:rsid w:val="00B63FEA"/>
    <w:rsid w:val="00B64205"/>
    <w:rsid w:val="00B64364"/>
    <w:rsid w:val="00B646BF"/>
    <w:rsid w:val="00B64E42"/>
    <w:rsid w:val="00B654DB"/>
    <w:rsid w:val="00B657E8"/>
    <w:rsid w:val="00B65833"/>
    <w:rsid w:val="00B65A2D"/>
    <w:rsid w:val="00B65BBE"/>
    <w:rsid w:val="00B66261"/>
    <w:rsid w:val="00B66672"/>
    <w:rsid w:val="00B669A6"/>
    <w:rsid w:val="00B67B77"/>
    <w:rsid w:val="00B703AF"/>
    <w:rsid w:val="00B708FB"/>
    <w:rsid w:val="00B711C3"/>
    <w:rsid w:val="00B71339"/>
    <w:rsid w:val="00B716C8"/>
    <w:rsid w:val="00B721C7"/>
    <w:rsid w:val="00B7263B"/>
    <w:rsid w:val="00B72BCF"/>
    <w:rsid w:val="00B72E9D"/>
    <w:rsid w:val="00B72F2F"/>
    <w:rsid w:val="00B73395"/>
    <w:rsid w:val="00B738DC"/>
    <w:rsid w:val="00B7424D"/>
    <w:rsid w:val="00B74475"/>
    <w:rsid w:val="00B74858"/>
    <w:rsid w:val="00B74960"/>
    <w:rsid w:val="00B74D9E"/>
    <w:rsid w:val="00B75DEF"/>
    <w:rsid w:val="00B76064"/>
    <w:rsid w:val="00B772DC"/>
    <w:rsid w:val="00B77876"/>
    <w:rsid w:val="00B80307"/>
    <w:rsid w:val="00B809F2"/>
    <w:rsid w:val="00B81142"/>
    <w:rsid w:val="00B816B8"/>
    <w:rsid w:val="00B82272"/>
    <w:rsid w:val="00B82360"/>
    <w:rsid w:val="00B82F6E"/>
    <w:rsid w:val="00B832B4"/>
    <w:rsid w:val="00B834AF"/>
    <w:rsid w:val="00B83D67"/>
    <w:rsid w:val="00B843FE"/>
    <w:rsid w:val="00B84D8D"/>
    <w:rsid w:val="00B84E02"/>
    <w:rsid w:val="00B85D1A"/>
    <w:rsid w:val="00B85F9A"/>
    <w:rsid w:val="00B8608B"/>
    <w:rsid w:val="00B86B13"/>
    <w:rsid w:val="00B87435"/>
    <w:rsid w:val="00B87481"/>
    <w:rsid w:val="00B87995"/>
    <w:rsid w:val="00B906CA"/>
    <w:rsid w:val="00B907BB"/>
    <w:rsid w:val="00B90A20"/>
    <w:rsid w:val="00B90E95"/>
    <w:rsid w:val="00B9144F"/>
    <w:rsid w:val="00B924EC"/>
    <w:rsid w:val="00B9309A"/>
    <w:rsid w:val="00B93219"/>
    <w:rsid w:val="00B93271"/>
    <w:rsid w:val="00B9341C"/>
    <w:rsid w:val="00B9351A"/>
    <w:rsid w:val="00B93839"/>
    <w:rsid w:val="00B93FD2"/>
    <w:rsid w:val="00B95110"/>
    <w:rsid w:val="00B95876"/>
    <w:rsid w:val="00B96172"/>
    <w:rsid w:val="00B9621C"/>
    <w:rsid w:val="00B9632D"/>
    <w:rsid w:val="00B976B5"/>
    <w:rsid w:val="00BA0C6C"/>
    <w:rsid w:val="00BA1B27"/>
    <w:rsid w:val="00BA1E27"/>
    <w:rsid w:val="00BA2285"/>
    <w:rsid w:val="00BA288F"/>
    <w:rsid w:val="00BA28CC"/>
    <w:rsid w:val="00BA2FDE"/>
    <w:rsid w:val="00BA376D"/>
    <w:rsid w:val="00BA39C4"/>
    <w:rsid w:val="00BA5399"/>
    <w:rsid w:val="00BA5F4E"/>
    <w:rsid w:val="00BA5FDD"/>
    <w:rsid w:val="00BA6673"/>
    <w:rsid w:val="00BA6AD2"/>
    <w:rsid w:val="00BA6B11"/>
    <w:rsid w:val="00BA6D69"/>
    <w:rsid w:val="00BA6F24"/>
    <w:rsid w:val="00BA707E"/>
    <w:rsid w:val="00BA7B75"/>
    <w:rsid w:val="00BA7B94"/>
    <w:rsid w:val="00BA7E6D"/>
    <w:rsid w:val="00BB059C"/>
    <w:rsid w:val="00BB0DAE"/>
    <w:rsid w:val="00BB0DBD"/>
    <w:rsid w:val="00BB0FA6"/>
    <w:rsid w:val="00BB1069"/>
    <w:rsid w:val="00BB106E"/>
    <w:rsid w:val="00BB11E9"/>
    <w:rsid w:val="00BB14D2"/>
    <w:rsid w:val="00BB1BC3"/>
    <w:rsid w:val="00BB27DB"/>
    <w:rsid w:val="00BB2AD2"/>
    <w:rsid w:val="00BB3D3C"/>
    <w:rsid w:val="00BB45A9"/>
    <w:rsid w:val="00BB4F85"/>
    <w:rsid w:val="00BB5024"/>
    <w:rsid w:val="00BB55DF"/>
    <w:rsid w:val="00BB5FA3"/>
    <w:rsid w:val="00BB76BF"/>
    <w:rsid w:val="00BC02C9"/>
    <w:rsid w:val="00BC03C8"/>
    <w:rsid w:val="00BC2554"/>
    <w:rsid w:val="00BC2583"/>
    <w:rsid w:val="00BC280E"/>
    <w:rsid w:val="00BC2C38"/>
    <w:rsid w:val="00BC2D54"/>
    <w:rsid w:val="00BC3134"/>
    <w:rsid w:val="00BC376A"/>
    <w:rsid w:val="00BC392D"/>
    <w:rsid w:val="00BC4AFD"/>
    <w:rsid w:val="00BC4CB2"/>
    <w:rsid w:val="00BC6426"/>
    <w:rsid w:val="00BC65EF"/>
    <w:rsid w:val="00BC6B51"/>
    <w:rsid w:val="00BC7265"/>
    <w:rsid w:val="00BC7C00"/>
    <w:rsid w:val="00BD01E6"/>
    <w:rsid w:val="00BD0223"/>
    <w:rsid w:val="00BD0265"/>
    <w:rsid w:val="00BD0C34"/>
    <w:rsid w:val="00BD0DFE"/>
    <w:rsid w:val="00BD174A"/>
    <w:rsid w:val="00BD1F2A"/>
    <w:rsid w:val="00BD209D"/>
    <w:rsid w:val="00BD2116"/>
    <w:rsid w:val="00BD25FB"/>
    <w:rsid w:val="00BD2711"/>
    <w:rsid w:val="00BD369D"/>
    <w:rsid w:val="00BD3834"/>
    <w:rsid w:val="00BD3B54"/>
    <w:rsid w:val="00BD3B97"/>
    <w:rsid w:val="00BD3E27"/>
    <w:rsid w:val="00BD462D"/>
    <w:rsid w:val="00BD4784"/>
    <w:rsid w:val="00BD4A93"/>
    <w:rsid w:val="00BD4E44"/>
    <w:rsid w:val="00BD6A65"/>
    <w:rsid w:val="00BD756E"/>
    <w:rsid w:val="00BD76D4"/>
    <w:rsid w:val="00BE16B2"/>
    <w:rsid w:val="00BE17C6"/>
    <w:rsid w:val="00BE1C49"/>
    <w:rsid w:val="00BE1D66"/>
    <w:rsid w:val="00BE1F9B"/>
    <w:rsid w:val="00BE2100"/>
    <w:rsid w:val="00BE2721"/>
    <w:rsid w:val="00BE3398"/>
    <w:rsid w:val="00BE3676"/>
    <w:rsid w:val="00BE44BE"/>
    <w:rsid w:val="00BE478E"/>
    <w:rsid w:val="00BE52A7"/>
    <w:rsid w:val="00BE5A27"/>
    <w:rsid w:val="00BE5C73"/>
    <w:rsid w:val="00BE6677"/>
    <w:rsid w:val="00BE7049"/>
    <w:rsid w:val="00BE708F"/>
    <w:rsid w:val="00BE7723"/>
    <w:rsid w:val="00BF10F5"/>
    <w:rsid w:val="00BF1593"/>
    <w:rsid w:val="00BF196E"/>
    <w:rsid w:val="00BF33C4"/>
    <w:rsid w:val="00BF3625"/>
    <w:rsid w:val="00BF3781"/>
    <w:rsid w:val="00BF3966"/>
    <w:rsid w:val="00BF3A53"/>
    <w:rsid w:val="00BF3B6B"/>
    <w:rsid w:val="00BF41E2"/>
    <w:rsid w:val="00BF466D"/>
    <w:rsid w:val="00BF5936"/>
    <w:rsid w:val="00BF62D3"/>
    <w:rsid w:val="00BF662F"/>
    <w:rsid w:val="00BF7316"/>
    <w:rsid w:val="00BF7DD9"/>
    <w:rsid w:val="00C0025C"/>
    <w:rsid w:val="00C0099A"/>
    <w:rsid w:val="00C00B59"/>
    <w:rsid w:val="00C012E6"/>
    <w:rsid w:val="00C02276"/>
    <w:rsid w:val="00C024A9"/>
    <w:rsid w:val="00C02536"/>
    <w:rsid w:val="00C032BF"/>
    <w:rsid w:val="00C0398A"/>
    <w:rsid w:val="00C03A0A"/>
    <w:rsid w:val="00C04181"/>
    <w:rsid w:val="00C04331"/>
    <w:rsid w:val="00C04B0A"/>
    <w:rsid w:val="00C05184"/>
    <w:rsid w:val="00C06BE3"/>
    <w:rsid w:val="00C06F91"/>
    <w:rsid w:val="00C07085"/>
    <w:rsid w:val="00C07293"/>
    <w:rsid w:val="00C07C2B"/>
    <w:rsid w:val="00C1022A"/>
    <w:rsid w:val="00C10F9E"/>
    <w:rsid w:val="00C1174C"/>
    <w:rsid w:val="00C12A73"/>
    <w:rsid w:val="00C13742"/>
    <w:rsid w:val="00C14078"/>
    <w:rsid w:val="00C14CAF"/>
    <w:rsid w:val="00C1518C"/>
    <w:rsid w:val="00C156DF"/>
    <w:rsid w:val="00C157CD"/>
    <w:rsid w:val="00C15AEF"/>
    <w:rsid w:val="00C16110"/>
    <w:rsid w:val="00C1636B"/>
    <w:rsid w:val="00C16F6E"/>
    <w:rsid w:val="00C17244"/>
    <w:rsid w:val="00C173DC"/>
    <w:rsid w:val="00C17491"/>
    <w:rsid w:val="00C20200"/>
    <w:rsid w:val="00C2042B"/>
    <w:rsid w:val="00C205BF"/>
    <w:rsid w:val="00C20631"/>
    <w:rsid w:val="00C20868"/>
    <w:rsid w:val="00C22592"/>
    <w:rsid w:val="00C22672"/>
    <w:rsid w:val="00C22C28"/>
    <w:rsid w:val="00C23173"/>
    <w:rsid w:val="00C2330F"/>
    <w:rsid w:val="00C23B2D"/>
    <w:rsid w:val="00C2406A"/>
    <w:rsid w:val="00C2409D"/>
    <w:rsid w:val="00C248F3"/>
    <w:rsid w:val="00C24A17"/>
    <w:rsid w:val="00C24DBE"/>
    <w:rsid w:val="00C25FA5"/>
    <w:rsid w:val="00C26351"/>
    <w:rsid w:val="00C26FED"/>
    <w:rsid w:val="00C27662"/>
    <w:rsid w:val="00C27DB0"/>
    <w:rsid w:val="00C304B9"/>
    <w:rsid w:val="00C30D70"/>
    <w:rsid w:val="00C30F29"/>
    <w:rsid w:val="00C311D2"/>
    <w:rsid w:val="00C31729"/>
    <w:rsid w:val="00C31A7B"/>
    <w:rsid w:val="00C31DA6"/>
    <w:rsid w:val="00C320D1"/>
    <w:rsid w:val="00C32154"/>
    <w:rsid w:val="00C331F6"/>
    <w:rsid w:val="00C3320C"/>
    <w:rsid w:val="00C33489"/>
    <w:rsid w:val="00C346C5"/>
    <w:rsid w:val="00C34BD6"/>
    <w:rsid w:val="00C34BF2"/>
    <w:rsid w:val="00C34E44"/>
    <w:rsid w:val="00C35849"/>
    <w:rsid w:val="00C35C17"/>
    <w:rsid w:val="00C36431"/>
    <w:rsid w:val="00C3669A"/>
    <w:rsid w:val="00C36718"/>
    <w:rsid w:val="00C3675D"/>
    <w:rsid w:val="00C370BE"/>
    <w:rsid w:val="00C370E6"/>
    <w:rsid w:val="00C3726E"/>
    <w:rsid w:val="00C373E3"/>
    <w:rsid w:val="00C3755D"/>
    <w:rsid w:val="00C3758A"/>
    <w:rsid w:val="00C3796D"/>
    <w:rsid w:val="00C4018A"/>
    <w:rsid w:val="00C40557"/>
    <w:rsid w:val="00C41F11"/>
    <w:rsid w:val="00C422BA"/>
    <w:rsid w:val="00C4277C"/>
    <w:rsid w:val="00C42992"/>
    <w:rsid w:val="00C42B66"/>
    <w:rsid w:val="00C431F9"/>
    <w:rsid w:val="00C4338C"/>
    <w:rsid w:val="00C4395A"/>
    <w:rsid w:val="00C43EE2"/>
    <w:rsid w:val="00C445D2"/>
    <w:rsid w:val="00C44EEA"/>
    <w:rsid w:val="00C454D3"/>
    <w:rsid w:val="00C4551F"/>
    <w:rsid w:val="00C4733D"/>
    <w:rsid w:val="00C47D8D"/>
    <w:rsid w:val="00C50227"/>
    <w:rsid w:val="00C50296"/>
    <w:rsid w:val="00C50631"/>
    <w:rsid w:val="00C50B51"/>
    <w:rsid w:val="00C50B99"/>
    <w:rsid w:val="00C514DD"/>
    <w:rsid w:val="00C522AE"/>
    <w:rsid w:val="00C52B8B"/>
    <w:rsid w:val="00C52C8E"/>
    <w:rsid w:val="00C536AD"/>
    <w:rsid w:val="00C53B42"/>
    <w:rsid w:val="00C53FE2"/>
    <w:rsid w:val="00C54440"/>
    <w:rsid w:val="00C544EB"/>
    <w:rsid w:val="00C54573"/>
    <w:rsid w:val="00C54FCA"/>
    <w:rsid w:val="00C55A10"/>
    <w:rsid w:val="00C5705A"/>
    <w:rsid w:val="00C570F8"/>
    <w:rsid w:val="00C5757B"/>
    <w:rsid w:val="00C60682"/>
    <w:rsid w:val="00C61620"/>
    <w:rsid w:val="00C6163A"/>
    <w:rsid w:val="00C61C61"/>
    <w:rsid w:val="00C61CDC"/>
    <w:rsid w:val="00C62849"/>
    <w:rsid w:val="00C62B54"/>
    <w:rsid w:val="00C63BFF"/>
    <w:rsid w:val="00C63E05"/>
    <w:rsid w:val="00C647A9"/>
    <w:rsid w:val="00C648DC"/>
    <w:rsid w:val="00C6498C"/>
    <w:rsid w:val="00C652D4"/>
    <w:rsid w:val="00C65416"/>
    <w:rsid w:val="00C65450"/>
    <w:rsid w:val="00C660F5"/>
    <w:rsid w:val="00C66B1D"/>
    <w:rsid w:val="00C66F48"/>
    <w:rsid w:val="00C66F7C"/>
    <w:rsid w:val="00C67DE6"/>
    <w:rsid w:val="00C70992"/>
    <w:rsid w:val="00C70DD2"/>
    <w:rsid w:val="00C70E7B"/>
    <w:rsid w:val="00C70FB7"/>
    <w:rsid w:val="00C71ECC"/>
    <w:rsid w:val="00C72624"/>
    <w:rsid w:val="00C72B02"/>
    <w:rsid w:val="00C73808"/>
    <w:rsid w:val="00C7384F"/>
    <w:rsid w:val="00C73984"/>
    <w:rsid w:val="00C747F6"/>
    <w:rsid w:val="00C74DAC"/>
    <w:rsid w:val="00C75F99"/>
    <w:rsid w:val="00C76712"/>
    <w:rsid w:val="00C76F0B"/>
    <w:rsid w:val="00C77324"/>
    <w:rsid w:val="00C77A13"/>
    <w:rsid w:val="00C80BC1"/>
    <w:rsid w:val="00C80C93"/>
    <w:rsid w:val="00C80F1A"/>
    <w:rsid w:val="00C814E4"/>
    <w:rsid w:val="00C818E7"/>
    <w:rsid w:val="00C823FA"/>
    <w:rsid w:val="00C828FC"/>
    <w:rsid w:val="00C82AD3"/>
    <w:rsid w:val="00C83494"/>
    <w:rsid w:val="00C846DA"/>
    <w:rsid w:val="00C853E8"/>
    <w:rsid w:val="00C85452"/>
    <w:rsid w:val="00C85532"/>
    <w:rsid w:val="00C860D0"/>
    <w:rsid w:val="00C8701E"/>
    <w:rsid w:val="00C873BC"/>
    <w:rsid w:val="00C87E68"/>
    <w:rsid w:val="00C87F8A"/>
    <w:rsid w:val="00C9046A"/>
    <w:rsid w:val="00C9048F"/>
    <w:rsid w:val="00C90F2E"/>
    <w:rsid w:val="00C91166"/>
    <w:rsid w:val="00C9192D"/>
    <w:rsid w:val="00C91A45"/>
    <w:rsid w:val="00C93859"/>
    <w:rsid w:val="00C93B71"/>
    <w:rsid w:val="00C942FA"/>
    <w:rsid w:val="00C94BBF"/>
    <w:rsid w:val="00C956DB"/>
    <w:rsid w:val="00C95C27"/>
    <w:rsid w:val="00C95DF8"/>
    <w:rsid w:val="00C9617A"/>
    <w:rsid w:val="00C96244"/>
    <w:rsid w:val="00C9678B"/>
    <w:rsid w:val="00C9680B"/>
    <w:rsid w:val="00C96FF7"/>
    <w:rsid w:val="00C977E8"/>
    <w:rsid w:val="00CA0F20"/>
    <w:rsid w:val="00CA17BD"/>
    <w:rsid w:val="00CA1A2A"/>
    <w:rsid w:val="00CA1DC5"/>
    <w:rsid w:val="00CA22C4"/>
    <w:rsid w:val="00CA2753"/>
    <w:rsid w:val="00CA2BE7"/>
    <w:rsid w:val="00CA2F18"/>
    <w:rsid w:val="00CA34ED"/>
    <w:rsid w:val="00CA3F79"/>
    <w:rsid w:val="00CA4187"/>
    <w:rsid w:val="00CA41AB"/>
    <w:rsid w:val="00CA45AD"/>
    <w:rsid w:val="00CA46B8"/>
    <w:rsid w:val="00CA4B97"/>
    <w:rsid w:val="00CA4D46"/>
    <w:rsid w:val="00CA5E8D"/>
    <w:rsid w:val="00CA68C9"/>
    <w:rsid w:val="00CA69AE"/>
    <w:rsid w:val="00CA77E3"/>
    <w:rsid w:val="00CA7C01"/>
    <w:rsid w:val="00CA7CA8"/>
    <w:rsid w:val="00CA7EB4"/>
    <w:rsid w:val="00CB019A"/>
    <w:rsid w:val="00CB0ED7"/>
    <w:rsid w:val="00CB15CA"/>
    <w:rsid w:val="00CB19A5"/>
    <w:rsid w:val="00CB1C7E"/>
    <w:rsid w:val="00CB2E15"/>
    <w:rsid w:val="00CB2E79"/>
    <w:rsid w:val="00CB2FA2"/>
    <w:rsid w:val="00CB39AF"/>
    <w:rsid w:val="00CB3AA1"/>
    <w:rsid w:val="00CB3CB9"/>
    <w:rsid w:val="00CB49E4"/>
    <w:rsid w:val="00CB54D4"/>
    <w:rsid w:val="00CB57A1"/>
    <w:rsid w:val="00CB57D8"/>
    <w:rsid w:val="00CB5A40"/>
    <w:rsid w:val="00CB5EAF"/>
    <w:rsid w:val="00CB5FC6"/>
    <w:rsid w:val="00CB6ED8"/>
    <w:rsid w:val="00CB7482"/>
    <w:rsid w:val="00CB7771"/>
    <w:rsid w:val="00CB7A7A"/>
    <w:rsid w:val="00CB7FEE"/>
    <w:rsid w:val="00CC0687"/>
    <w:rsid w:val="00CC0B06"/>
    <w:rsid w:val="00CC1AAA"/>
    <w:rsid w:val="00CC1E51"/>
    <w:rsid w:val="00CC3186"/>
    <w:rsid w:val="00CC4022"/>
    <w:rsid w:val="00CC4216"/>
    <w:rsid w:val="00CC449A"/>
    <w:rsid w:val="00CC4BE9"/>
    <w:rsid w:val="00CC4D42"/>
    <w:rsid w:val="00CC51BE"/>
    <w:rsid w:val="00CC52AC"/>
    <w:rsid w:val="00CC5B57"/>
    <w:rsid w:val="00CC5BFC"/>
    <w:rsid w:val="00CC5F6E"/>
    <w:rsid w:val="00CC75BE"/>
    <w:rsid w:val="00CC75D4"/>
    <w:rsid w:val="00CC79D5"/>
    <w:rsid w:val="00CC7D7B"/>
    <w:rsid w:val="00CC7D8F"/>
    <w:rsid w:val="00CD031C"/>
    <w:rsid w:val="00CD03D6"/>
    <w:rsid w:val="00CD070B"/>
    <w:rsid w:val="00CD2A1F"/>
    <w:rsid w:val="00CD2F95"/>
    <w:rsid w:val="00CD3064"/>
    <w:rsid w:val="00CD3441"/>
    <w:rsid w:val="00CD390B"/>
    <w:rsid w:val="00CD394B"/>
    <w:rsid w:val="00CD4152"/>
    <w:rsid w:val="00CD4483"/>
    <w:rsid w:val="00CD46ED"/>
    <w:rsid w:val="00CD477E"/>
    <w:rsid w:val="00CD4B7F"/>
    <w:rsid w:val="00CD4C41"/>
    <w:rsid w:val="00CD5CE1"/>
    <w:rsid w:val="00CD628F"/>
    <w:rsid w:val="00CD62FE"/>
    <w:rsid w:val="00CD766B"/>
    <w:rsid w:val="00CD7EB6"/>
    <w:rsid w:val="00CE04DE"/>
    <w:rsid w:val="00CE0567"/>
    <w:rsid w:val="00CE0926"/>
    <w:rsid w:val="00CE0E84"/>
    <w:rsid w:val="00CE10B1"/>
    <w:rsid w:val="00CE14D6"/>
    <w:rsid w:val="00CE153D"/>
    <w:rsid w:val="00CE1D7B"/>
    <w:rsid w:val="00CE2118"/>
    <w:rsid w:val="00CE243F"/>
    <w:rsid w:val="00CE3175"/>
    <w:rsid w:val="00CE3293"/>
    <w:rsid w:val="00CE3C6D"/>
    <w:rsid w:val="00CE3C82"/>
    <w:rsid w:val="00CE43B1"/>
    <w:rsid w:val="00CE45DB"/>
    <w:rsid w:val="00CE537D"/>
    <w:rsid w:val="00CE6D9E"/>
    <w:rsid w:val="00CE794B"/>
    <w:rsid w:val="00CE7C39"/>
    <w:rsid w:val="00CF05EA"/>
    <w:rsid w:val="00CF0C92"/>
    <w:rsid w:val="00CF0FB9"/>
    <w:rsid w:val="00CF248F"/>
    <w:rsid w:val="00CF3522"/>
    <w:rsid w:val="00CF3F37"/>
    <w:rsid w:val="00CF4A46"/>
    <w:rsid w:val="00CF4BD8"/>
    <w:rsid w:val="00CF5805"/>
    <w:rsid w:val="00CF581A"/>
    <w:rsid w:val="00CF6248"/>
    <w:rsid w:val="00CF74C0"/>
    <w:rsid w:val="00CF7897"/>
    <w:rsid w:val="00D009E0"/>
    <w:rsid w:val="00D013D9"/>
    <w:rsid w:val="00D01E38"/>
    <w:rsid w:val="00D026AB"/>
    <w:rsid w:val="00D0283B"/>
    <w:rsid w:val="00D02ABB"/>
    <w:rsid w:val="00D03BB9"/>
    <w:rsid w:val="00D03D4D"/>
    <w:rsid w:val="00D03F6C"/>
    <w:rsid w:val="00D0415C"/>
    <w:rsid w:val="00D04983"/>
    <w:rsid w:val="00D05778"/>
    <w:rsid w:val="00D070FF"/>
    <w:rsid w:val="00D075A4"/>
    <w:rsid w:val="00D07D94"/>
    <w:rsid w:val="00D1058E"/>
    <w:rsid w:val="00D12059"/>
    <w:rsid w:val="00D1239D"/>
    <w:rsid w:val="00D125DE"/>
    <w:rsid w:val="00D13777"/>
    <w:rsid w:val="00D13BB6"/>
    <w:rsid w:val="00D13C2D"/>
    <w:rsid w:val="00D1459C"/>
    <w:rsid w:val="00D151F0"/>
    <w:rsid w:val="00D15F8E"/>
    <w:rsid w:val="00D1690E"/>
    <w:rsid w:val="00D173A5"/>
    <w:rsid w:val="00D178E9"/>
    <w:rsid w:val="00D17B3F"/>
    <w:rsid w:val="00D17F1D"/>
    <w:rsid w:val="00D219D5"/>
    <w:rsid w:val="00D2203E"/>
    <w:rsid w:val="00D23513"/>
    <w:rsid w:val="00D237C9"/>
    <w:rsid w:val="00D245E2"/>
    <w:rsid w:val="00D24A53"/>
    <w:rsid w:val="00D24C69"/>
    <w:rsid w:val="00D251CF"/>
    <w:rsid w:val="00D252B8"/>
    <w:rsid w:val="00D267D6"/>
    <w:rsid w:val="00D2729A"/>
    <w:rsid w:val="00D27506"/>
    <w:rsid w:val="00D27E6C"/>
    <w:rsid w:val="00D30F5A"/>
    <w:rsid w:val="00D3198D"/>
    <w:rsid w:val="00D32A96"/>
    <w:rsid w:val="00D32EAB"/>
    <w:rsid w:val="00D3357B"/>
    <w:rsid w:val="00D34338"/>
    <w:rsid w:val="00D34688"/>
    <w:rsid w:val="00D35601"/>
    <w:rsid w:val="00D35F3B"/>
    <w:rsid w:val="00D36027"/>
    <w:rsid w:val="00D36337"/>
    <w:rsid w:val="00D36522"/>
    <w:rsid w:val="00D366B7"/>
    <w:rsid w:val="00D367F5"/>
    <w:rsid w:val="00D36C23"/>
    <w:rsid w:val="00D36FB2"/>
    <w:rsid w:val="00D375C7"/>
    <w:rsid w:val="00D3769E"/>
    <w:rsid w:val="00D40EAF"/>
    <w:rsid w:val="00D411A8"/>
    <w:rsid w:val="00D41B99"/>
    <w:rsid w:val="00D42249"/>
    <w:rsid w:val="00D4244A"/>
    <w:rsid w:val="00D42487"/>
    <w:rsid w:val="00D44CC7"/>
    <w:rsid w:val="00D45867"/>
    <w:rsid w:val="00D4595F"/>
    <w:rsid w:val="00D45CE3"/>
    <w:rsid w:val="00D46157"/>
    <w:rsid w:val="00D4646A"/>
    <w:rsid w:val="00D466A8"/>
    <w:rsid w:val="00D46A18"/>
    <w:rsid w:val="00D46BEF"/>
    <w:rsid w:val="00D47187"/>
    <w:rsid w:val="00D4751A"/>
    <w:rsid w:val="00D50011"/>
    <w:rsid w:val="00D500F2"/>
    <w:rsid w:val="00D5017E"/>
    <w:rsid w:val="00D508E4"/>
    <w:rsid w:val="00D50B2C"/>
    <w:rsid w:val="00D52284"/>
    <w:rsid w:val="00D5322C"/>
    <w:rsid w:val="00D533BF"/>
    <w:rsid w:val="00D53841"/>
    <w:rsid w:val="00D53C05"/>
    <w:rsid w:val="00D546B8"/>
    <w:rsid w:val="00D55294"/>
    <w:rsid w:val="00D56ACF"/>
    <w:rsid w:val="00D57152"/>
    <w:rsid w:val="00D57692"/>
    <w:rsid w:val="00D57AF1"/>
    <w:rsid w:val="00D60236"/>
    <w:rsid w:val="00D60B43"/>
    <w:rsid w:val="00D60C45"/>
    <w:rsid w:val="00D614C7"/>
    <w:rsid w:val="00D61E9C"/>
    <w:rsid w:val="00D61F93"/>
    <w:rsid w:val="00D623A8"/>
    <w:rsid w:val="00D62545"/>
    <w:rsid w:val="00D62EEF"/>
    <w:rsid w:val="00D6312F"/>
    <w:rsid w:val="00D63A3E"/>
    <w:rsid w:val="00D63D69"/>
    <w:rsid w:val="00D640F2"/>
    <w:rsid w:val="00D64236"/>
    <w:rsid w:val="00D642AD"/>
    <w:rsid w:val="00D64A40"/>
    <w:rsid w:val="00D64BD4"/>
    <w:rsid w:val="00D64E02"/>
    <w:rsid w:val="00D654E8"/>
    <w:rsid w:val="00D654FB"/>
    <w:rsid w:val="00D65619"/>
    <w:rsid w:val="00D66C42"/>
    <w:rsid w:val="00D67780"/>
    <w:rsid w:val="00D701C2"/>
    <w:rsid w:val="00D7055C"/>
    <w:rsid w:val="00D71468"/>
    <w:rsid w:val="00D7150F"/>
    <w:rsid w:val="00D7160C"/>
    <w:rsid w:val="00D71741"/>
    <w:rsid w:val="00D71C1F"/>
    <w:rsid w:val="00D71CE6"/>
    <w:rsid w:val="00D727B3"/>
    <w:rsid w:val="00D73210"/>
    <w:rsid w:val="00D73AD4"/>
    <w:rsid w:val="00D74862"/>
    <w:rsid w:val="00D756D2"/>
    <w:rsid w:val="00D75879"/>
    <w:rsid w:val="00D75908"/>
    <w:rsid w:val="00D75ECA"/>
    <w:rsid w:val="00D766A9"/>
    <w:rsid w:val="00D775CD"/>
    <w:rsid w:val="00D8005C"/>
    <w:rsid w:val="00D80A72"/>
    <w:rsid w:val="00D81003"/>
    <w:rsid w:val="00D81129"/>
    <w:rsid w:val="00D8152D"/>
    <w:rsid w:val="00D81A7D"/>
    <w:rsid w:val="00D8202C"/>
    <w:rsid w:val="00D82619"/>
    <w:rsid w:val="00D82F39"/>
    <w:rsid w:val="00D8378B"/>
    <w:rsid w:val="00D846D9"/>
    <w:rsid w:val="00D84CF1"/>
    <w:rsid w:val="00D84F1E"/>
    <w:rsid w:val="00D859E0"/>
    <w:rsid w:val="00D85CF7"/>
    <w:rsid w:val="00D863F7"/>
    <w:rsid w:val="00D87322"/>
    <w:rsid w:val="00D8792C"/>
    <w:rsid w:val="00D87974"/>
    <w:rsid w:val="00D87B4D"/>
    <w:rsid w:val="00D87C8F"/>
    <w:rsid w:val="00D87F7F"/>
    <w:rsid w:val="00D9076C"/>
    <w:rsid w:val="00D90F3C"/>
    <w:rsid w:val="00D91686"/>
    <w:rsid w:val="00D9181C"/>
    <w:rsid w:val="00D91841"/>
    <w:rsid w:val="00D918BC"/>
    <w:rsid w:val="00D9191D"/>
    <w:rsid w:val="00D91D95"/>
    <w:rsid w:val="00D91E5A"/>
    <w:rsid w:val="00D92454"/>
    <w:rsid w:val="00D9270B"/>
    <w:rsid w:val="00D927AB"/>
    <w:rsid w:val="00D927DF"/>
    <w:rsid w:val="00D93CB6"/>
    <w:rsid w:val="00D94506"/>
    <w:rsid w:val="00D94C19"/>
    <w:rsid w:val="00D94FA6"/>
    <w:rsid w:val="00D95DD1"/>
    <w:rsid w:val="00D96A20"/>
    <w:rsid w:val="00D97020"/>
    <w:rsid w:val="00DA2813"/>
    <w:rsid w:val="00DA2C32"/>
    <w:rsid w:val="00DA2DF2"/>
    <w:rsid w:val="00DA31ED"/>
    <w:rsid w:val="00DA36B3"/>
    <w:rsid w:val="00DA467B"/>
    <w:rsid w:val="00DA4DDB"/>
    <w:rsid w:val="00DA53B9"/>
    <w:rsid w:val="00DA64C9"/>
    <w:rsid w:val="00DA6B67"/>
    <w:rsid w:val="00DA7371"/>
    <w:rsid w:val="00DA74CE"/>
    <w:rsid w:val="00DA7705"/>
    <w:rsid w:val="00DA7878"/>
    <w:rsid w:val="00DA7F35"/>
    <w:rsid w:val="00DB005E"/>
    <w:rsid w:val="00DB0592"/>
    <w:rsid w:val="00DB0B44"/>
    <w:rsid w:val="00DB3023"/>
    <w:rsid w:val="00DB3613"/>
    <w:rsid w:val="00DB3DB1"/>
    <w:rsid w:val="00DB3E6A"/>
    <w:rsid w:val="00DB3FDB"/>
    <w:rsid w:val="00DB4D86"/>
    <w:rsid w:val="00DB514B"/>
    <w:rsid w:val="00DB5191"/>
    <w:rsid w:val="00DB5712"/>
    <w:rsid w:val="00DB5C0E"/>
    <w:rsid w:val="00DB6379"/>
    <w:rsid w:val="00DB64AA"/>
    <w:rsid w:val="00DB70EE"/>
    <w:rsid w:val="00DB75A4"/>
    <w:rsid w:val="00DB7827"/>
    <w:rsid w:val="00DB7BF9"/>
    <w:rsid w:val="00DC00C7"/>
    <w:rsid w:val="00DC0554"/>
    <w:rsid w:val="00DC07F1"/>
    <w:rsid w:val="00DC1828"/>
    <w:rsid w:val="00DC1A6F"/>
    <w:rsid w:val="00DC2DC5"/>
    <w:rsid w:val="00DC30EA"/>
    <w:rsid w:val="00DC33EC"/>
    <w:rsid w:val="00DC3517"/>
    <w:rsid w:val="00DC3F9B"/>
    <w:rsid w:val="00DC5B2D"/>
    <w:rsid w:val="00DC6382"/>
    <w:rsid w:val="00DC70CD"/>
    <w:rsid w:val="00DC7E6F"/>
    <w:rsid w:val="00DD00EA"/>
    <w:rsid w:val="00DD1BD3"/>
    <w:rsid w:val="00DD1EFE"/>
    <w:rsid w:val="00DD20DE"/>
    <w:rsid w:val="00DD3B6A"/>
    <w:rsid w:val="00DD405B"/>
    <w:rsid w:val="00DD4974"/>
    <w:rsid w:val="00DD553E"/>
    <w:rsid w:val="00DD64CB"/>
    <w:rsid w:val="00DD6531"/>
    <w:rsid w:val="00DD6E0E"/>
    <w:rsid w:val="00DD6F13"/>
    <w:rsid w:val="00DD7BF9"/>
    <w:rsid w:val="00DD7C13"/>
    <w:rsid w:val="00DD7C7A"/>
    <w:rsid w:val="00DE037E"/>
    <w:rsid w:val="00DE0759"/>
    <w:rsid w:val="00DE0DFB"/>
    <w:rsid w:val="00DE1550"/>
    <w:rsid w:val="00DE176E"/>
    <w:rsid w:val="00DE1EC9"/>
    <w:rsid w:val="00DE23F2"/>
    <w:rsid w:val="00DE28B1"/>
    <w:rsid w:val="00DE38AA"/>
    <w:rsid w:val="00DE4CB8"/>
    <w:rsid w:val="00DE553D"/>
    <w:rsid w:val="00DE5A1E"/>
    <w:rsid w:val="00DE5EEE"/>
    <w:rsid w:val="00DE6721"/>
    <w:rsid w:val="00DE6912"/>
    <w:rsid w:val="00DE6F95"/>
    <w:rsid w:val="00DE77E7"/>
    <w:rsid w:val="00DE7E8B"/>
    <w:rsid w:val="00DF0745"/>
    <w:rsid w:val="00DF15B6"/>
    <w:rsid w:val="00DF15EC"/>
    <w:rsid w:val="00DF1806"/>
    <w:rsid w:val="00DF1C2D"/>
    <w:rsid w:val="00DF1F85"/>
    <w:rsid w:val="00DF20CE"/>
    <w:rsid w:val="00DF20EA"/>
    <w:rsid w:val="00DF2974"/>
    <w:rsid w:val="00DF3422"/>
    <w:rsid w:val="00DF3E3B"/>
    <w:rsid w:val="00DF45FF"/>
    <w:rsid w:val="00DF4CEB"/>
    <w:rsid w:val="00DF79A3"/>
    <w:rsid w:val="00E00282"/>
    <w:rsid w:val="00E0043E"/>
    <w:rsid w:val="00E00A75"/>
    <w:rsid w:val="00E0156F"/>
    <w:rsid w:val="00E01C97"/>
    <w:rsid w:val="00E027C2"/>
    <w:rsid w:val="00E02F4E"/>
    <w:rsid w:val="00E0327B"/>
    <w:rsid w:val="00E045EF"/>
    <w:rsid w:val="00E052C4"/>
    <w:rsid w:val="00E05CBA"/>
    <w:rsid w:val="00E0621A"/>
    <w:rsid w:val="00E06561"/>
    <w:rsid w:val="00E06583"/>
    <w:rsid w:val="00E0766D"/>
    <w:rsid w:val="00E10090"/>
    <w:rsid w:val="00E102DD"/>
    <w:rsid w:val="00E10935"/>
    <w:rsid w:val="00E10C1D"/>
    <w:rsid w:val="00E10D76"/>
    <w:rsid w:val="00E11A6C"/>
    <w:rsid w:val="00E11AE0"/>
    <w:rsid w:val="00E12585"/>
    <w:rsid w:val="00E126E5"/>
    <w:rsid w:val="00E12F01"/>
    <w:rsid w:val="00E148FF"/>
    <w:rsid w:val="00E14A2C"/>
    <w:rsid w:val="00E15680"/>
    <w:rsid w:val="00E1644C"/>
    <w:rsid w:val="00E16730"/>
    <w:rsid w:val="00E16852"/>
    <w:rsid w:val="00E16DB7"/>
    <w:rsid w:val="00E177F1"/>
    <w:rsid w:val="00E17D33"/>
    <w:rsid w:val="00E203ED"/>
    <w:rsid w:val="00E20CD7"/>
    <w:rsid w:val="00E2106E"/>
    <w:rsid w:val="00E21495"/>
    <w:rsid w:val="00E21AD7"/>
    <w:rsid w:val="00E22D0F"/>
    <w:rsid w:val="00E23557"/>
    <w:rsid w:val="00E24B81"/>
    <w:rsid w:val="00E24C2A"/>
    <w:rsid w:val="00E251C3"/>
    <w:rsid w:val="00E25EB1"/>
    <w:rsid w:val="00E26382"/>
    <w:rsid w:val="00E264C0"/>
    <w:rsid w:val="00E267AA"/>
    <w:rsid w:val="00E26870"/>
    <w:rsid w:val="00E273E5"/>
    <w:rsid w:val="00E27839"/>
    <w:rsid w:val="00E27FB8"/>
    <w:rsid w:val="00E30064"/>
    <w:rsid w:val="00E301E4"/>
    <w:rsid w:val="00E319E0"/>
    <w:rsid w:val="00E32209"/>
    <w:rsid w:val="00E3275C"/>
    <w:rsid w:val="00E327B1"/>
    <w:rsid w:val="00E327B9"/>
    <w:rsid w:val="00E32A5E"/>
    <w:rsid w:val="00E32E66"/>
    <w:rsid w:val="00E331E4"/>
    <w:rsid w:val="00E3328F"/>
    <w:rsid w:val="00E3413D"/>
    <w:rsid w:val="00E34633"/>
    <w:rsid w:val="00E3470A"/>
    <w:rsid w:val="00E34CED"/>
    <w:rsid w:val="00E35CBE"/>
    <w:rsid w:val="00E35DC5"/>
    <w:rsid w:val="00E36239"/>
    <w:rsid w:val="00E374E2"/>
    <w:rsid w:val="00E37695"/>
    <w:rsid w:val="00E37830"/>
    <w:rsid w:val="00E37F55"/>
    <w:rsid w:val="00E40453"/>
    <w:rsid w:val="00E4059C"/>
    <w:rsid w:val="00E405F0"/>
    <w:rsid w:val="00E40680"/>
    <w:rsid w:val="00E40C1A"/>
    <w:rsid w:val="00E41014"/>
    <w:rsid w:val="00E4174B"/>
    <w:rsid w:val="00E421F2"/>
    <w:rsid w:val="00E428CB"/>
    <w:rsid w:val="00E432A4"/>
    <w:rsid w:val="00E4423D"/>
    <w:rsid w:val="00E44739"/>
    <w:rsid w:val="00E449C3"/>
    <w:rsid w:val="00E45020"/>
    <w:rsid w:val="00E4528A"/>
    <w:rsid w:val="00E45C08"/>
    <w:rsid w:val="00E46502"/>
    <w:rsid w:val="00E46F6A"/>
    <w:rsid w:val="00E471E6"/>
    <w:rsid w:val="00E47326"/>
    <w:rsid w:val="00E476E0"/>
    <w:rsid w:val="00E47DDE"/>
    <w:rsid w:val="00E50124"/>
    <w:rsid w:val="00E504F7"/>
    <w:rsid w:val="00E51DD3"/>
    <w:rsid w:val="00E5209E"/>
    <w:rsid w:val="00E5271E"/>
    <w:rsid w:val="00E52BC4"/>
    <w:rsid w:val="00E5334A"/>
    <w:rsid w:val="00E536C6"/>
    <w:rsid w:val="00E53B8E"/>
    <w:rsid w:val="00E543EE"/>
    <w:rsid w:val="00E54D9C"/>
    <w:rsid w:val="00E55EA3"/>
    <w:rsid w:val="00E55FAC"/>
    <w:rsid w:val="00E56130"/>
    <w:rsid w:val="00E56574"/>
    <w:rsid w:val="00E56D19"/>
    <w:rsid w:val="00E5737A"/>
    <w:rsid w:val="00E57704"/>
    <w:rsid w:val="00E5776E"/>
    <w:rsid w:val="00E57954"/>
    <w:rsid w:val="00E57C07"/>
    <w:rsid w:val="00E57D82"/>
    <w:rsid w:val="00E57EE7"/>
    <w:rsid w:val="00E60D04"/>
    <w:rsid w:val="00E612CC"/>
    <w:rsid w:val="00E62268"/>
    <w:rsid w:val="00E6294C"/>
    <w:rsid w:val="00E63504"/>
    <w:rsid w:val="00E638BA"/>
    <w:rsid w:val="00E64509"/>
    <w:rsid w:val="00E649FC"/>
    <w:rsid w:val="00E64AAF"/>
    <w:rsid w:val="00E658B0"/>
    <w:rsid w:val="00E65DDD"/>
    <w:rsid w:val="00E65EFB"/>
    <w:rsid w:val="00E6668F"/>
    <w:rsid w:val="00E666DD"/>
    <w:rsid w:val="00E66B4A"/>
    <w:rsid w:val="00E671F0"/>
    <w:rsid w:val="00E707EA"/>
    <w:rsid w:val="00E7123B"/>
    <w:rsid w:val="00E712EA"/>
    <w:rsid w:val="00E722A5"/>
    <w:rsid w:val="00E7292C"/>
    <w:rsid w:val="00E73482"/>
    <w:rsid w:val="00E73537"/>
    <w:rsid w:val="00E740DA"/>
    <w:rsid w:val="00E7455D"/>
    <w:rsid w:val="00E74802"/>
    <w:rsid w:val="00E74B06"/>
    <w:rsid w:val="00E74D9F"/>
    <w:rsid w:val="00E75AAC"/>
    <w:rsid w:val="00E75D1F"/>
    <w:rsid w:val="00E76625"/>
    <w:rsid w:val="00E76F7A"/>
    <w:rsid w:val="00E76FCF"/>
    <w:rsid w:val="00E775FB"/>
    <w:rsid w:val="00E77687"/>
    <w:rsid w:val="00E77DAA"/>
    <w:rsid w:val="00E804A3"/>
    <w:rsid w:val="00E80681"/>
    <w:rsid w:val="00E807E2"/>
    <w:rsid w:val="00E8086C"/>
    <w:rsid w:val="00E813F4"/>
    <w:rsid w:val="00E819A8"/>
    <w:rsid w:val="00E826D1"/>
    <w:rsid w:val="00E828CB"/>
    <w:rsid w:val="00E83AFD"/>
    <w:rsid w:val="00E844C3"/>
    <w:rsid w:val="00E845F8"/>
    <w:rsid w:val="00E85157"/>
    <w:rsid w:val="00E86555"/>
    <w:rsid w:val="00E8695C"/>
    <w:rsid w:val="00E86FEA"/>
    <w:rsid w:val="00E87559"/>
    <w:rsid w:val="00E9006C"/>
    <w:rsid w:val="00E9023B"/>
    <w:rsid w:val="00E9047A"/>
    <w:rsid w:val="00E90609"/>
    <w:rsid w:val="00E913B3"/>
    <w:rsid w:val="00E918B7"/>
    <w:rsid w:val="00E92565"/>
    <w:rsid w:val="00E9260C"/>
    <w:rsid w:val="00E9266C"/>
    <w:rsid w:val="00E932D1"/>
    <w:rsid w:val="00E93EB9"/>
    <w:rsid w:val="00E94DAA"/>
    <w:rsid w:val="00E9526E"/>
    <w:rsid w:val="00E9538D"/>
    <w:rsid w:val="00E96468"/>
    <w:rsid w:val="00E96F68"/>
    <w:rsid w:val="00E972EE"/>
    <w:rsid w:val="00E978CC"/>
    <w:rsid w:val="00E97B84"/>
    <w:rsid w:val="00E97F38"/>
    <w:rsid w:val="00EA0289"/>
    <w:rsid w:val="00EA0FCE"/>
    <w:rsid w:val="00EA18A8"/>
    <w:rsid w:val="00EA2142"/>
    <w:rsid w:val="00EA2D29"/>
    <w:rsid w:val="00EA3749"/>
    <w:rsid w:val="00EA3CF5"/>
    <w:rsid w:val="00EA4BB6"/>
    <w:rsid w:val="00EA59B0"/>
    <w:rsid w:val="00EA6094"/>
    <w:rsid w:val="00EA6224"/>
    <w:rsid w:val="00EA6D93"/>
    <w:rsid w:val="00EA70F7"/>
    <w:rsid w:val="00EA7446"/>
    <w:rsid w:val="00EA7D8E"/>
    <w:rsid w:val="00EB004D"/>
    <w:rsid w:val="00EB0146"/>
    <w:rsid w:val="00EB02C1"/>
    <w:rsid w:val="00EB0322"/>
    <w:rsid w:val="00EB05F5"/>
    <w:rsid w:val="00EB0ACA"/>
    <w:rsid w:val="00EB153B"/>
    <w:rsid w:val="00EB159C"/>
    <w:rsid w:val="00EB1BE8"/>
    <w:rsid w:val="00EB2D5C"/>
    <w:rsid w:val="00EB3802"/>
    <w:rsid w:val="00EB46FA"/>
    <w:rsid w:val="00EB48F6"/>
    <w:rsid w:val="00EB4BEB"/>
    <w:rsid w:val="00EB5287"/>
    <w:rsid w:val="00EB6405"/>
    <w:rsid w:val="00EB6587"/>
    <w:rsid w:val="00EB65AF"/>
    <w:rsid w:val="00EB66AC"/>
    <w:rsid w:val="00EB69B4"/>
    <w:rsid w:val="00EB7059"/>
    <w:rsid w:val="00EB7E38"/>
    <w:rsid w:val="00EC05BA"/>
    <w:rsid w:val="00EC178C"/>
    <w:rsid w:val="00EC1D75"/>
    <w:rsid w:val="00EC20DA"/>
    <w:rsid w:val="00EC238B"/>
    <w:rsid w:val="00EC3117"/>
    <w:rsid w:val="00EC3319"/>
    <w:rsid w:val="00EC3329"/>
    <w:rsid w:val="00EC3C44"/>
    <w:rsid w:val="00EC478C"/>
    <w:rsid w:val="00EC517B"/>
    <w:rsid w:val="00EC5B0D"/>
    <w:rsid w:val="00EC6364"/>
    <w:rsid w:val="00EC705B"/>
    <w:rsid w:val="00EC7114"/>
    <w:rsid w:val="00EC7DAA"/>
    <w:rsid w:val="00EC7DB0"/>
    <w:rsid w:val="00EC7EDB"/>
    <w:rsid w:val="00ED024A"/>
    <w:rsid w:val="00ED057A"/>
    <w:rsid w:val="00ED12B0"/>
    <w:rsid w:val="00ED1F83"/>
    <w:rsid w:val="00ED213F"/>
    <w:rsid w:val="00ED2540"/>
    <w:rsid w:val="00ED379B"/>
    <w:rsid w:val="00ED45E3"/>
    <w:rsid w:val="00ED4783"/>
    <w:rsid w:val="00ED49B3"/>
    <w:rsid w:val="00ED51DE"/>
    <w:rsid w:val="00ED53CB"/>
    <w:rsid w:val="00ED54B4"/>
    <w:rsid w:val="00ED5993"/>
    <w:rsid w:val="00ED5A24"/>
    <w:rsid w:val="00ED6222"/>
    <w:rsid w:val="00ED6F3C"/>
    <w:rsid w:val="00ED74B3"/>
    <w:rsid w:val="00ED74C3"/>
    <w:rsid w:val="00ED79B4"/>
    <w:rsid w:val="00ED7E44"/>
    <w:rsid w:val="00EE0A57"/>
    <w:rsid w:val="00EE1910"/>
    <w:rsid w:val="00EE1B4A"/>
    <w:rsid w:val="00EE1C17"/>
    <w:rsid w:val="00EE1D56"/>
    <w:rsid w:val="00EE235A"/>
    <w:rsid w:val="00EE294E"/>
    <w:rsid w:val="00EE35B8"/>
    <w:rsid w:val="00EE3EC0"/>
    <w:rsid w:val="00EE427C"/>
    <w:rsid w:val="00EE4392"/>
    <w:rsid w:val="00EE4B3F"/>
    <w:rsid w:val="00EE4DCC"/>
    <w:rsid w:val="00EE5425"/>
    <w:rsid w:val="00EE5BB3"/>
    <w:rsid w:val="00EE7273"/>
    <w:rsid w:val="00EE74FC"/>
    <w:rsid w:val="00EE7916"/>
    <w:rsid w:val="00EE793A"/>
    <w:rsid w:val="00EE7A69"/>
    <w:rsid w:val="00EE7C99"/>
    <w:rsid w:val="00EF0A64"/>
    <w:rsid w:val="00EF132F"/>
    <w:rsid w:val="00EF1392"/>
    <w:rsid w:val="00EF19D9"/>
    <w:rsid w:val="00EF2467"/>
    <w:rsid w:val="00EF2CBB"/>
    <w:rsid w:val="00EF4333"/>
    <w:rsid w:val="00EF4844"/>
    <w:rsid w:val="00EF4853"/>
    <w:rsid w:val="00EF4A5A"/>
    <w:rsid w:val="00EF4E5E"/>
    <w:rsid w:val="00EF5667"/>
    <w:rsid w:val="00EF5D5A"/>
    <w:rsid w:val="00EF5D5C"/>
    <w:rsid w:val="00EF6786"/>
    <w:rsid w:val="00EF6D04"/>
    <w:rsid w:val="00EF6EEB"/>
    <w:rsid w:val="00EF760F"/>
    <w:rsid w:val="00F00002"/>
    <w:rsid w:val="00F003C1"/>
    <w:rsid w:val="00F00918"/>
    <w:rsid w:val="00F009C1"/>
    <w:rsid w:val="00F00EA8"/>
    <w:rsid w:val="00F011DB"/>
    <w:rsid w:val="00F01A4D"/>
    <w:rsid w:val="00F01EB1"/>
    <w:rsid w:val="00F021AC"/>
    <w:rsid w:val="00F0223F"/>
    <w:rsid w:val="00F029BC"/>
    <w:rsid w:val="00F02BBD"/>
    <w:rsid w:val="00F02C66"/>
    <w:rsid w:val="00F036A3"/>
    <w:rsid w:val="00F0373C"/>
    <w:rsid w:val="00F03B42"/>
    <w:rsid w:val="00F05D9F"/>
    <w:rsid w:val="00F06854"/>
    <w:rsid w:val="00F07604"/>
    <w:rsid w:val="00F07613"/>
    <w:rsid w:val="00F0767F"/>
    <w:rsid w:val="00F0785A"/>
    <w:rsid w:val="00F0787F"/>
    <w:rsid w:val="00F078EC"/>
    <w:rsid w:val="00F07B9B"/>
    <w:rsid w:val="00F07C18"/>
    <w:rsid w:val="00F11356"/>
    <w:rsid w:val="00F11778"/>
    <w:rsid w:val="00F12629"/>
    <w:rsid w:val="00F1308B"/>
    <w:rsid w:val="00F143DE"/>
    <w:rsid w:val="00F1440B"/>
    <w:rsid w:val="00F147E6"/>
    <w:rsid w:val="00F14FD5"/>
    <w:rsid w:val="00F15EFD"/>
    <w:rsid w:val="00F164DE"/>
    <w:rsid w:val="00F16634"/>
    <w:rsid w:val="00F1730F"/>
    <w:rsid w:val="00F178D2"/>
    <w:rsid w:val="00F17A79"/>
    <w:rsid w:val="00F17C66"/>
    <w:rsid w:val="00F202DD"/>
    <w:rsid w:val="00F20C34"/>
    <w:rsid w:val="00F21609"/>
    <w:rsid w:val="00F21B53"/>
    <w:rsid w:val="00F22343"/>
    <w:rsid w:val="00F22404"/>
    <w:rsid w:val="00F226B6"/>
    <w:rsid w:val="00F236D5"/>
    <w:rsid w:val="00F238EF"/>
    <w:rsid w:val="00F24B8E"/>
    <w:rsid w:val="00F24D6A"/>
    <w:rsid w:val="00F24DA6"/>
    <w:rsid w:val="00F25763"/>
    <w:rsid w:val="00F2594A"/>
    <w:rsid w:val="00F25CA3"/>
    <w:rsid w:val="00F25FC7"/>
    <w:rsid w:val="00F2630A"/>
    <w:rsid w:val="00F263AD"/>
    <w:rsid w:val="00F264B8"/>
    <w:rsid w:val="00F26A5A"/>
    <w:rsid w:val="00F26D06"/>
    <w:rsid w:val="00F26D38"/>
    <w:rsid w:val="00F3040E"/>
    <w:rsid w:val="00F304A8"/>
    <w:rsid w:val="00F309CA"/>
    <w:rsid w:val="00F30B91"/>
    <w:rsid w:val="00F30F5D"/>
    <w:rsid w:val="00F31206"/>
    <w:rsid w:val="00F3173A"/>
    <w:rsid w:val="00F31861"/>
    <w:rsid w:val="00F32913"/>
    <w:rsid w:val="00F32A66"/>
    <w:rsid w:val="00F350C6"/>
    <w:rsid w:val="00F366FB"/>
    <w:rsid w:val="00F36C9F"/>
    <w:rsid w:val="00F375F4"/>
    <w:rsid w:val="00F378A6"/>
    <w:rsid w:val="00F3796D"/>
    <w:rsid w:val="00F40BE9"/>
    <w:rsid w:val="00F411C1"/>
    <w:rsid w:val="00F4123C"/>
    <w:rsid w:val="00F4131E"/>
    <w:rsid w:val="00F42164"/>
    <w:rsid w:val="00F42AC0"/>
    <w:rsid w:val="00F445FF"/>
    <w:rsid w:val="00F4463B"/>
    <w:rsid w:val="00F451D4"/>
    <w:rsid w:val="00F4541A"/>
    <w:rsid w:val="00F45BD4"/>
    <w:rsid w:val="00F45EDF"/>
    <w:rsid w:val="00F4625D"/>
    <w:rsid w:val="00F4638F"/>
    <w:rsid w:val="00F468E9"/>
    <w:rsid w:val="00F46F46"/>
    <w:rsid w:val="00F473D8"/>
    <w:rsid w:val="00F47849"/>
    <w:rsid w:val="00F51106"/>
    <w:rsid w:val="00F514E3"/>
    <w:rsid w:val="00F51A14"/>
    <w:rsid w:val="00F521AA"/>
    <w:rsid w:val="00F52501"/>
    <w:rsid w:val="00F52838"/>
    <w:rsid w:val="00F53B78"/>
    <w:rsid w:val="00F54251"/>
    <w:rsid w:val="00F547A4"/>
    <w:rsid w:val="00F54D38"/>
    <w:rsid w:val="00F55082"/>
    <w:rsid w:val="00F553BF"/>
    <w:rsid w:val="00F55EAA"/>
    <w:rsid w:val="00F5629A"/>
    <w:rsid w:val="00F562A2"/>
    <w:rsid w:val="00F571DB"/>
    <w:rsid w:val="00F572FE"/>
    <w:rsid w:val="00F5774F"/>
    <w:rsid w:val="00F579D5"/>
    <w:rsid w:val="00F57E50"/>
    <w:rsid w:val="00F57F20"/>
    <w:rsid w:val="00F60617"/>
    <w:rsid w:val="00F60639"/>
    <w:rsid w:val="00F60F0A"/>
    <w:rsid w:val="00F62348"/>
    <w:rsid w:val="00F625E6"/>
    <w:rsid w:val="00F62FEE"/>
    <w:rsid w:val="00F630ED"/>
    <w:rsid w:val="00F6367D"/>
    <w:rsid w:val="00F6436A"/>
    <w:rsid w:val="00F6480B"/>
    <w:rsid w:val="00F64B26"/>
    <w:rsid w:val="00F64BC9"/>
    <w:rsid w:val="00F651FB"/>
    <w:rsid w:val="00F65A67"/>
    <w:rsid w:val="00F66042"/>
    <w:rsid w:val="00F663E4"/>
    <w:rsid w:val="00F66A6E"/>
    <w:rsid w:val="00F66D44"/>
    <w:rsid w:val="00F674DA"/>
    <w:rsid w:val="00F67D3F"/>
    <w:rsid w:val="00F700D8"/>
    <w:rsid w:val="00F708F1"/>
    <w:rsid w:val="00F70FDD"/>
    <w:rsid w:val="00F715E5"/>
    <w:rsid w:val="00F729F1"/>
    <w:rsid w:val="00F72B73"/>
    <w:rsid w:val="00F7492D"/>
    <w:rsid w:val="00F752A2"/>
    <w:rsid w:val="00F75AC3"/>
    <w:rsid w:val="00F75ADB"/>
    <w:rsid w:val="00F75EF5"/>
    <w:rsid w:val="00F76363"/>
    <w:rsid w:val="00F7685D"/>
    <w:rsid w:val="00F76D4A"/>
    <w:rsid w:val="00F77119"/>
    <w:rsid w:val="00F77E63"/>
    <w:rsid w:val="00F8037E"/>
    <w:rsid w:val="00F803B7"/>
    <w:rsid w:val="00F806C9"/>
    <w:rsid w:val="00F807F7"/>
    <w:rsid w:val="00F816F6"/>
    <w:rsid w:val="00F838A8"/>
    <w:rsid w:val="00F83A8A"/>
    <w:rsid w:val="00F84110"/>
    <w:rsid w:val="00F8471F"/>
    <w:rsid w:val="00F84A5A"/>
    <w:rsid w:val="00F85A9D"/>
    <w:rsid w:val="00F85B83"/>
    <w:rsid w:val="00F860D8"/>
    <w:rsid w:val="00F86B73"/>
    <w:rsid w:val="00F870BF"/>
    <w:rsid w:val="00F87416"/>
    <w:rsid w:val="00F8754B"/>
    <w:rsid w:val="00F90377"/>
    <w:rsid w:val="00F9176D"/>
    <w:rsid w:val="00F91D3B"/>
    <w:rsid w:val="00F91D8E"/>
    <w:rsid w:val="00F923B9"/>
    <w:rsid w:val="00F927E3"/>
    <w:rsid w:val="00F92F2C"/>
    <w:rsid w:val="00F934BB"/>
    <w:rsid w:val="00F939B6"/>
    <w:rsid w:val="00F9440D"/>
    <w:rsid w:val="00F94A68"/>
    <w:rsid w:val="00F94BC8"/>
    <w:rsid w:val="00F95693"/>
    <w:rsid w:val="00F9640C"/>
    <w:rsid w:val="00F976C1"/>
    <w:rsid w:val="00F97BCC"/>
    <w:rsid w:val="00FA057A"/>
    <w:rsid w:val="00FA1A50"/>
    <w:rsid w:val="00FA1D9A"/>
    <w:rsid w:val="00FA1F76"/>
    <w:rsid w:val="00FA26F8"/>
    <w:rsid w:val="00FA276F"/>
    <w:rsid w:val="00FA3509"/>
    <w:rsid w:val="00FA357D"/>
    <w:rsid w:val="00FA3AE6"/>
    <w:rsid w:val="00FA3E60"/>
    <w:rsid w:val="00FA3EC1"/>
    <w:rsid w:val="00FA40E6"/>
    <w:rsid w:val="00FA49E0"/>
    <w:rsid w:val="00FA5819"/>
    <w:rsid w:val="00FA5C9E"/>
    <w:rsid w:val="00FA6F3D"/>
    <w:rsid w:val="00FA77FB"/>
    <w:rsid w:val="00FB016A"/>
    <w:rsid w:val="00FB055C"/>
    <w:rsid w:val="00FB0D77"/>
    <w:rsid w:val="00FB0E86"/>
    <w:rsid w:val="00FB0F89"/>
    <w:rsid w:val="00FB17EB"/>
    <w:rsid w:val="00FB274B"/>
    <w:rsid w:val="00FB39F2"/>
    <w:rsid w:val="00FB5B5B"/>
    <w:rsid w:val="00FB6CE2"/>
    <w:rsid w:val="00FB7A8F"/>
    <w:rsid w:val="00FC01EC"/>
    <w:rsid w:val="00FC051A"/>
    <w:rsid w:val="00FC1402"/>
    <w:rsid w:val="00FC1B18"/>
    <w:rsid w:val="00FC2295"/>
    <w:rsid w:val="00FC35FA"/>
    <w:rsid w:val="00FC3D4C"/>
    <w:rsid w:val="00FC4846"/>
    <w:rsid w:val="00FC635C"/>
    <w:rsid w:val="00FC7770"/>
    <w:rsid w:val="00FC7C78"/>
    <w:rsid w:val="00FC7F65"/>
    <w:rsid w:val="00FD0D3F"/>
    <w:rsid w:val="00FD1298"/>
    <w:rsid w:val="00FD2018"/>
    <w:rsid w:val="00FD277B"/>
    <w:rsid w:val="00FD362E"/>
    <w:rsid w:val="00FD3816"/>
    <w:rsid w:val="00FD3AEE"/>
    <w:rsid w:val="00FD4281"/>
    <w:rsid w:val="00FD5DF2"/>
    <w:rsid w:val="00FD675A"/>
    <w:rsid w:val="00FD6EA3"/>
    <w:rsid w:val="00FD7514"/>
    <w:rsid w:val="00FE0940"/>
    <w:rsid w:val="00FE0E36"/>
    <w:rsid w:val="00FE28C4"/>
    <w:rsid w:val="00FE34DC"/>
    <w:rsid w:val="00FE354B"/>
    <w:rsid w:val="00FE37E9"/>
    <w:rsid w:val="00FE3D93"/>
    <w:rsid w:val="00FE44CB"/>
    <w:rsid w:val="00FE45BD"/>
    <w:rsid w:val="00FE4D06"/>
    <w:rsid w:val="00FE6632"/>
    <w:rsid w:val="00FE66ED"/>
    <w:rsid w:val="00FE6C64"/>
    <w:rsid w:val="00FE76FA"/>
    <w:rsid w:val="00FE77D3"/>
    <w:rsid w:val="00FE785E"/>
    <w:rsid w:val="00FF02F7"/>
    <w:rsid w:val="00FF1329"/>
    <w:rsid w:val="00FF1B15"/>
    <w:rsid w:val="00FF1CE1"/>
    <w:rsid w:val="00FF1E0B"/>
    <w:rsid w:val="00FF2021"/>
    <w:rsid w:val="00FF24A7"/>
    <w:rsid w:val="00FF2F44"/>
    <w:rsid w:val="00FF352D"/>
    <w:rsid w:val="00FF360F"/>
    <w:rsid w:val="00FF396F"/>
    <w:rsid w:val="00FF3AA1"/>
    <w:rsid w:val="00FF537D"/>
    <w:rsid w:val="00FF64E9"/>
    <w:rsid w:val="00FF7965"/>
    <w:rsid w:val="00FF7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E15"/>
    <w:rPr>
      <w:sz w:val="24"/>
      <w:szCs w:val="24"/>
      <w:lang w:val="bg-BG"/>
    </w:rPr>
  </w:style>
  <w:style w:type="paragraph" w:styleId="Heading1">
    <w:name w:val="heading 1"/>
    <w:basedOn w:val="Normal"/>
    <w:next w:val="Normal"/>
    <w:qFormat/>
    <w:rsid w:val="00063E15"/>
    <w:pPr>
      <w:keepNext/>
      <w:jc w:val="center"/>
      <w:outlineLvl w:val="0"/>
    </w:pPr>
    <w:rPr>
      <w:b/>
      <w:bCs/>
      <w:sz w:val="28"/>
    </w:rPr>
  </w:style>
  <w:style w:type="paragraph" w:styleId="Heading2">
    <w:name w:val="heading 2"/>
    <w:basedOn w:val="Normal"/>
    <w:next w:val="Normal"/>
    <w:qFormat/>
    <w:rsid w:val="00C26FE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6239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63E15"/>
    <w:pPr>
      <w:jc w:val="center"/>
    </w:pPr>
    <w:rPr>
      <w:b/>
      <w:szCs w:val="20"/>
    </w:rPr>
  </w:style>
  <w:style w:type="paragraph" w:customStyle="1" w:styleId="ParagraphNumbering">
    <w:name w:val="Paragraph Numbering"/>
    <w:basedOn w:val="Normal"/>
    <w:rsid w:val="0028159B"/>
    <w:pPr>
      <w:numPr>
        <w:numId w:val="1"/>
      </w:numPr>
      <w:spacing w:after="240"/>
    </w:pPr>
    <w:rPr>
      <w:lang w:val="en-US"/>
    </w:rPr>
  </w:style>
  <w:style w:type="paragraph" w:styleId="FootnoteText">
    <w:name w:val="footnote text"/>
    <w:aliases w:val="Fußnotentext arial"/>
    <w:basedOn w:val="Normal"/>
    <w:link w:val="FootnoteTextChar"/>
    <w:semiHidden/>
    <w:rsid w:val="003459AC"/>
    <w:rPr>
      <w:sz w:val="20"/>
      <w:szCs w:val="20"/>
      <w:lang w:val="en-US"/>
    </w:rPr>
  </w:style>
  <w:style w:type="character" w:styleId="FootnoteReference">
    <w:name w:val="footnote reference"/>
    <w:aliases w:val="Footnote,Footnote symbol,SUPERS,BVI fnr,Footnote reference number,Times 10 Point,Exposant 3 Point,Ref,de nota al pie,note TESI,EN Footnote text,EN Footnote Reference,Footnote Reference Number,E FNZ,Appel note de bas de p,Nota,BVI fnr1"/>
    <w:rsid w:val="003459AC"/>
    <w:rPr>
      <w:vertAlign w:val="superscript"/>
    </w:rPr>
  </w:style>
  <w:style w:type="paragraph" w:styleId="BodyText">
    <w:name w:val="Body Text"/>
    <w:basedOn w:val="Normal"/>
    <w:link w:val="BodyTextChar"/>
    <w:rsid w:val="003459AC"/>
    <w:pPr>
      <w:jc w:val="both"/>
    </w:pPr>
  </w:style>
  <w:style w:type="paragraph" w:styleId="BodyTextIndent">
    <w:name w:val="Body Text Indent"/>
    <w:basedOn w:val="Normal"/>
    <w:link w:val="BodyTextIndentChar"/>
    <w:uiPriority w:val="99"/>
    <w:rsid w:val="003459AC"/>
    <w:pPr>
      <w:spacing w:after="120"/>
      <w:ind w:left="283"/>
    </w:pPr>
  </w:style>
  <w:style w:type="paragraph" w:styleId="BodyText2">
    <w:name w:val="Body Text 2"/>
    <w:basedOn w:val="Normal"/>
    <w:link w:val="BodyText2Char"/>
    <w:rsid w:val="003459AC"/>
    <w:pPr>
      <w:spacing w:after="120" w:line="480" w:lineRule="auto"/>
    </w:pPr>
  </w:style>
  <w:style w:type="paragraph" w:styleId="BlockText">
    <w:name w:val="Block Text"/>
    <w:basedOn w:val="Normal"/>
    <w:rsid w:val="003459AC"/>
    <w:pPr>
      <w:ind w:left="720" w:right="1106"/>
    </w:pPr>
    <w:rPr>
      <w:b/>
      <w:bCs/>
    </w:rPr>
  </w:style>
  <w:style w:type="table" w:styleId="TableGrid">
    <w:name w:val="Table Grid"/>
    <w:basedOn w:val="TableNormal"/>
    <w:rsid w:val="003459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Header Char,Header Char1 Char,Header Char Char Char,Header Char3 Char Char Char,Header Char1 Char Char Char Char1 Char,Header Char Char Char Char Char Char1 Char,Header Char2 Char1 Char Char Char"/>
    <w:basedOn w:val="Normal"/>
    <w:link w:val="HeaderChar1"/>
    <w:rsid w:val="001D40DA"/>
    <w:pPr>
      <w:tabs>
        <w:tab w:val="center" w:pos="4153"/>
        <w:tab w:val="right" w:pos="8306"/>
      </w:tabs>
    </w:pPr>
    <w:rPr>
      <w:lang w:eastAsia="bg-BG"/>
    </w:rPr>
  </w:style>
  <w:style w:type="paragraph" w:styleId="BodyText3">
    <w:name w:val="Body Text 3"/>
    <w:basedOn w:val="Normal"/>
    <w:rsid w:val="00262391"/>
    <w:pPr>
      <w:spacing w:after="120"/>
    </w:pPr>
    <w:rPr>
      <w:sz w:val="16"/>
      <w:szCs w:val="16"/>
    </w:rPr>
  </w:style>
  <w:style w:type="paragraph" w:styleId="Footer">
    <w:name w:val="footer"/>
    <w:basedOn w:val="Normal"/>
    <w:rsid w:val="00A74112"/>
    <w:pPr>
      <w:tabs>
        <w:tab w:val="center" w:pos="4536"/>
        <w:tab w:val="right" w:pos="9072"/>
      </w:tabs>
    </w:pPr>
  </w:style>
  <w:style w:type="character" w:styleId="PageNumber">
    <w:name w:val="page number"/>
    <w:basedOn w:val="DefaultParagraphFont"/>
    <w:rsid w:val="00A74112"/>
  </w:style>
  <w:style w:type="paragraph" w:customStyle="1" w:styleId="CharChar3CharChar">
    <w:name w:val="Char Char3 Char Char"/>
    <w:basedOn w:val="Normal"/>
    <w:semiHidden/>
    <w:rsid w:val="00EE4B3F"/>
    <w:pPr>
      <w:tabs>
        <w:tab w:val="left" w:pos="709"/>
      </w:tabs>
    </w:pPr>
    <w:rPr>
      <w:rFonts w:ascii="Futura Bk" w:hAnsi="Futura Bk"/>
      <w:lang w:val="pl-PL" w:eastAsia="pl-PL"/>
    </w:rPr>
  </w:style>
  <w:style w:type="paragraph" w:customStyle="1" w:styleId="CharCharCharChar">
    <w:name w:val="Char Char Char Char"/>
    <w:basedOn w:val="Normal"/>
    <w:rsid w:val="00A14560"/>
    <w:pPr>
      <w:spacing w:after="160" w:line="240" w:lineRule="exact"/>
    </w:pPr>
    <w:rPr>
      <w:rFonts w:ascii="Tahoma" w:hAnsi="Tahoma"/>
      <w:sz w:val="20"/>
      <w:szCs w:val="20"/>
      <w:lang w:val="en-US"/>
    </w:rPr>
  </w:style>
  <w:style w:type="paragraph" w:styleId="BodyTextIndent2">
    <w:name w:val="Body Text Indent 2"/>
    <w:basedOn w:val="Normal"/>
    <w:rsid w:val="00C32154"/>
    <w:pPr>
      <w:spacing w:after="120" w:line="480" w:lineRule="auto"/>
      <w:ind w:left="283"/>
    </w:pPr>
  </w:style>
  <w:style w:type="paragraph" w:styleId="BalloonText">
    <w:name w:val="Balloon Text"/>
    <w:basedOn w:val="Normal"/>
    <w:link w:val="BalloonTextChar"/>
    <w:semiHidden/>
    <w:rsid w:val="00144BF2"/>
    <w:rPr>
      <w:rFonts w:ascii="Tahoma" w:hAnsi="Tahoma" w:cs="Tahoma"/>
      <w:sz w:val="16"/>
      <w:szCs w:val="16"/>
    </w:rPr>
  </w:style>
  <w:style w:type="paragraph" w:styleId="EndnoteText">
    <w:name w:val="endnote text"/>
    <w:basedOn w:val="Normal"/>
    <w:semiHidden/>
    <w:rsid w:val="00F870BF"/>
    <w:rPr>
      <w:sz w:val="20"/>
      <w:szCs w:val="20"/>
    </w:rPr>
  </w:style>
  <w:style w:type="character" w:styleId="EndnoteReference">
    <w:name w:val="endnote reference"/>
    <w:semiHidden/>
    <w:rsid w:val="00F870BF"/>
    <w:rPr>
      <w:vertAlign w:val="superscript"/>
    </w:rPr>
  </w:style>
  <w:style w:type="character" w:styleId="CommentReference">
    <w:name w:val="annotation reference"/>
    <w:semiHidden/>
    <w:rsid w:val="00A252C3"/>
    <w:rPr>
      <w:sz w:val="16"/>
      <w:szCs w:val="16"/>
    </w:rPr>
  </w:style>
  <w:style w:type="paragraph" w:styleId="CommentText">
    <w:name w:val="annotation text"/>
    <w:basedOn w:val="Normal"/>
    <w:link w:val="CommentTextChar"/>
    <w:semiHidden/>
    <w:rsid w:val="00A252C3"/>
    <w:rPr>
      <w:sz w:val="20"/>
      <w:szCs w:val="20"/>
    </w:rPr>
  </w:style>
  <w:style w:type="character" w:customStyle="1" w:styleId="HeaderChar1">
    <w:name w:val="Header Char1"/>
    <w:aliases w:val="Header Char Char,Header Char1 Char Char,Header Char Char Char Char,Header Char3 Char Char Char Char,Header Char1 Char Char Char Char1 Char Char,Header Char Char Char Char Char Char1 Char Char,Header Char2 Char1 Char Char Char Char"/>
    <w:link w:val="Header"/>
    <w:rsid w:val="00166023"/>
    <w:rPr>
      <w:sz w:val="24"/>
      <w:szCs w:val="24"/>
      <w:lang w:val="bg-BG" w:eastAsia="bg-BG" w:bidi="ar-SA"/>
    </w:rPr>
  </w:style>
  <w:style w:type="paragraph" w:customStyle="1" w:styleId="Char1">
    <w:name w:val="Char1"/>
    <w:basedOn w:val="Normal"/>
    <w:semiHidden/>
    <w:rsid w:val="008138E4"/>
    <w:pPr>
      <w:tabs>
        <w:tab w:val="left" w:pos="709"/>
      </w:tabs>
    </w:pPr>
    <w:rPr>
      <w:rFonts w:ascii="Futura Bk" w:hAnsi="Futura Bk"/>
      <w:lang w:val="pl-PL" w:eastAsia="pl-PL"/>
    </w:rPr>
  </w:style>
  <w:style w:type="paragraph" w:customStyle="1" w:styleId="default">
    <w:name w:val="default"/>
    <w:basedOn w:val="Normal"/>
    <w:rsid w:val="003C14B1"/>
    <w:pPr>
      <w:spacing w:before="100" w:beforeAutospacing="1" w:after="100" w:afterAutospacing="1"/>
    </w:pPr>
    <w:rPr>
      <w:lang w:eastAsia="bg-BG"/>
    </w:rPr>
  </w:style>
  <w:style w:type="character" w:styleId="Strong">
    <w:name w:val="Strong"/>
    <w:uiPriority w:val="99"/>
    <w:qFormat/>
    <w:rsid w:val="003E37A0"/>
    <w:rPr>
      <w:b/>
      <w:bCs/>
    </w:rPr>
  </w:style>
  <w:style w:type="character" w:customStyle="1" w:styleId="BalloonTextChar">
    <w:name w:val="Balloon Text Char"/>
    <w:link w:val="BalloonText"/>
    <w:semiHidden/>
    <w:locked/>
    <w:rsid w:val="00DD1EFE"/>
    <w:rPr>
      <w:rFonts w:ascii="Tahoma" w:hAnsi="Tahoma" w:cs="Tahoma"/>
      <w:sz w:val="16"/>
      <w:szCs w:val="16"/>
      <w:lang w:val="en-GB" w:eastAsia="en-US" w:bidi="ar-SA"/>
    </w:rPr>
  </w:style>
  <w:style w:type="paragraph" w:customStyle="1" w:styleId="Default0">
    <w:name w:val="Default"/>
    <w:rsid w:val="00DD1EFE"/>
    <w:pPr>
      <w:autoSpaceDE w:val="0"/>
      <w:autoSpaceDN w:val="0"/>
      <w:adjustRightInd w:val="0"/>
    </w:pPr>
    <w:rPr>
      <w:rFonts w:ascii="Calibri" w:hAnsi="Calibri" w:cs="Calibri"/>
      <w:color w:val="000000"/>
      <w:sz w:val="24"/>
      <w:szCs w:val="24"/>
      <w:lang w:val="bg-BG"/>
    </w:rPr>
  </w:style>
  <w:style w:type="character" w:customStyle="1" w:styleId="FootnoteTextChar">
    <w:name w:val="Footnote Text Char"/>
    <w:aliases w:val="Fußnotentext arial Char"/>
    <w:link w:val="FootnoteText"/>
    <w:rsid w:val="009A3FA1"/>
    <w:rPr>
      <w:lang w:val="en-US" w:eastAsia="en-US" w:bidi="ar-SA"/>
    </w:rPr>
  </w:style>
  <w:style w:type="paragraph" w:customStyle="1" w:styleId="CharCharCharChar1">
    <w:name w:val="Char Char Char Char1"/>
    <w:basedOn w:val="Normal"/>
    <w:semiHidden/>
    <w:rsid w:val="00B20BB9"/>
    <w:pPr>
      <w:tabs>
        <w:tab w:val="left" w:pos="709"/>
      </w:tabs>
    </w:pPr>
    <w:rPr>
      <w:rFonts w:ascii="Futura Bk" w:hAnsi="Futura Bk"/>
      <w:lang w:val="pl-PL" w:eastAsia="pl-PL"/>
    </w:rPr>
  </w:style>
  <w:style w:type="character" w:customStyle="1" w:styleId="BodyText2Char">
    <w:name w:val="Body Text 2 Char"/>
    <w:link w:val="BodyText2"/>
    <w:locked/>
    <w:rsid w:val="002D5811"/>
    <w:rPr>
      <w:sz w:val="24"/>
      <w:szCs w:val="24"/>
      <w:lang w:val="en-GB" w:eastAsia="en-US" w:bidi="ar-SA"/>
    </w:rPr>
  </w:style>
  <w:style w:type="character" w:styleId="Hyperlink">
    <w:name w:val="Hyperlink"/>
    <w:uiPriority w:val="99"/>
    <w:unhideWhenUsed/>
    <w:rsid w:val="00231385"/>
    <w:rPr>
      <w:strike w:val="0"/>
      <w:dstrike w:val="0"/>
      <w:color w:val="004A8F"/>
      <w:u w:val="none"/>
      <w:effect w:val="none"/>
    </w:rPr>
  </w:style>
  <w:style w:type="paragraph" w:styleId="NormalWeb">
    <w:name w:val="Normal (Web)"/>
    <w:basedOn w:val="Normal"/>
    <w:uiPriority w:val="99"/>
    <w:unhideWhenUsed/>
    <w:rsid w:val="00231385"/>
    <w:pPr>
      <w:spacing w:before="100" w:beforeAutospacing="1" w:after="100" w:afterAutospacing="1" w:line="312" w:lineRule="atLeast"/>
      <w:jc w:val="both"/>
    </w:pPr>
    <w:rPr>
      <w:lang w:val="en-US"/>
    </w:rPr>
  </w:style>
  <w:style w:type="character" w:customStyle="1" w:styleId="ala13">
    <w:name w:val="al_a13"/>
    <w:uiPriority w:val="99"/>
    <w:rsid w:val="00B7424D"/>
  </w:style>
  <w:style w:type="paragraph" w:styleId="ListParagraph">
    <w:name w:val="List Paragraph"/>
    <w:basedOn w:val="Normal"/>
    <w:uiPriority w:val="34"/>
    <w:qFormat/>
    <w:rsid w:val="00C818E7"/>
    <w:pPr>
      <w:spacing w:after="120" w:line="360" w:lineRule="auto"/>
      <w:ind w:left="720" w:firstLine="720"/>
      <w:contextualSpacing/>
      <w:jc w:val="both"/>
    </w:pPr>
    <w:rPr>
      <w:rFonts w:ascii="Arial" w:hAnsi="Arial"/>
      <w:szCs w:val="20"/>
    </w:rPr>
  </w:style>
  <w:style w:type="paragraph" w:customStyle="1" w:styleId="CharChar3">
    <w:name w:val="Char Char3"/>
    <w:basedOn w:val="Normal"/>
    <w:semiHidden/>
    <w:rsid w:val="009269F4"/>
    <w:pPr>
      <w:tabs>
        <w:tab w:val="left" w:pos="709"/>
      </w:tabs>
    </w:pPr>
    <w:rPr>
      <w:rFonts w:ascii="Futura Bk" w:hAnsi="Futura Bk"/>
      <w:lang w:val="pl-PL" w:eastAsia="pl-PL"/>
    </w:rPr>
  </w:style>
  <w:style w:type="character" w:customStyle="1" w:styleId="BodyTextIndentChar">
    <w:name w:val="Body Text Indent Char"/>
    <w:link w:val="BodyTextIndent"/>
    <w:uiPriority w:val="99"/>
    <w:locked/>
    <w:rsid w:val="00DA31ED"/>
    <w:rPr>
      <w:sz w:val="24"/>
      <w:szCs w:val="24"/>
      <w:lang w:val="bg-BG"/>
    </w:rPr>
  </w:style>
  <w:style w:type="paragraph" w:customStyle="1" w:styleId="NormalFirstline">
    <w:name w:val="Normal + First line"/>
    <w:aliases w:val="1.25 cm,After 6 pt"/>
    <w:basedOn w:val="Normal"/>
    <w:rsid w:val="00BD3B54"/>
    <w:rPr>
      <w:sz w:val="20"/>
      <w:szCs w:val="20"/>
    </w:rPr>
  </w:style>
  <w:style w:type="paragraph" w:styleId="CommentSubject">
    <w:name w:val="annotation subject"/>
    <w:basedOn w:val="CommentText"/>
    <w:next w:val="CommentText"/>
    <w:link w:val="CommentSubjectChar"/>
    <w:semiHidden/>
    <w:rsid w:val="00381745"/>
    <w:rPr>
      <w:b/>
      <w:bCs/>
    </w:rPr>
  </w:style>
  <w:style w:type="character" w:customStyle="1" w:styleId="CommentTextChar">
    <w:name w:val="Comment Text Char"/>
    <w:link w:val="CommentText"/>
    <w:semiHidden/>
    <w:rsid w:val="009F38CE"/>
    <w:rPr>
      <w:lang w:eastAsia="en-US"/>
    </w:rPr>
  </w:style>
  <w:style w:type="character" w:customStyle="1" w:styleId="CommentSubjectChar">
    <w:name w:val="Comment Subject Char"/>
    <w:link w:val="CommentSubject"/>
    <w:semiHidden/>
    <w:rsid w:val="009F38CE"/>
    <w:rPr>
      <w:b/>
      <w:bCs/>
      <w:lang w:eastAsia="en-US"/>
    </w:rPr>
  </w:style>
  <w:style w:type="character" w:customStyle="1" w:styleId="TitleChar">
    <w:name w:val="Title Char"/>
    <w:link w:val="Title"/>
    <w:rsid w:val="00C1518C"/>
    <w:rPr>
      <w:b/>
      <w:sz w:val="24"/>
      <w:lang w:eastAsia="en-US"/>
    </w:rPr>
  </w:style>
  <w:style w:type="character" w:customStyle="1" w:styleId="BodyTextChar">
    <w:name w:val="Body Text Char"/>
    <w:link w:val="BodyText"/>
    <w:rsid w:val="00A10AC7"/>
    <w:rPr>
      <w:sz w:val="24"/>
      <w:szCs w:val="24"/>
      <w:lang w:val="bg-BG"/>
    </w:rPr>
  </w:style>
  <w:style w:type="paragraph" w:styleId="Revision">
    <w:name w:val="Revision"/>
    <w:hidden/>
    <w:uiPriority w:val="99"/>
    <w:semiHidden/>
    <w:rsid w:val="00F32913"/>
    <w:rPr>
      <w:sz w:val="24"/>
      <w:szCs w:val="24"/>
      <w:lang w:val="bg-BG"/>
    </w:rPr>
  </w:style>
  <w:style w:type="paragraph" w:customStyle="1" w:styleId="m">
    <w:name w:val="m"/>
    <w:basedOn w:val="Normal"/>
    <w:rsid w:val="00675E99"/>
    <w:pPr>
      <w:spacing w:before="100" w:beforeAutospacing="1" w:after="100" w:afterAutospacing="1"/>
    </w:pPr>
    <w:rPr>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E15"/>
    <w:rPr>
      <w:sz w:val="24"/>
      <w:szCs w:val="24"/>
      <w:lang w:val="bg-BG"/>
    </w:rPr>
  </w:style>
  <w:style w:type="paragraph" w:styleId="Heading1">
    <w:name w:val="heading 1"/>
    <w:basedOn w:val="Normal"/>
    <w:next w:val="Normal"/>
    <w:qFormat/>
    <w:rsid w:val="00063E15"/>
    <w:pPr>
      <w:keepNext/>
      <w:jc w:val="center"/>
      <w:outlineLvl w:val="0"/>
    </w:pPr>
    <w:rPr>
      <w:b/>
      <w:bCs/>
      <w:sz w:val="28"/>
    </w:rPr>
  </w:style>
  <w:style w:type="paragraph" w:styleId="Heading2">
    <w:name w:val="heading 2"/>
    <w:basedOn w:val="Normal"/>
    <w:next w:val="Normal"/>
    <w:qFormat/>
    <w:rsid w:val="00C26FE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6239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63E15"/>
    <w:pPr>
      <w:jc w:val="center"/>
    </w:pPr>
    <w:rPr>
      <w:b/>
      <w:szCs w:val="20"/>
    </w:rPr>
  </w:style>
  <w:style w:type="paragraph" w:customStyle="1" w:styleId="ParagraphNumbering">
    <w:name w:val="Paragraph Numbering"/>
    <w:basedOn w:val="Normal"/>
    <w:rsid w:val="0028159B"/>
    <w:pPr>
      <w:numPr>
        <w:numId w:val="1"/>
      </w:numPr>
      <w:spacing w:after="240"/>
    </w:pPr>
    <w:rPr>
      <w:lang w:val="en-US"/>
    </w:rPr>
  </w:style>
  <w:style w:type="paragraph" w:styleId="FootnoteText">
    <w:name w:val="footnote text"/>
    <w:aliases w:val="Fußnotentext arial"/>
    <w:basedOn w:val="Normal"/>
    <w:link w:val="FootnoteTextChar"/>
    <w:semiHidden/>
    <w:rsid w:val="003459AC"/>
    <w:rPr>
      <w:sz w:val="20"/>
      <w:szCs w:val="20"/>
      <w:lang w:val="en-US"/>
    </w:rPr>
  </w:style>
  <w:style w:type="character" w:styleId="FootnoteReference">
    <w:name w:val="footnote reference"/>
    <w:aliases w:val="Footnote,Footnote symbol,SUPERS,BVI fnr,Footnote reference number,Times 10 Point,Exposant 3 Point,Ref,de nota al pie,note TESI,EN Footnote text,EN Footnote Reference,Footnote Reference Number,E FNZ,Appel note de bas de p,Nota,BVI fnr1"/>
    <w:rsid w:val="003459AC"/>
    <w:rPr>
      <w:vertAlign w:val="superscript"/>
    </w:rPr>
  </w:style>
  <w:style w:type="paragraph" w:styleId="BodyText">
    <w:name w:val="Body Text"/>
    <w:basedOn w:val="Normal"/>
    <w:link w:val="BodyTextChar"/>
    <w:rsid w:val="003459AC"/>
    <w:pPr>
      <w:jc w:val="both"/>
    </w:pPr>
  </w:style>
  <w:style w:type="paragraph" w:styleId="BodyTextIndent">
    <w:name w:val="Body Text Indent"/>
    <w:basedOn w:val="Normal"/>
    <w:link w:val="BodyTextIndentChar"/>
    <w:uiPriority w:val="99"/>
    <w:rsid w:val="003459AC"/>
    <w:pPr>
      <w:spacing w:after="120"/>
      <w:ind w:left="283"/>
    </w:pPr>
  </w:style>
  <w:style w:type="paragraph" w:styleId="BodyText2">
    <w:name w:val="Body Text 2"/>
    <w:basedOn w:val="Normal"/>
    <w:link w:val="BodyText2Char"/>
    <w:rsid w:val="003459AC"/>
    <w:pPr>
      <w:spacing w:after="120" w:line="480" w:lineRule="auto"/>
    </w:pPr>
  </w:style>
  <w:style w:type="paragraph" w:styleId="BlockText">
    <w:name w:val="Block Text"/>
    <w:basedOn w:val="Normal"/>
    <w:rsid w:val="003459AC"/>
    <w:pPr>
      <w:ind w:left="720" w:right="1106"/>
    </w:pPr>
    <w:rPr>
      <w:b/>
      <w:bCs/>
    </w:rPr>
  </w:style>
  <w:style w:type="table" w:styleId="TableGrid">
    <w:name w:val="Table Grid"/>
    <w:basedOn w:val="TableNormal"/>
    <w:rsid w:val="003459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Header Char,Header Char1 Char,Header Char Char Char,Header Char3 Char Char Char,Header Char1 Char Char Char Char1 Char,Header Char Char Char Char Char Char1 Char,Header Char2 Char1 Char Char Char"/>
    <w:basedOn w:val="Normal"/>
    <w:link w:val="HeaderChar1"/>
    <w:rsid w:val="001D40DA"/>
    <w:pPr>
      <w:tabs>
        <w:tab w:val="center" w:pos="4153"/>
        <w:tab w:val="right" w:pos="8306"/>
      </w:tabs>
    </w:pPr>
    <w:rPr>
      <w:lang w:eastAsia="bg-BG"/>
    </w:rPr>
  </w:style>
  <w:style w:type="paragraph" w:styleId="BodyText3">
    <w:name w:val="Body Text 3"/>
    <w:basedOn w:val="Normal"/>
    <w:rsid w:val="00262391"/>
    <w:pPr>
      <w:spacing w:after="120"/>
    </w:pPr>
    <w:rPr>
      <w:sz w:val="16"/>
      <w:szCs w:val="16"/>
    </w:rPr>
  </w:style>
  <w:style w:type="paragraph" w:styleId="Footer">
    <w:name w:val="footer"/>
    <w:basedOn w:val="Normal"/>
    <w:rsid w:val="00A74112"/>
    <w:pPr>
      <w:tabs>
        <w:tab w:val="center" w:pos="4536"/>
        <w:tab w:val="right" w:pos="9072"/>
      </w:tabs>
    </w:pPr>
  </w:style>
  <w:style w:type="character" w:styleId="PageNumber">
    <w:name w:val="page number"/>
    <w:basedOn w:val="DefaultParagraphFont"/>
    <w:rsid w:val="00A74112"/>
  </w:style>
  <w:style w:type="paragraph" w:customStyle="1" w:styleId="CharChar3CharChar">
    <w:name w:val="Char Char3 Char Char"/>
    <w:basedOn w:val="Normal"/>
    <w:semiHidden/>
    <w:rsid w:val="00EE4B3F"/>
    <w:pPr>
      <w:tabs>
        <w:tab w:val="left" w:pos="709"/>
      </w:tabs>
    </w:pPr>
    <w:rPr>
      <w:rFonts w:ascii="Futura Bk" w:hAnsi="Futura Bk"/>
      <w:lang w:val="pl-PL" w:eastAsia="pl-PL"/>
    </w:rPr>
  </w:style>
  <w:style w:type="paragraph" w:customStyle="1" w:styleId="CharCharCharChar">
    <w:name w:val="Char Char Char Char"/>
    <w:basedOn w:val="Normal"/>
    <w:rsid w:val="00A14560"/>
    <w:pPr>
      <w:spacing w:after="160" w:line="240" w:lineRule="exact"/>
    </w:pPr>
    <w:rPr>
      <w:rFonts w:ascii="Tahoma" w:hAnsi="Tahoma"/>
      <w:sz w:val="20"/>
      <w:szCs w:val="20"/>
      <w:lang w:val="en-US"/>
    </w:rPr>
  </w:style>
  <w:style w:type="paragraph" w:styleId="BodyTextIndent2">
    <w:name w:val="Body Text Indent 2"/>
    <w:basedOn w:val="Normal"/>
    <w:rsid w:val="00C32154"/>
    <w:pPr>
      <w:spacing w:after="120" w:line="480" w:lineRule="auto"/>
      <w:ind w:left="283"/>
    </w:pPr>
  </w:style>
  <w:style w:type="paragraph" w:styleId="BalloonText">
    <w:name w:val="Balloon Text"/>
    <w:basedOn w:val="Normal"/>
    <w:link w:val="BalloonTextChar"/>
    <w:semiHidden/>
    <w:rsid w:val="00144BF2"/>
    <w:rPr>
      <w:rFonts w:ascii="Tahoma" w:hAnsi="Tahoma" w:cs="Tahoma"/>
      <w:sz w:val="16"/>
      <w:szCs w:val="16"/>
    </w:rPr>
  </w:style>
  <w:style w:type="paragraph" w:styleId="EndnoteText">
    <w:name w:val="endnote text"/>
    <w:basedOn w:val="Normal"/>
    <w:semiHidden/>
    <w:rsid w:val="00F870BF"/>
    <w:rPr>
      <w:sz w:val="20"/>
      <w:szCs w:val="20"/>
    </w:rPr>
  </w:style>
  <w:style w:type="character" w:styleId="EndnoteReference">
    <w:name w:val="endnote reference"/>
    <w:semiHidden/>
    <w:rsid w:val="00F870BF"/>
    <w:rPr>
      <w:vertAlign w:val="superscript"/>
    </w:rPr>
  </w:style>
  <w:style w:type="character" w:styleId="CommentReference">
    <w:name w:val="annotation reference"/>
    <w:semiHidden/>
    <w:rsid w:val="00A252C3"/>
    <w:rPr>
      <w:sz w:val="16"/>
      <w:szCs w:val="16"/>
    </w:rPr>
  </w:style>
  <w:style w:type="paragraph" w:styleId="CommentText">
    <w:name w:val="annotation text"/>
    <w:basedOn w:val="Normal"/>
    <w:link w:val="CommentTextChar"/>
    <w:semiHidden/>
    <w:rsid w:val="00A252C3"/>
    <w:rPr>
      <w:sz w:val="20"/>
      <w:szCs w:val="20"/>
    </w:rPr>
  </w:style>
  <w:style w:type="character" w:customStyle="1" w:styleId="HeaderChar1">
    <w:name w:val="Header Char1"/>
    <w:aliases w:val="Header Char Char,Header Char1 Char Char,Header Char Char Char Char,Header Char3 Char Char Char Char,Header Char1 Char Char Char Char1 Char Char,Header Char Char Char Char Char Char1 Char Char,Header Char2 Char1 Char Char Char Char"/>
    <w:link w:val="Header"/>
    <w:rsid w:val="00166023"/>
    <w:rPr>
      <w:sz w:val="24"/>
      <w:szCs w:val="24"/>
      <w:lang w:val="bg-BG" w:eastAsia="bg-BG" w:bidi="ar-SA"/>
    </w:rPr>
  </w:style>
  <w:style w:type="paragraph" w:customStyle="1" w:styleId="Char1">
    <w:name w:val="Char1"/>
    <w:basedOn w:val="Normal"/>
    <w:semiHidden/>
    <w:rsid w:val="008138E4"/>
    <w:pPr>
      <w:tabs>
        <w:tab w:val="left" w:pos="709"/>
      </w:tabs>
    </w:pPr>
    <w:rPr>
      <w:rFonts w:ascii="Futura Bk" w:hAnsi="Futura Bk"/>
      <w:lang w:val="pl-PL" w:eastAsia="pl-PL"/>
    </w:rPr>
  </w:style>
  <w:style w:type="paragraph" w:customStyle="1" w:styleId="default">
    <w:name w:val="default"/>
    <w:basedOn w:val="Normal"/>
    <w:rsid w:val="003C14B1"/>
    <w:pPr>
      <w:spacing w:before="100" w:beforeAutospacing="1" w:after="100" w:afterAutospacing="1"/>
    </w:pPr>
    <w:rPr>
      <w:lang w:eastAsia="bg-BG"/>
    </w:rPr>
  </w:style>
  <w:style w:type="character" w:styleId="Strong">
    <w:name w:val="Strong"/>
    <w:uiPriority w:val="99"/>
    <w:qFormat/>
    <w:rsid w:val="003E37A0"/>
    <w:rPr>
      <w:b/>
      <w:bCs/>
    </w:rPr>
  </w:style>
  <w:style w:type="character" w:customStyle="1" w:styleId="BalloonTextChar">
    <w:name w:val="Balloon Text Char"/>
    <w:link w:val="BalloonText"/>
    <w:semiHidden/>
    <w:locked/>
    <w:rsid w:val="00DD1EFE"/>
    <w:rPr>
      <w:rFonts w:ascii="Tahoma" w:hAnsi="Tahoma" w:cs="Tahoma"/>
      <w:sz w:val="16"/>
      <w:szCs w:val="16"/>
      <w:lang w:val="en-GB" w:eastAsia="en-US" w:bidi="ar-SA"/>
    </w:rPr>
  </w:style>
  <w:style w:type="paragraph" w:customStyle="1" w:styleId="Default0">
    <w:name w:val="Default"/>
    <w:rsid w:val="00DD1EFE"/>
    <w:pPr>
      <w:autoSpaceDE w:val="0"/>
      <w:autoSpaceDN w:val="0"/>
      <w:adjustRightInd w:val="0"/>
    </w:pPr>
    <w:rPr>
      <w:rFonts w:ascii="Calibri" w:hAnsi="Calibri" w:cs="Calibri"/>
      <w:color w:val="000000"/>
      <w:sz w:val="24"/>
      <w:szCs w:val="24"/>
      <w:lang w:val="bg-BG"/>
    </w:rPr>
  </w:style>
  <w:style w:type="character" w:customStyle="1" w:styleId="FootnoteTextChar">
    <w:name w:val="Footnote Text Char"/>
    <w:aliases w:val="Fußnotentext arial Char"/>
    <w:link w:val="FootnoteText"/>
    <w:rsid w:val="009A3FA1"/>
    <w:rPr>
      <w:lang w:val="en-US" w:eastAsia="en-US" w:bidi="ar-SA"/>
    </w:rPr>
  </w:style>
  <w:style w:type="paragraph" w:customStyle="1" w:styleId="CharCharCharChar1">
    <w:name w:val="Char Char Char Char1"/>
    <w:basedOn w:val="Normal"/>
    <w:semiHidden/>
    <w:rsid w:val="00B20BB9"/>
    <w:pPr>
      <w:tabs>
        <w:tab w:val="left" w:pos="709"/>
      </w:tabs>
    </w:pPr>
    <w:rPr>
      <w:rFonts w:ascii="Futura Bk" w:hAnsi="Futura Bk"/>
      <w:lang w:val="pl-PL" w:eastAsia="pl-PL"/>
    </w:rPr>
  </w:style>
  <w:style w:type="character" w:customStyle="1" w:styleId="BodyText2Char">
    <w:name w:val="Body Text 2 Char"/>
    <w:link w:val="BodyText2"/>
    <w:locked/>
    <w:rsid w:val="002D5811"/>
    <w:rPr>
      <w:sz w:val="24"/>
      <w:szCs w:val="24"/>
      <w:lang w:val="en-GB" w:eastAsia="en-US" w:bidi="ar-SA"/>
    </w:rPr>
  </w:style>
  <w:style w:type="character" w:styleId="Hyperlink">
    <w:name w:val="Hyperlink"/>
    <w:uiPriority w:val="99"/>
    <w:unhideWhenUsed/>
    <w:rsid w:val="00231385"/>
    <w:rPr>
      <w:strike w:val="0"/>
      <w:dstrike w:val="0"/>
      <w:color w:val="004A8F"/>
      <w:u w:val="none"/>
      <w:effect w:val="none"/>
    </w:rPr>
  </w:style>
  <w:style w:type="paragraph" w:styleId="NormalWeb">
    <w:name w:val="Normal (Web)"/>
    <w:basedOn w:val="Normal"/>
    <w:uiPriority w:val="99"/>
    <w:unhideWhenUsed/>
    <w:rsid w:val="00231385"/>
    <w:pPr>
      <w:spacing w:before="100" w:beforeAutospacing="1" w:after="100" w:afterAutospacing="1" w:line="312" w:lineRule="atLeast"/>
      <w:jc w:val="both"/>
    </w:pPr>
    <w:rPr>
      <w:lang w:val="en-US"/>
    </w:rPr>
  </w:style>
  <w:style w:type="character" w:customStyle="1" w:styleId="ala13">
    <w:name w:val="al_a13"/>
    <w:uiPriority w:val="99"/>
    <w:rsid w:val="00B7424D"/>
  </w:style>
  <w:style w:type="paragraph" w:styleId="ListParagraph">
    <w:name w:val="List Paragraph"/>
    <w:basedOn w:val="Normal"/>
    <w:uiPriority w:val="34"/>
    <w:qFormat/>
    <w:rsid w:val="00C818E7"/>
    <w:pPr>
      <w:spacing w:after="120" w:line="360" w:lineRule="auto"/>
      <w:ind w:left="720" w:firstLine="720"/>
      <w:contextualSpacing/>
      <w:jc w:val="both"/>
    </w:pPr>
    <w:rPr>
      <w:rFonts w:ascii="Arial" w:hAnsi="Arial"/>
      <w:szCs w:val="20"/>
    </w:rPr>
  </w:style>
  <w:style w:type="paragraph" w:customStyle="1" w:styleId="CharChar3">
    <w:name w:val="Char Char3"/>
    <w:basedOn w:val="Normal"/>
    <w:semiHidden/>
    <w:rsid w:val="009269F4"/>
    <w:pPr>
      <w:tabs>
        <w:tab w:val="left" w:pos="709"/>
      </w:tabs>
    </w:pPr>
    <w:rPr>
      <w:rFonts w:ascii="Futura Bk" w:hAnsi="Futura Bk"/>
      <w:lang w:val="pl-PL" w:eastAsia="pl-PL"/>
    </w:rPr>
  </w:style>
  <w:style w:type="character" w:customStyle="1" w:styleId="BodyTextIndentChar">
    <w:name w:val="Body Text Indent Char"/>
    <w:link w:val="BodyTextIndent"/>
    <w:uiPriority w:val="99"/>
    <w:locked/>
    <w:rsid w:val="00DA31ED"/>
    <w:rPr>
      <w:sz w:val="24"/>
      <w:szCs w:val="24"/>
      <w:lang w:val="bg-BG"/>
    </w:rPr>
  </w:style>
  <w:style w:type="paragraph" w:customStyle="1" w:styleId="NormalFirstline">
    <w:name w:val="Normal + First line"/>
    <w:aliases w:val="1.25 cm,After 6 pt"/>
    <w:basedOn w:val="Normal"/>
    <w:rsid w:val="00BD3B54"/>
    <w:rPr>
      <w:sz w:val="20"/>
      <w:szCs w:val="20"/>
    </w:rPr>
  </w:style>
  <w:style w:type="paragraph" w:styleId="CommentSubject">
    <w:name w:val="annotation subject"/>
    <w:basedOn w:val="CommentText"/>
    <w:next w:val="CommentText"/>
    <w:link w:val="CommentSubjectChar"/>
    <w:semiHidden/>
    <w:rsid w:val="00381745"/>
    <w:rPr>
      <w:b/>
      <w:bCs/>
    </w:rPr>
  </w:style>
  <w:style w:type="character" w:customStyle="1" w:styleId="CommentTextChar">
    <w:name w:val="Comment Text Char"/>
    <w:link w:val="CommentText"/>
    <w:semiHidden/>
    <w:rsid w:val="009F38CE"/>
    <w:rPr>
      <w:lang w:eastAsia="en-US"/>
    </w:rPr>
  </w:style>
  <w:style w:type="character" w:customStyle="1" w:styleId="CommentSubjectChar">
    <w:name w:val="Comment Subject Char"/>
    <w:link w:val="CommentSubject"/>
    <w:semiHidden/>
    <w:rsid w:val="009F38CE"/>
    <w:rPr>
      <w:b/>
      <w:bCs/>
      <w:lang w:eastAsia="en-US"/>
    </w:rPr>
  </w:style>
  <w:style w:type="character" w:customStyle="1" w:styleId="TitleChar">
    <w:name w:val="Title Char"/>
    <w:link w:val="Title"/>
    <w:rsid w:val="00C1518C"/>
    <w:rPr>
      <w:b/>
      <w:sz w:val="24"/>
      <w:lang w:eastAsia="en-US"/>
    </w:rPr>
  </w:style>
  <w:style w:type="character" w:customStyle="1" w:styleId="BodyTextChar">
    <w:name w:val="Body Text Char"/>
    <w:link w:val="BodyText"/>
    <w:rsid w:val="00A10AC7"/>
    <w:rPr>
      <w:sz w:val="24"/>
      <w:szCs w:val="24"/>
      <w:lang w:val="bg-BG"/>
    </w:rPr>
  </w:style>
  <w:style w:type="paragraph" w:styleId="Revision">
    <w:name w:val="Revision"/>
    <w:hidden/>
    <w:uiPriority w:val="99"/>
    <w:semiHidden/>
    <w:rsid w:val="00F32913"/>
    <w:rPr>
      <w:sz w:val="24"/>
      <w:szCs w:val="24"/>
      <w:lang w:val="bg-BG"/>
    </w:rPr>
  </w:style>
  <w:style w:type="paragraph" w:customStyle="1" w:styleId="m">
    <w:name w:val="m"/>
    <w:basedOn w:val="Normal"/>
    <w:rsid w:val="00675E99"/>
    <w:pPr>
      <w:spacing w:before="100" w:beforeAutospacing="1" w:after="100" w:afterAutospacing="1"/>
    </w:pPr>
    <w:rPr>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0982">
      <w:bodyDiv w:val="1"/>
      <w:marLeft w:val="0"/>
      <w:marRight w:val="0"/>
      <w:marTop w:val="0"/>
      <w:marBottom w:val="0"/>
      <w:divBdr>
        <w:top w:val="none" w:sz="0" w:space="0" w:color="auto"/>
        <w:left w:val="none" w:sz="0" w:space="0" w:color="auto"/>
        <w:bottom w:val="none" w:sz="0" w:space="0" w:color="auto"/>
        <w:right w:val="none" w:sz="0" w:space="0" w:color="auto"/>
      </w:divBdr>
    </w:div>
    <w:div w:id="488985167">
      <w:bodyDiv w:val="1"/>
      <w:marLeft w:val="0"/>
      <w:marRight w:val="0"/>
      <w:marTop w:val="0"/>
      <w:marBottom w:val="0"/>
      <w:divBdr>
        <w:top w:val="none" w:sz="0" w:space="0" w:color="auto"/>
        <w:left w:val="none" w:sz="0" w:space="0" w:color="auto"/>
        <w:bottom w:val="none" w:sz="0" w:space="0" w:color="auto"/>
        <w:right w:val="none" w:sz="0" w:space="0" w:color="auto"/>
      </w:divBdr>
    </w:div>
    <w:div w:id="567035072">
      <w:bodyDiv w:val="1"/>
      <w:marLeft w:val="0"/>
      <w:marRight w:val="0"/>
      <w:marTop w:val="0"/>
      <w:marBottom w:val="0"/>
      <w:divBdr>
        <w:top w:val="none" w:sz="0" w:space="0" w:color="auto"/>
        <w:left w:val="none" w:sz="0" w:space="0" w:color="auto"/>
        <w:bottom w:val="none" w:sz="0" w:space="0" w:color="auto"/>
        <w:right w:val="none" w:sz="0" w:space="0" w:color="auto"/>
      </w:divBdr>
      <w:divsChild>
        <w:div w:id="1294481459">
          <w:marLeft w:val="0"/>
          <w:marRight w:val="0"/>
          <w:marTop w:val="0"/>
          <w:marBottom w:val="0"/>
          <w:divBdr>
            <w:top w:val="none" w:sz="0" w:space="0" w:color="auto"/>
            <w:left w:val="none" w:sz="0" w:space="0" w:color="auto"/>
            <w:bottom w:val="none" w:sz="0" w:space="0" w:color="auto"/>
            <w:right w:val="none" w:sz="0" w:space="0" w:color="auto"/>
          </w:divBdr>
        </w:div>
      </w:divsChild>
    </w:div>
    <w:div w:id="769817748">
      <w:bodyDiv w:val="1"/>
      <w:marLeft w:val="0"/>
      <w:marRight w:val="0"/>
      <w:marTop w:val="0"/>
      <w:marBottom w:val="0"/>
      <w:divBdr>
        <w:top w:val="none" w:sz="0" w:space="0" w:color="auto"/>
        <w:left w:val="none" w:sz="0" w:space="0" w:color="auto"/>
        <w:bottom w:val="none" w:sz="0" w:space="0" w:color="auto"/>
        <w:right w:val="none" w:sz="0" w:space="0" w:color="auto"/>
      </w:divBdr>
    </w:div>
    <w:div w:id="1198473878">
      <w:bodyDiv w:val="1"/>
      <w:marLeft w:val="0"/>
      <w:marRight w:val="0"/>
      <w:marTop w:val="0"/>
      <w:marBottom w:val="0"/>
      <w:divBdr>
        <w:top w:val="none" w:sz="0" w:space="0" w:color="auto"/>
        <w:left w:val="none" w:sz="0" w:space="0" w:color="auto"/>
        <w:bottom w:val="none" w:sz="0" w:space="0" w:color="auto"/>
        <w:right w:val="none" w:sz="0" w:space="0" w:color="auto"/>
      </w:divBdr>
    </w:div>
    <w:div w:id="1228757899">
      <w:bodyDiv w:val="1"/>
      <w:marLeft w:val="0"/>
      <w:marRight w:val="0"/>
      <w:marTop w:val="0"/>
      <w:marBottom w:val="0"/>
      <w:divBdr>
        <w:top w:val="none" w:sz="0" w:space="0" w:color="auto"/>
        <w:left w:val="none" w:sz="0" w:space="0" w:color="auto"/>
        <w:bottom w:val="none" w:sz="0" w:space="0" w:color="auto"/>
        <w:right w:val="none" w:sz="0" w:space="0" w:color="auto"/>
      </w:divBdr>
      <w:divsChild>
        <w:div w:id="1764762949">
          <w:marLeft w:val="0"/>
          <w:marRight w:val="0"/>
          <w:marTop w:val="0"/>
          <w:marBottom w:val="0"/>
          <w:divBdr>
            <w:top w:val="none" w:sz="0" w:space="0" w:color="auto"/>
            <w:left w:val="none" w:sz="0" w:space="0" w:color="auto"/>
            <w:bottom w:val="none" w:sz="0" w:space="0" w:color="auto"/>
            <w:right w:val="none" w:sz="0" w:space="0" w:color="auto"/>
          </w:divBdr>
          <w:divsChild>
            <w:div w:id="1689597285">
              <w:marLeft w:val="0"/>
              <w:marRight w:val="0"/>
              <w:marTop w:val="0"/>
              <w:marBottom w:val="0"/>
              <w:divBdr>
                <w:top w:val="none" w:sz="0" w:space="0" w:color="auto"/>
                <w:left w:val="none" w:sz="0" w:space="0" w:color="auto"/>
                <w:bottom w:val="none" w:sz="0" w:space="0" w:color="auto"/>
                <w:right w:val="none" w:sz="0" w:space="0" w:color="auto"/>
              </w:divBdr>
              <w:divsChild>
                <w:div w:id="754782278">
                  <w:marLeft w:val="0"/>
                  <w:marRight w:val="0"/>
                  <w:marTop w:val="0"/>
                  <w:marBottom w:val="0"/>
                  <w:divBdr>
                    <w:top w:val="none" w:sz="0" w:space="0" w:color="auto"/>
                    <w:left w:val="none" w:sz="0" w:space="0" w:color="auto"/>
                    <w:bottom w:val="none" w:sz="0" w:space="0" w:color="auto"/>
                    <w:right w:val="none" w:sz="0" w:space="0" w:color="auto"/>
                  </w:divBdr>
                  <w:divsChild>
                    <w:div w:id="20970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555913">
      <w:bodyDiv w:val="1"/>
      <w:marLeft w:val="0"/>
      <w:marRight w:val="0"/>
      <w:marTop w:val="0"/>
      <w:marBottom w:val="0"/>
      <w:divBdr>
        <w:top w:val="none" w:sz="0" w:space="0" w:color="auto"/>
        <w:left w:val="none" w:sz="0" w:space="0" w:color="auto"/>
        <w:bottom w:val="none" w:sz="0" w:space="0" w:color="auto"/>
        <w:right w:val="none" w:sz="0" w:space="0" w:color="auto"/>
      </w:divBdr>
      <w:divsChild>
        <w:div w:id="1132287915">
          <w:marLeft w:val="240"/>
          <w:marRight w:val="240"/>
          <w:marTop w:val="0"/>
          <w:marBottom w:val="0"/>
          <w:divBdr>
            <w:top w:val="none" w:sz="0" w:space="0" w:color="auto"/>
            <w:left w:val="none" w:sz="0" w:space="0" w:color="auto"/>
            <w:bottom w:val="none" w:sz="0" w:space="0" w:color="auto"/>
            <w:right w:val="none" w:sz="0" w:space="0" w:color="auto"/>
          </w:divBdr>
          <w:divsChild>
            <w:div w:id="2001541574">
              <w:marLeft w:val="0"/>
              <w:marRight w:val="0"/>
              <w:marTop w:val="0"/>
              <w:marBottom w:val="120"/>
              <w:divBdr>
                <w:top w:val="none" w:sz="0" w:space="0" w:color="auto"/>
                <w:left w:val="none" w:sz="0" w:space="0" w:color="auto"/>
                <w:bottom w:val="single" w:sz="6" w:space="0" w:color="A7A9AC"/>
                <w:right w:val="none" w:sz="0" w:space="0" w:color="auto"/>
              </w:divBdr>
            </w:div>
          </w:divsChild>
        </w:div>
      </w:divsChild>
    </w:div>
    <w:div w:id="1334607600">
      <w:bodyDiv w:val="1"/>
      <w:marLeft w:val="0"/>
      <w:marRight w:val="0"/>
      <w:marTop w:val="0"/>
      <w:marBottom w:val="0"/>
      <w:divBdr>
        <w:top w:val="none" w:sz="0" w:space="0" w:color="auto"/>
        <w:left w:val="none" w:sz="0" w:space="0" w:color="auto"/>
        <w:bottom w:val="none" w:sz="0" w:space="0" w:color="auto"/>
        <w:right w:val="none" w:sz="0" w:space="0" w:color="auto"/>
      </w:divBdr>
    </w:div>
    <w:div w:id="1640960128">
      <w:bodyDiv w:val="1"/>
      <w:marLeft w:val="0"/>
      <w:marRight w:val="0"/>
      <w:marTop w:val="0"/>
      <w:marBottom w:val="0"/>
      <w:divBdr>
        <w:top w:val="none" w:sz="0" w:space="0" w:color="auto"/>
        <w:left w:val="none" w:sz="0" w:space="0" w:color="auto"/>
        <w:bottom w:val="none" w:sz="0" w:space="0" w:color="auto"/>
        <w:right w:val="none" w:sz="0" w:space="0" w:color="auto"/>
      </w:divBdr>
    </w:div>
    <w:div w:id="1752582637">
      <w:bodyDiv w:val="1"/>
      <w:marLeft w:val="0"/>
      <w:marRight w:val="0"/>
      <w:marTop w:val="0"/>
      <w:marBottom w:val="0"/>
      <w:divBdr>
        <w:top w:val="none" w:sz="0" w:space="0" w:color="auto"/>
        <w:left w:val="none" w:sz="0" w:space="0" w:color="auto"/>
        <w:bottom w:val="none" w:sz="0" w:space="0" w:color="auto"/>
        <w:right w:val="none" w:sz="0" w:space="0" w:color="auto"/>
      </w:divBdr>
    </w:div>
    <w:div w:id="1929189253">
      <w:bodyDiv w:val="1"/>
      <w:marLeft w:val="0"/>
      <w:marRight w:val="0"/>
      <w:marTop w:val="0"/>
      <w:marBottom w:val="0"/>
      <w:divBdr>
        <w:top w:val="none" w:sz="0" w:space="0" w:color="auto"/>
        <w:left w:val="none" w:sz="0" w:space="0" w:color="auto"/>
        <w:bottom w:val="none" w:sz="0" w:space="0" w:color="auto"/>
        <w:right w:val="none" w:sz="0" w:space="0" w:color="auto"/>
      </w:divBdr>
    </w:div>
    <w:div w:id="2072146161">
      <w:bodyDiv w:val="1"/>
      <w:marLeft w:val="0"/>
      <w:marRight w:val="0"/>
      <w:marTop w:val="0"/>
      <w:marBottom w:val="0"/>
      <w:divBdr>
        <w:top w:val="none" w:sz="0" w:space="0" w:color="auto"/>
        <w:left w:val="none" w:sz="0" w:space="0" w:color="auto"/>
        <w:bottom w:val="none" w:sz="0" w:space="0" w:color="auto"/>
        <w:right w:val="none" w:sz="0" w:space="0" w:color="auto"/>
      </w:divBdr>
    </w:div>
    <w:div w:id="2078552652">
      <w:bodyDiv w:val="1"/>
      <w:marLeft w:val="0"/>
      <w:marRight w:val="0"/>
      <w:marTop w:val="0"/>
      <w:marBottom w:val="0"/>
      <w:divBdr>
        <w:top w:val="none" w:sz="0" w:space="0" w:color="auto"/>
        <w:left w:val="none" w:sz="0" w:space="0" w:color="auto"/>
        <w:bottom w:val="none" w:sz="0" w:space="0" w:color="auto"/>
        <w:right w:val="none" w:sz="0" w:space="0" w:color="auto"/>
      </w:divBdr>
      <w:divsChild>
        <w:div w:id="1512406735">
          <w:marLeft w:val="0"/>
          <w:marRight w:val="0"/>
          <w:marTop w:val="0"/>
          <w:marBottom w:val="0"/>
          <w:divBdr>
            <w:top w:val="none" w:sz="0" w:space="0" w:color="auto"/>
            <w:left w:val="none" w:sz="0" w:space="0" w:color="auto"/>
            <w:bottom w:val="none" w:sz="0" w:space="0" w:color="auto"/>
            <w:right w:val="none" w:sz="0" w:space="0" w:color="auto"/>
          </w:divBdr>
          <w:divsChild>
            <w:div w:id="1991667719">
              <w:marLeft w:val="0"/>
              <w:marRight w:val="0"/>
              <w:marTop w:val="0"/>
              <w:marBottom w:val="0"/>
              <w:divBdr>
                <w:top w:val="none" w:sz="0" w:space="0" w:color="auto"/>
                <w:left w:val="none" w:sz="0" w:space="0" w:color="auto"/>
                <w:bottom w:val="none" w:sz="0" w:space="0" w:color="auto"/>
                <w:right w:val="none" w:sz="0" w:space="0" w:color="auto"/>
              </w:divBdr>
              <w:divsChild>
                <w:div w:id="1413895954">
                  <w:marLeft w:val="0"/>
                  <w:marRight w:val="0"/>
                  <w:marTop w:val="0"/>
                  <w:marBottom w:val="0"/>
                  <w:divBdr>
                    <w:top w:val="none" w:sz="0" w:space="0" w:color="auto"/>
                    <w:left w:val="none" w:sz="0" w:space="0" w:color="auto"/>
                    <w:bottom w:val="none" w:sz="0" w:space="0" w:color="auto"/>
                    <w:right w:val="none" w:sz="0" w:space="0" w:color="auto"/>
                  </w:divBdr>
                  <w:divsChild>
                    <w:div w:id="87288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mfshare\MF\&#1044;&#1066;&#1056;&#1046;&#1040;&#1042;&#1053;&#1054;%20&#1057;&#1066;&#1050;&#1056;&#1054;&#1042;&#1048;&#1065;&#1045;\&#1050;&#1041;&#1055;&#1040;\public\&#1048;&#1085;&#1092;&#1086;&#1088;&#1084;&#1072;&#1094;&#1080;&#1086;&#1085;&#1077;&#1085;%20&#1073;&#1102;&#1083;&#1077;&#1090;&#1080;&#1085;\2019\December\KFP_12_2019_razhodi_BVP.xlsx" TargetMode="Externa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nchor="ctr" anchorCtr="1"/>
          <a:lstStyle/>
          <a:p>
            <a:pPr>
              <a:defRPr sz="900">
                <a:latin typeface="Times New Roman" pitchFamily="18" charset="0"/>
                <a:cs typeface="Times New Roman" pitchFamily="18" charset="0"/>
              </a:defRPr>
            </a:pPr>
            <a:r>
              <a:rPr lang="bg-BG" sz="900" b="1">
                <a:effectLst/>
                <a:latin typeface="Times New Roman" pitchFamily="18" charset="0"/>
                <a:cs typeface="Times New Roman" pitchFamily="18" charset="0"/>
              </a:rPr>
              <a:t>Разходи по КФП за 2018 г. и 2019 г., като отонсителен дял в БВП</a:t>
            </a:r>
            <a:endParaRPr lang="bg-BG" sz="900">
              <a:effectLst/>
              <a:latin typeface="Times New Roman" pitchFamily="18" charset="0"/>
              <a:cs typeface="Times New Roman" pitchFamily="18" charset="0"/>
            </a:endParaRPr>
          </a:p>
        </c:rich>
      </c:tx>
      <c:layout>
        <c:manualLayout>
          <c:xMode val="edge"/>
          <c:yMode val="edge"/>
          <c:x val="0.16723876520252251"/>
          <c:y val="1.0149566451232188E-2"/>
        </c:manualLayout>
      </c:layout>
      <c:overlay val="0"/>
    </c:title>
    <c:autoTitleDeleted val="0"/>
    <c:view3D>
      <c:rotX val="15"/>
      <c:rotY val="20"/>
      <c:depthPercent val="220"/>
      <c:rAngAx val="1"/>
    </c:view3D>
    <c:floor>
      <c:thickness val="0"/>
    </c:floor>
    <c:sideWall>
      <c:thickness val="0"/>
    </c:sideWall>
    <c:backWall>
      <c:thickness val="0"/>
    </c:backWall>
    <c:plotArea>
      <c:layout>
        <c:manualLayout>
          <c:layoutTarget val="inner"/>
          <c:xMode val="edge"/>
          <c:yMode val="edge"/>
          <c:x val="0.30877545730558403"/>
          <c:y val="9.2501868959035408E-2"/>
          <c:w val="0.64380431046252296"/>
          <c:h val="0.77331308834913315"/>
        </c:manualLayout>
      </c:layout>
      <c:bar3DChart>
        <c:barDir val="bar"/>
        <c:grouping val="clustered"/>
        <c:varyColors val="0"/>
        <c:ser>
          <c:idx val="0"/>
          <c:order val="0"/>
          <c:tx>
            <c:strRef>
              <c:f>Sheet2!$D$33</c:f>
              <c:strCache>
                <c:ptCount val="1"/>
                <c:pt idx="0">
                  <c:v>  2018</c:v>
                </c:pt>
              </c:strCache>
            </c:strRef>
          </c:tx>
          <c:spPr>
            <a:solidFill>
              <a:schemeClr val="accent2">
                <a:lumMod val="75000"/>
              </a:schemeClr>
            </a:solidFill>
          </c:spPr>
          <c:invertIfNegative val="0"/>
          <c:dLbls>
            <c:dLbl>
              <c:idx val="0"/>
              <c:layout>
                <c:manualLayout>
                  <c:x val="3.7225528060169546E-3"/>
                  <c:y val="5.26292233915763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ABB6-4A36-A66D-CB66FA41459A}"/>
                </c:ext>
              </c:extLst>
            </c:dLbl>
            <c:dLbl>
              <c:idx val="1"/>
              <c:layout>
                <c:manualLayout>
                  <c:x val="8.8131589484444078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ABB6-4A36-A66D-CB66FA41459A}"/>
                </c:ext>
              </c:extLst>
            </c:dLbl>
            <c:dLbl>
              <c:idx val="2"/>
              <c:layout>
                <c:manualLayout>
                  <c:x val="7.0505271587555261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ABB6-4A36-A66D-CB66FA41459A}"/>
                </c:ext>
              </c:extLst>
            </c:dLbl>
            <c:dLbl>
              <c:idx val="4"/>
              <c:layout>
                <c:manualLayout>
                  <c:x val="1.057579073813329E-2"/>
                  <c:y val="-3.303964471195283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ABB6-4A36-A66D-CB66FA41459A}"/>
                </c:ext>
              </c:extLst>
            </c:dLbl>
            <c:dLbl>
              <c:idx val="6"/>
              <c:layout>
                <c:manualLayout>
                  <c:x val="0"/>
                  <c:y val="5.257623554153522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ABB6-4A36-A66D-CB66FA41459A}"/>
                </c:ext>
              </c:extLst>
            </c:dLbl>
            <c:dLbl>
              <c:idx val="7"/>
              <c:layout>
                <c:manualLayout>
                  <c:x val="2.5907727007269872E-3"/>
                  <c:y val="-5.268801179032431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ABB6-4A36-A66D-CB66FA41459A}"/>
                </c:ext>
              </c:extLst>
            </c:dLbl>
            <c:dLbl>
              <c:idx val="8"/>
              <c:layout>
                <c:manualLayout>
                  <c:x val="2.2844368512401703E-3"/>
                  <c:y val="-1.052584467831526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ABB6-4A36-A66D-CB66FA41459A}"/>
                </c:ext>
              </c:extLst>
            </c:dLbl>
            <c:spPr>
              <a:noFill/>
              <a:ln>
                <a:noFill/>
              </a:ln>
              <a:effectLst/>
            </c:spPr>
            <c:txPr>
              <a:bodyPr/>
              <a:lstStyle/>
              <a:p>
                <a:pPr>
                  <a:defRPr sz="750">
                    <a:latin typeface="Times New Roman" pitchFamily="18" charset="0"/>
                    <a:cs typeface="Times New Roman" pitchFamily="18" charset="0"/>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Sheet2!$A$34:$A$42</c:f>
              <c:strCache>
                <c:ptCount val="9"/>
                <c:pt idx="0">
                  <c:v>Общо разходи и вноска в бюджета на ЕС</c:v>
                </c:pt>
                <c:pt idx="1">
                  <c:v>Вноска в бюджета на ЕС</c:v>
                </c:pt>
                <c:pt idx="2">
                  <c:v>Разходи за персонал</c:v>
                </c:pt>
                <c:pt idx="3">
                  <c:v>Издръжка </c:v>
                </c:pt>
                <c:pt idx="4">
                  <c:v>Лихвени р-ди</c:v>
                </c:pt>
                <c:pt idx="5">
                  <c:v>Социални разходи, стипендии </c:v>
                </c:pt>
                <c:pt idx="6">
                  <c:v>Субсидии</c:v>
                </c:pt>
                <c:pt idx="7">
                  <c:v>Капиталови р-ди*</c:v>
                </c:pt>
                <c:pt idx="8">
                  <c:v>Предост. тек. и капит. трансф. за чужбина</c:v>
                </c:pt>
              </c:strCache>
            </c:strRef>
          </c:cat>
          <c:val>
            <c:numRef>
              <c:f>Sheet2!$D$34:$D$42</c:f>
              <c:numCache>
                <c:formatCode>0.0%</c:formatCode>
                <c:ptCount val="9"/>
                <c:pt idx="0">
                  <c:v>0.36023338277505496</c:v>
                </c:pt>
                <c:pt idx="1">
                  <c:v>9.8765611097079761E-3</c:v>
                </c:pt>
                <c:pt idx="2">
                  <c:v>8.0070622569592076E-2</c:v>
                </c:pt>
                <c:pt idx="3">
                  <c:v>4.0257328594549224E-2</c:v>
                </c:pt>
                <c:pt idx="4">
                  <c:v>6.2740884948927168E-3</c:v>
                </c:pt>
                <c:pt idx="5">
                  <c:v>0.14744969407621447</c:v>
                </c:pt>
                <c:pt idx="6">
                  <c:v>2.7258019447684877E-2</c:v>
                </c:pt>
                <c:pt idx="7">
                  <c:v>4.8549812190285584E-2</c:v>
                </c:pt>
                <c:pt idx="8" formatCode="0.00%">
                  <c:v>4.9725629212796359E-4</c:v>
                </c:pt>
              </c:numCache>
            </c:numRef>
          </c:val>
          <c:extLst xmlns:c16r2="http://schemas.microsoft.com/office/drawing/2015/06/chart">
            <c:ext xmlns:c16="http://schemas.microsoft.com/office/drawing/2014/chart" uri="{C3380CC4-5D6E-409C-BE32-E72D297353CC}">
              <c16:uniqueId val="{00000007-ABB6-4A36-A66D-CB66FA41459A}"/>
            </c:ext>
          </c:extLst>
        </c:ser>
        <c:ser>
          <c:idx val="1"/>
          <c:order val="1"/>
          <c:tx>
            <c:strRef>
              <c:f>Sheet2!$E$33</c:f>
              <c:strCache>
                <c:ptCount val="1"/>
                <c:pt idx="0">
                  <c:v>  2019</c:v>
                </c:pt>
              </c:strCache>
            </c:strRef>
          </c:tx>
          <c:spPr>
            <a:solidFill>
              <a:schemeClr val="accent5">
                <a:lumMod val="60000"/>
                <a:lumOff val="40000"/>
              </a:schemeClr>
            </a:solidFill>
          </c:spPr>
          <c:invertIfNegative val="0"/>
          <c:dLbls>
            <c:dLbl>
              <c:idx val="0"/>
              <c:layout>
                <c:manualLayout>
                  <c:x val="1.9815058414636181E-3"/>
                  <c:y val="-1.382488604674389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ABB6-4A36-A66D-CB66FA41459A}"/>
                </c:ext>
              </c:extLst>
            </c:dLbl>
            <c:dLbl>
              <c:idx val="1"/>
              <c:layout>
                <c:manualLayout>
                  <c:x val="5.9445175243908544E-3"/>
                  <c:y val="-6.912443023371949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ABB6-4A36-A66D-CB66FA41459A}"/>
                </c:ext>
              </c:extLst>
            </c:dLbl>
            <c:dLbl>
              <c:idx val="2"/>
              <c:layout>
                <c:manualLayout>
                  <c:x val="5.9445175243908544E-3"/>
                  <c:y val="-1.036866453505792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ABB6-4A36-A66D-CB66FA41459A}"/>
                </c:ext>
              </c:extLst>
            </c:dLbl>
            <c:dLbl>
              <c:idx val="3"/>
              <c:layout>
                <c:manualLayout>
                  <c:x val="3.9630116829272363E-3"/>
                  <c:y val="-1.382488604674389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ABB6-4A36-A66D-CB66FA41459A}"/>
                </c:ext>
              </c:extLst>
            </c:dLbl>
            <c:dLbl>
              <c:idx val="4"/>
              <c:layout>
                <c:manualLayout>
                  <c:x val="9.2509023078679309E-3"/>
                  <c:y val="-1.067310601537462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ABB6-4A36-A66D-CB66FA41459A}"/>
                </c:ext>
              </c:extLst>
            </c:dLbl>
            <c:dLbl>
              <c:idx val="5"/>
              <c:layout>
                <c:manualLayout>
                  <c:x val="3.9630482446081448E-3"/>
                  <c:y val="-2.796435136761388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ABB6-4A36-A66D-CB66FA41459A}"/>
                </c:ext>
              </c:extLst>
            </c:dLbl>
            <c:dLbl>
              <c:idx val="6"/>
              <c:layout>
                <c:manualLayout>
                  <c:x val="1.2257419229245961E-3"/>
                  <c:y val="-8.562060657244342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E-ABB6-4A36-A66D-CB66FA41459A}"/>
                </c:ext>
              </c:extLst>
            </c:dLbl>
            <c:dLbl>
              <c:idx val="7"/>
              <c:layout>
                <c:manualLayout>
                  <c:x val="6.3694416458594044E-4"/>
                  <c:y val="-2.264134054505641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F-ABB6-4A36-A66D-CB66FA41459A}"/>
                </c:ext>
              </c:extLst>
            </c:dLbl>
            <c:dLbl>
              <c:idx val="8"/>
              <c:layout>
                <c:manualLayout>
                  <c:x val="6.8533105537204693E-3"/>
                  <c:y val="-2.105168935663053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0-ABB6-4A36-A66D-CB66FA41459A}"/>
                </c:ext>
              </c:extLst>
            </c:dLbl>
            <c:spPr>
              <a:noFill/>
              <a:ln>
                <a:noFill/>
              </a:ln>
              <a:effectLst/>
            </c:spPr>
            <c:txPr>
              <a:bodyPr/>
              <a:lstStyle/>
              <a:p>
                <a:pPr>
                  <a:defRPr sz="750">
                    <a:latin typeface="Times New Roman" pitchFamily="18" charset="0"/>
                    <a:cs typeface="Times New Roman" pitchFamily="18" charset="0"/>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Sheet2!$A$34:$A$42</c:f>
              <c:strCache>
                <c:ptCount val="9"/>
                <c:pt idx="0">
                  <c:v>Общо разходи и вноска в бюджета на ЕС</c:v>
                </c:pt>
                <c:pt idx="1">
                  <c:v>Вноска в бюджета на ЕС</c:v>
                </c:pt>
                <c:pt idx="2">
                  <c:v>Разходи за персонал</c:v>
                </c:pt>
                <c:pt idx="3">
                  <c:v>Издръжка </c:v>
                </c:pt>
                <c:pt idx="4">
                  <c:v>Лихвени р-ди</c:v>
                </c:pt>
                <c:pt idx="5">
                  <c:v>Социални разходи, стипендии </c:v>
                </c:pt>
                <c:pt idx="6">
                  <c:v>Субсидии</c:v>
                </c:pt>
                <c:pt idx="7">
                  <c:v>Капиталови р-ди*</c:v>
                </c:pt>
                <c:pt idx="8">
                  <c:v>Предост. тек. и капит. трансф. за чужбина</c:v>
                </c:pt>
              </c:strCache>
            </c:strRef>
          </c:cat>
          <c:val>
            <c:numRef>
              <c:f>Sheet2!$E$34:$E$42</c:f>
              <c:numCache>
                <c:formatCode>0.0%</c:formatCode>
                <c:ptCount val="9"/>
                <c:pt idx="0">
                  <c:v>0.38100772267069583</c:v>
                </c:pt>
                <c:pt idx="1">
                  <c:v>1.0058152823923605E-2</c:v>
                </c:pt>
                <c:pt idx="2">
                  <c:v>8.4609903821716431E-2</c:v>
                </c:pt>
                <c:pt idx="3">
                  <c:v>3.8327208703213149E-2</c:v>
                </c:pt>
                <c:pt idx="4">
                  <c:v>5.471681431044601E-3</c:v>
                </c:pt>
                <c:pt idx="5">
                  <c:v>0.14621214530577425</c:v>
                </c:pt>
                <c:pt idx="6">
                  <c:v>3.2168986998431674E-2</c:v>
                </c:pt>
                <c:pt idx="7">
                  <c:v>6.3791528451994733E-2</c:v>
                </c:pt>
                <c:pt idx="8" formatCode="0.00%">
                  <c:v>3.6811513459738946E-4</c:v>
                </c:pt>
              </c:numCache>
            </c:numRef>
          </c:val>
          <c:extLst xmlns:c16r2="http://schemas.microsoft.com/office/drawing/2015/06/chart">
            <c:ext xmlns:c16="http://schemas.microsoft.com/office/drawing/2014/chart" uri="{C3380CC4-5D6E-409C-BE32-E72D297353CC}">
              <c16:uniqueId val="{00000011-ABB6-4A36-A66D-CB66FA41459A}"/>
            </c:ext>
          </c:extLst>
        </c:ser>
        <c:dLbls>
          <c:showLegendKey val="0"/>
          <c:showVal val="0"/>
          <c:showCatName val="0"/>
          <c:showSerName val="0"/>
          <c:showPercent val="0"/>
          <c:showBubbleSize val="0"/>
        </c:dLbls>
        <c:gapWidth val="85"/>
        <c:shape val="cylinder"/>
        <c:axId val="143485952"/>
        <c:axId val="130126208"/>
        <c:axId val="0"/>
      </c:bar3DChart>
      <c:catAx>
        <c:axId val="143485952"/>
        <c:scaling>
          <c:orientation val="minMax"/>
        </c:scaling>
        <c:delete val="0"/>
        <c:axPos val="l"/>
        <c:numFmt formatCode="General" sourceLinked="1"/>
        <c:majorTickMark val="none"/>
        <c:minorTickMark val="none"/>
        <c:tickLblPos val="nextTo"/>
        <c:txPr>
          <a:bodyPr rot="0"/>
          <a:lstStyle/>
          <a:p>
            <a:pPr>
              <a:defRPr sz="760" b="0">
                <a:latin typeface="Times New Roman" pitchFamily="18" charset="0"/>
                <a:cs typeface="Times New Roman" pitchFamily="18" charset="0"/>
              </a:defRPr>
            </a:pPr>
            <a:endParaRPr lang="bg-BG"/>
          </a:p>
        </c:txPr>
        <c:crossAx val="130126208"/>
        <c:crosses val="autoZero"/>
        <c:auto val="1"/>
        <c:lblAlgn val="ctr"/>
        <c:lblOffset val="100"/>
        <c:noMultiLvlLbl val="0"/>
      </c:catAx>
      <c:valAx>
        <c:axId val="130126208"/>
        <c:scaling>
          <c:orientation val="minMax"/>
        </c:scaling>
        <c:delete val="0"/>
        <c:axPos val="b"/>
        <c:numFmt formatCode="0.0%" sourceLinked="1"/>
        <c:majorTickMark val="none"/>
        <c:minorTickMark val="none"/>
        <c:tickLblPos val="nextTo"/>
        <c:txPr>
          <a:bodyPr/>
          <a:lstStyle/>
          <a:p>
            <a:pPr>
              <a:defRPr sz="800">
                <a:latin typeface="Times New Roman" pitchFamily="18" charset="0"/>
                <a:cs typeface="Times New Roman" pitchFamily="18" charset="0"/>
              </a:defRPr>
            </a:pPr>
            <a:endParaRPr lang="bg-BG"/>
          </a:p>
        </c:txPr>
        <c:crossAx val="143485952"/>
        <c:crosses val="autoZero"/>
        <c:crossBetween val="between"/>
      </c:valAx>
      <c:spPr>
        <a:noFill/>
        <a:ln w="25400">
          <a:noFill/>
        </a:ln>
      </c:spPr>
    </c:plotArea>
    <c:legend>
      <c:legendPos val="r"/>
      <c:layout>
        <c:manualLayout>
          <c:xMode val="edge"/>
          <c:yMode val="edge"/>
          <c:x val="1.8523379022066688E-2"/>
          <c:y val="0.89182062768469728"/>
          <c:w val="0.15903026195295608"/>
          <c:h val="0.10026378281662163"/>
        </c:manualLayout>
      </c:layout>
      <c:overlay val="0"/>
      <c:txPr>
        <a:bodyPr/>
        <a:lstStyle/>
        <a:p>
          <a:pPr>
            <a:defRPr sz="800">
              <a:latin typeface="Times New Roman" pitchFamily="18" charset="0"/>
              <a:cs typeface="Times New Roman" pitchFamily="18" charset="0"/>
            </a:defRPr>
          </a:pPr>
          <a:endParaRPr lang="bg-BG"/>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5069391409685821E-2"/>
          <c:y val="3.8309849426716405E-2"/>
          <c:w val="0.90305106959238579"/>
          <c:h val="0.74626404458063433"/>
        </c:manualLayout>
      </c:layout>
      <c:barChart>
        <c:barDir val="col"/>
        <c:grouping val="clustered"/>
        <c:varyColors val="0"/>
        <c:ser>
          <c:idx val="0"/>
          <c:order val="0"/>
          <c:tx>
            <c:strRef>
              <c:f>Sheet1!$B$36</c:f>
              <c:strCache>
                <c:ptCount val="1"/>
                <c:pt idx="0">
                  <c:v>към декември 2018 г.</c:v>
                </c:pt>
              </c:strCache>
            </c:strRef>
          </c:tx>
          <c:spPr>
            <a:pattFill prst="pct5">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000000" mc:Ignorable="a14" a14:legacySpreadsheetColorIndex="8"/>
              </a:bgClr>
            </a:pattFill>
            <a:ln w="12683">
              <a:solidFill>
                <a:srgbClr val="000000"/>
              </a:solidFill>
              <a:prstDash val="solid"/>
            </a:ln>
          </c:spPr>
          <c:invertIfNegative val="0"/>
          <c:dLbls>
            <c:dLbl>
              <c:idx val="0"/>
              <c:layout>
                <c:manualLayout>
                  <c:x val="-1.1911120203121079E-3"/>
                  <c:y val="0.28234266642777711"/>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2E6F-4114-A707-1A6DE9781D4C}"/>
                </c:ext>
              </c:extLst>
            </c:dLbl>
            <c:dLbl>
              <c:idx val="1"/>
              <c:layout>
                <c:manualLayout>
                  <c:x val="-8.598411272861449E-3"/>
                  <c:y val="-3.724642178348396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2E6F-4114-A707-1A6DE9781D4C}"/>
                </c:ext>
              </c:extLst>
            </c:dLbl>
            <c:dLbl>
              <c:idx val="2"/>
              <c:layout>
                <c:manualLayout>
                  <c:x val="-4.0234036459434776E-3"/>
                  <c:y val="3.7105729237608418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2E6F-4114-A707-1A6DE9781D4C}"/>
                </c:ext>
              </c:extLst>
            </c:dLbl>
            <c:dLbl>
              <c:idx val="3"/>
              <c:layout>
                <c:manualLayout>
                  <c:x val="1.6412105113367671E-3"/>
                  <c:y val="-1.4967557207841688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2E6F-4114-A707-1A6DE9781D4C}"/>
                </c:ext>
              </c:extLst>
            </c:dLbl>
            <c:dLbl>
              <c:idx val="4"/>
              <c:layout>
                <c:manualLayout>
                  <c:x val="-1.6232910645205495E-4"/>
                  <c:y val="0.16554406139115307"/>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2E6F-4114-A707-1A6DE9781D4C}"/>
                </c:ext>
              </c:extLst>
            </c:dLbl>
            <c:dLbl>
              <c:idx val="5"/>
              <c:layout>
                <c:manualLayout>
                  <c:x val="2.2153355328575895E-4"/>
                  <c:y val="4.516590851363520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2E6F-4114-A707-1A6DE9781D4C}"/>
                </c:ext>
              </c:extLst>
            </c:dLbl>
            <c:spPr>
              <a:solidFill>
                <a:srgbClr val="FFFFFF"/>
              </a:solidFill>
              <a:ln w="25367">
                <a:noFill/>
              </a:ln>
            </c:spPr>
            <c:txPr>
              <a:bodyPr rot="-5400000" vert="horz"/>
              <a:lstStyle/>
              <a:p>
                <a:pPr algn="ctr">
                  <a:defRPr sz="899"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Sheet1!$A$38:$A$43</c:f>
              <c:strCache>
                <c:ptCount val="6"/>
                <c:pt idx="0">
                  <c:v>Текущи нелихвени разходи</c:v>
                </c:pt>
                <c:pt idx="1">
                  <c:v>Предост. тек. и капит. трансфери за чужбина</c:v>
                </c:pt>
                <c:pt idx="2">
                  <c:v>Капиталови р-ди*</c:v>
                </c:pt>
                <c:pt idx="3">
                  <c:v>Лихвени р-ди</c:v>
                </c:pt>
                <c:pt idx="4">
                  <c:v>Нето предоставени трансфери за др. бюджети</c:v>
                </c:pt>
                <c:pt idx="5">
                  <c:v>Вноска в бюджета на ЕС</c:v>
                </c:pt>
              </c:strCache>
            </c:strRef>
          </c:cat>
          <c:val>
            <c:numRef>
              <c:f>Sheet1!$B$38:$B$43</c:f>
              <c:numCache>
                <c:formatCode>#,##0.0</c:formatCode>
                <c:ptCount val="6"/>
                <c:pt idx="0">
                  <c:v>8537.5</c:v>
                </c:pt>
                <c:pt idx="1">
                  <c:v>20.100000000000001</c:v>
                </c:pt>
                <c:pt idx="2">
                  <c:v>2492.4</c:v>
                </c:pt>
                <c:pt idx="3">
                  <c:v>649.79999999999995</c:v>
                </c:pt>
                <c:pt idx="4">
                  <c:v>11037.4</c:v>
                </c:pt>
                <c:pt idx="5">
                  <c:v>1083.4000000000001</c:v>
                </c:pt>
              </c:numCache>
            </c:numRef>
          </c:val>
          <c:extLst xmlns:c16r2="http://schemas.microsoft.com/office/drawing/2015/06/chart">
            <c:ext xmlns:c16="http://schemas.microsoft.com/office/drawing/2014/chart" uri="{C3380CC4-5D6E-409C-BE32-E72D297353CC}">
              <c16:uniqueId val="{00000006-2E6F-4114-A707-1A6DE9781D4C}"/>
            </c:ext>
          </c:extLst>
        </c:ser>
        <c:ser>
          <c:idx val="1"/>
          <c:order val="1"/>
          <c:tx>
            <c:strRef>
              <c:f>Sheet1!$C$36</c:f>
              <c:strCache>
                <c:ptCount val="1"/>
                <c:pt idx="0">
                  <c:v>към декември  2019 г.</c:v>
                </c:pt>
              </c:strCache>
            </c:strRef>
          </c:tx>
          <c:spPr>
            <a:pattFill prst="smConfetti">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683">
              <a:solidFill>
                <a:srgbClr val="000000"/>
              </a:solidFill>
              <a:prstDash val="solid"/>
            </a:ln>
          </c:spPr>
          <c:invertIfNegative val="0"/>
          <c:dLbls>
            <c:dLbl>
              <c:idx val="0"/>
              <c:layout>
                <c:manualLayout>
                  <c:x val="-1.5957659542556258E-3"/>
                  <c:y val="0.29509151360843117"/>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2E6F-4114-A707-1A6DE9781D4C}"/>
                </c:ext>
              </c:extLst>
            </c:dLbl>
            <c:dLbl>
              <c:idx val="1"/>
              <c:layout>
                <c:manualLayout>
                  <c:x val="-1.3777787060437073E-3"/>
                  <c:y val="-2.245839959660214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2E6F-4114-A707-1A6DE9781D4C}"/>
                </c:ext>
              </c:extLst>
            </c:dLbl>
            <c:dLbl>
              <c:idx val="2"/>
              <c:layout>
                <c:manualLayout>
                  <c:x val="-3.8987169044187778E-5"/>
                  <c:y val="-1.2437777174404923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2E6F-4114-A707-1A6DE9781D4C}"/>
                </c:ext>
              </c:extLst>
            </c:dLbl>
            <c:dLbl>
              <c:idx val="3"/>
              <c:layout>
                <c:manualLayout>
                  <c:x val="4.7143956403039979E-3"/>
                  <c:y val="-1.655236643806621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2E6F-4114-A707-1A6DE9781D4C}"/>
                </c:ext>
              </c:extLst>
            </c:dLbl>
            <c:dLbl>
              <c:idx val="4"/>
              <c:layout>
                <c:manualLayout>
                  <c:x val="2.5961277386745757E-3"/>
                  <c:y val="0.1626427084545466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2E6F-4114-A707-1A6DE9781D4C}"/>
                </c:ext>
              </c:extLst>
            </c:dLbl>
            <c:dLbl>
              <c:idx val="5"/>
              <c:layout>
                <c:manualLayout>
                  <c:x val="1.9210701072004553E-3"/>
                  <c:y val="-6.963462411773308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2E6F-4114-A707-1A6DE9781D4C}"/>
                </c:ext>
              </c:extLst>
            </c:dLbl>
            <c:spPr>
              <a:solidFill>
                <a:srgbClr val="FFFFFF"/>
              </a:solidFill>
              <a:ln w="25367">
                <a:noFill/>
              </a:ln>
            </c:spPr>
            <c:txPr>
              <a:bodyPr rot="-5400000" vert="horz"/>
              <a:lstStyle/>
              <a:p>
                <a:pPr algn="ctr">
                  <a:defRPr sz="899"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Sheet1!$A$38:$A$43</c:f>
              <c:strCache>
                <c:ptCount val="6"/>
                <c:pt idx="0">
                  <c:v>Текущи нелихвени разходи</c:v>
                </c:pt>
                <c:pt idx="1">
                  <c:v>Предост. тек. и капит. трансфери за чужбина</c:v>
                </c:pt>
                <c:pt idx="2">
                  <c:v>Капиталови р-ди*</c:v>
                </c:pt>
                <c:pt idx="3">
                  <c:v>Лихвени р-ди</c:v>
                </c:pt>
                <c:pt idx="4">
                  <c:v>Нето предоставени трансфери за др. бюджети</c:v>
                </c:pt>
                <c:pt idx="5">
                  <c:v>Вноска в бюджета на ЕС</c:v>
                </c:pt>
              </c:strCache>
            </c:strRef>
          </c:cat>
          <c:val>
            <c:numRef>
              <c:f>Sheet1!$C$38:$C$43</c:f>
              <c:numCache>
                <c:formatCode>#,##0.0</c:formatCode>
                <c:ptCount val="6"/>
                <c:pt idx="0">
                  <c:v>9480.8439999999991</c:v>
                </c:pt>
                <c:pt idx="1">
                  <c:v>20.144000000000002</c:v>
                </c:pt>
                <c:pt idx="2">
                  <c:v>4364.3</c:v>
                </c:pt>
                <c:pt idx="3">
                  <c:v>609.5</c:v>
                </c:pt>
                <c:pt idx="4">
                  <c:v>11251.1</c:v>
                </c:pt>
                <c:pt idx="5">
                  <c:v>1193.0999999999999</c:v>
                </c:pt>
              </c:numCache>
            </c:numRef>
          </c:val>
          <c:extLst xmlns:c16r2="http://schemas.microsoft.com/office/drawing/2015/06/chart">
            <c:ext xmlns:c16="http://schemas.microsoft.com/office/drawing/2014/chart" uri="{C3380CC4-5D6E-409C-BE32-E72D297353CC}">
              <c16:uniqueId val="{0000000D-2E6F-4114-A707-1A6DE9781D4C}"/>
            </c:ext>
          </c:extLst>
        </c:ser>
        <c:dLbls>
          <c:showLegendKey val="0"/>
          <c:showVal val="0"/>
          <c:showCatName val="0"/>
          <c:showSerName val="0"/>
          <c:showPercent val="0"/>
          <c:showBubbleSize val="0"/>
        </c:dLbls>
        <c:gapWidth val="150"/>
        <c:axId val="138812800"/>
        <c:axId val="138847360"/>
      </c:barChart>
      <c:catAx>
        <c:axId val="138812800"/>
        <c:scaling>
          <c:orientation val="minMax"/>
        </c:scaling>
        <c:delete val="0"/>
        <c:axPos val="b"/>
        <c:numFmt formatCode="General" sourceLinked="1"/>
        <c:majorTickMark val="out"/>
        <c:minorTickMark val="none"/>
        <c:tickLblPos val="nextTo"/>
        <c:spPr>
          <a:ln w="9512">
            <a:noFill/>
          </a:ln>
        </c:spPr>
        <c:txPr>
          <a:bodyPr rot="0" vert="horz"/>
          <a:lstStyle/>
          <a:p>
            <a:pPr>
              <a:defRPr sz="970" b="1" i="0" u="none" strike="noStrike" baseline="2000">
                <a:solidFill>
                  <a:srgbClr val="000000"/>
                </a:solidFill>
                <a:latin typeface="Times New Roman"/>
                <a:ea typeface="Times New Roman"/>
                <a:cs typeface="Times New Roman"/>
              </a:defRPr>
            </a:pPr>
            <a:endParaRPr lang="bg-BG"/>
          </a:p>
        </c:txPr>
        <c:crossAx val="138847360"/>
        <c:crosses val="autoZero"/>
        <c:auto val="1"/>
        <c:lblAlgn val="ctr"/>
        <c:lblOffset val="100"/>
        <c:tickLblSkip val="1"/>
        <c:tickMarkSkip val="1"/>
        <c:noMultiLvlLbl val="0"/>
      </c:catAx>
      <c:valAx>
        <c:axId val="138847360"/>
        <c:scaling>
          <c:orientation val="minMax"/>
        </c:scaling>
        <c:delete val="0"/>
        <c:axPos val="l"/>
        <c:majorGridlines>
          <c:spPr>
            <a:ln w="3171">
              <a:solidFill>
                <a:srgbClr val="000000"/>
              </a:solidFill>
              <a:prstDash val="solid"/>
            </a:ln>
          </c:spPr>
        </c:majorGridlines>
        <c:title>
          <c:tx>
            <c:rich>
              <a:bodyPr rot="0" vert="horz"/>
              <a:lstStyle/>
              <a:p>
                <a:pPr algn="ctr">
                  <a:defRPr sz="899" b="0" i="0" u="none" strike="noStrike" baseline="0">
                    <a:solidFill>
                      <a:srgbClr val="000000"/>
                    </a:solidFill>
                    <a:latin typeface="Times New Roman"/>
                    <a:ea typeface="Times New Roman"/>
                    <a:cs typeface="Times New Roman"/>
                  </a:defRPr>
                </a:pPr>
                <a:r>
                  <a:rPr lang="bg-BG"/>
                  <a:t>(млн. лв.)</a:t>
                </a:r>
              </a:p>
            </c:rich>
          </c:tx>
          <c:layout>
            <c:manualLayout>
              <c:xMode val="edge"/>
              <c:yMode val="edge"/>
              <c:x val="9.3198691529020722E-4"/>
              <c:y val="0.93341453652604278"/>
            </c:manualLayout>
          </c:layout>
          <c:overlay val="0"/>
          <c:spPr>
            <a:noFill/>
            <a:ln w="25367">
              <a:noFill/>
            </a:ln>
          </c:spPr>
        </c:title>
        <c:numFmt formatCode="#,##0" sourceLinked="0"/>
        <c:majorTickMark val="out"/>
        <c:minorTickMark val="none"/>
        <c:tickLblPos val="nextTo"/>
        <c:spPr>
          <a:ln w="3171">
            <a:solidFill>
              <a:srgbClr val="000000"/>
            </a:solidFill>
            <a:prstDash val="solid"/>
          </a:ln>
        </c:spPr>
        <c:txPr>
          <a:bodyPr rot="0" vert="horz"/>
          <a:lstStyle/>
          <a:p>
            <a:pPr>
              <a:defRPr sz="899" b="0" i="0" u="none" strike="noStrike" baseline="0">
                <a:solidFill>
                  <a:srgbClr val="000000"/>
                </a:solidFill>
                <a:latin typeface="Times New Roman"/>
                <a:ea typeface="Times New Roman"/>
                <a:cs typeface="Times New Roman"/>
              </a:defRPr>
            </a:pPr>
            <a:endParaRPr lang="bg-BG"/>
          </a:p>
        </c:txPr>
        <c:crossAx val="138812800"/>
        <c:crosses val="autoZero"/>
        <c:crossBetween val="between"/>
      </c:valAx>
      <c:spPr>
        <a:solidFill>
          <a:srgbClr val="FFFFFF"/>
        </a:solidFill>
        <a:ln w="25367">
          <a:solidFill>
            <a:sysClr val="window" lastClr="FFFFFF">
              <a:lumMod val="85000"/>
            </a:sysClr>
          </a:solidFill>
          <a:prstDash val="solid"/>
        </a:ln>
      </c:spPr>
    </c:plotArea>
    <c:legend>
      <c:legendPos val="r"/>
      <c:legendEntry>
        <c:idx val="0"/>
        <c:txPr>
          <a:bodyPr/>
          <a:lstStyle/>
          <a:p>
            <a:pPr>
              <a:defRPr sz="780" b="1" i="0" u="none" strike="noStrike" baseline="0">
                <a:solidFill>
                  <a:srgbClr val="000000"/>
                </a:solidFill>
                <a:latin typeface="Times New Roman"/>
                <a:ea typeface="Times New Roman"/>
                <a:cs typeface="Times New Roman"/>
              </a:defRPr>
            </a:pPr>
            <a:endParaRPr lang="bg-BG"/>
          </a:p>
        </c:txPr>
      </c:legendEntry>
      <c:legendEntry>
        <c:idx val="1"/>
        <c:txPr>
          <a:bodyPr/>
          <a:lstStyle/>
          <a:p>
            <a:pPr>
              <a:defRPr sz="780" b="1" i="0" u="none" strike="noStrike" baseline="0">
                <a:solidFill>
                  <a:srgbClr val="000000"/>
                </a:solidFill>
                <a:latin typeface="Times New Roman"/>
                <a:ea typeface="Times New Roman"/>
                <a:cs typeface="Times New Roman"/>
              </a:defRPr>
            </a:pPr>
            <a:endParaRPr lang="bg-BG"/>
          </a:p>
        </c:txPr>
      </c:legendEntry>
      <c:layout>
        <c:manualLayout>
          <c:xMode val="edge"/>
          <c:yMode val="edge"/>
          <c:x val="0.122363318643525"/>
          <c:y val="0.91477519855472611"/>
          <c:w val="0.40878464462499214"/>
          <c:h val="8.4652486620990564E-2"/>
        </c:manualLayout>
      </c:layout>
      <c:overlay val="0"/>
      <c:spPr>
        <a:solidFill>
          <a:srgbClr val="FFFFFF"/>
        </a:solidFill>
        <a:ln w="3171">
          <a:solidFill>
            <a:srgbClr val="000000"/>
          </a:solidFill>
          <a:prstDash val="solid"/>
        </a:ln>
      </c:spPr>
      <c:txPr>
        <a:bodyPr/>
        <a:lstStyle/>
        <a:p>
          <a:pPr>
            <a:defRPr sz="780" b="1"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solidFill>
      <a:srgbClr val="FFFFFF"/>
    </a:solidFill>
    <a:ln w="3171">
      <a:solidFill>
        <a:srgbClr val="000000"/>
      </a:solidFill>
      <a:prstDash val="solid"/>
    </a:ln>
  </c:spPr>
  <c:txPr>
    <a:bodyPr/>
    <a:lstStyle/>
    <a:p>
      <a:pPr>
        <a:defRPr sz="1124" b="0" i="0" u="none" strike="noStrike" baseline="0">
          <a:solidFill>
            <a:srgbClr val="000000"/>
          </a:solidFill>
          <a:latin typeface="Arial"/>
          <a:ea typeface="Arial"/>
          <a:cs typeface="Arial"/>
        </a:defRPr>
      </a:pPr>
      <a:endParaRPr lang="bg-BG"/>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0.50767</cdr:x>
      <cdr:y>0.50124</cdr:y>
    </cdr:from>
    <cdr:to>
      <cdr:x>0.52046</cdr:x>
      <cdr:y>0.56116</cdr:y>
    </cdr:to>
    <cdr:sp macro="" textlink="">
      <cdr:nvSpPr>
        <cdr:cNvPr id="3073" name="Text Box 1"/>
        <cdr:cNvSpPr txBox="1">
          <a:spLocks xmlns:a="http://schemas.openxmlformats.org/drawingml/2006/main" noChangeArrowheads="1"/>
        </cdr:cNvSpPr>
      </cdr:nvSpPr>
      <cdr:spPr bwMode="auto">
        <a:xfrm xmlns:a="http://schemas.openxmlformats.org/drawingml/2006/main">
          <a:off x="3536779" y="1408614"/>
          <a:ext cx="94821" cy="1692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bg-BG" sz="1125" b="0" i="0" u="none" strike="noStrike" baseline="0">
              <a:solidFill>
                <a:srgbClr val="000000"/>
              </a:solidFill>
              <a:latin typeface="Arial"/>
              <a:cs typeface="Arial"/>
            </a:rPr>
            <a:t> </a:t>
          </a:r>
        </a:p>
      </cdr:txBody>
    </cdr:sp>
  </cdr:relSizeAnchor>
  <cdr:relSizeAnchor xmlns:cdr="http://schemas.openxmlformats.org/drawingml/2006/chartDrawing">
    <cdr:from>
      <cdr:x>0.50767</cdr:x>
      <cdr:y>0.50124</cdr:y>
    </cdr:from>
    <cdr:to>
      <cdr:x>0.61477</cdr:x>
      <cdr:y>0.56116</cdr:y>
    </cdr:to>
    <cdr:sp macro="" textlink="">
      <cdr:nvSpPr>
        <cdr:cNvPr id="3074" name="Text Box 2"/>
        <cdr:cNvSpPr txBox="1">
          <a:spLocks xmlns:a="http://schemas.openxmlformats.org/drawingml/2006/main" noChangeArrowheads="1"/>
        </cdr:cNvSpPr>
      </cdr:nvSpPr>
      <cdr:spPr bwMode="auto">
        <a:xfrm xmlns:a="http://schemas.openxmlformats.org/drawingml/2006/main">
          <a:off x="3536779" y="1408614"/>
          <a:ext cx="751674" cy="1692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endParaRPr lang="bg-BG" sz="1125" b="0" i="0" u="none" strike="noStrike" baseline="0">
            <a:solidFill>
              <a:srgbClr val="000000"/>
            </a:solidFill>
            <a:latin typeface="Arial"/>
            <a:cs typeface="Arial"/>
          </a:endParaRPr>
        </a:p>
        <a:p xmlns:a="http://schemas.openxmlformats.org/drawingml/2006/main">
          <a:pPr algn="ctr" rtl="0">
            <a:defRPr sz="1000"/>
          </a:pPr>
          <a:endParaRPr lang="bg-BG" sz="1125" b="0" i="0" u="none" strike="noStrike" baseline="0">
            <a:solidFill>
              <a:srgbClr val="000000"/>
            </a:solidFill>
            <a:latin typeface="Arial"/>
            <a:cs typeface="Arial"/>
          </a:endParaRPr>
        </a:p>
        <a:p xmlns:a="http://schemas.openxmlformats.org/drawingml/2006/main">
          <a:pPr algn="ctr" rtl="0">
            <a:defRPr sz="1000"/>
          </a:pPr>
          <a:endParaRPr lang="bg-BG" sz="1125" b="0" i="0" u="none" strike="noStrike" baseline="0">
            <a:solidFill>
              <a:srgbClr val="000000"/>
            </a:solidFill>
            <a:latin typeface="Arial"/>
            <a:cs typeface="Aria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17B76-E868-4DDF-A1C1-563C98895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1931</TotalTime>
  <Pages>28</Pages>
  <Words>14045</Words>
  <Characters>73535</Characters>
  <Application>Microsoft Office Word</Application>
  <DocSecurity>0</DocSecurity>
  <Lines>612</Lines>
  <Paragraphs>174</Paragraphs>
  <ScaleCrop>false</ScaleCrop>
  <HeadingPairs>
    <vt:vector size="2" baseType="variant">
      <vt:variant>
        <vt:lpstr>Title</vt:lpstr>
      </vt:variant>
      <vt:variant>
        <vt:i4>1</vt:i4>
      </vt:variant>
    </vt:vector>
  </HeadingPairs>
  <TitlesOfParts>
    <vt:vector size="1" baseType="lpstr">
      <vt:lpstr>М И Н И С Т Е Р С Т В О   Н А   Ф И Н А Н С И Т Е</vt:lpstr>
    </vt:vector>
  </TitlesOfParts>
  <Company>MoF</Company>
  <LinksUpToDate>false</LinksUpToDate>
  <CharactersWithSpaces>87406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Е Р С Т В О   Н А   Ф И Н А Н С И Т Е</dc:title>
  <dc:creator>Любомир Малчев</dc:creator>
  <cp:lastModifiedBy>Вера Данева</cp:lastModifiedBy>
  <cp:revision>586</cp:revision>
  <cp:lastPrinted>2020-01-31T10:05:00Z</cp:lastPrinted>
  <dcterms:created xsi:type="dcterms:W3CDTF">2019-08-08T12:51:00Z</dcterms:created>
  <dcterms:modified xsi:type="dcterms:W3CDTF">2020-02-05T09:52:00Z</dcterms:modified>
</cp:coreProperties>
</file>