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3E15" w:rsidRPr="00E02F4E" w:rsidRDefault="00063E15" w:rsidP="008314D1">
      <w:pPr>
        <w:pStyle w:val="Title"/>
        <w:pBdr>
          <w:bottom w:val="double" w:sz="6" w:space="0" w:color="auto"/>
        </w:pBdr>
      </w:pPr>
      <w:r w:rsidRPr="00E02F4E">
        <w:t>М И Н И С Т Е Р С Т В О   Н А   Ф И Н А Н С И Т Е</w:t>
      </w:r>
    </w:p>
    <w:p w:rsidR="005F7245" w:rsidRPr="00E02F4E" w:rsidRDefault="005F7245" w:rsidP="00063E15">
      <w:pPr>
        <w:rPr>
          <w:sz w:val="16"/>
          <w:szCs w:val="16"/>
        </w:rPr>
      </w:pPr>
    </w:p>
    <w:p w:rsidR="0019151C" w:rsidRPr="00E02F4E" w:rsidRDefault="0019151C" w:rsidP="0019151C"/>
    <w:p w:rsidR="0019151C" w:rsidRPr="00E02F4E" w:rsidRDefault="0019151C" w:rsidP="0019151C"/>
    <w:p w:rsidR="00E9260C" w:rsidRPr="00E02F4E" w:rsidRDefault="00E9260C" w:rsidP="009B536C">
      <w:pPr>
        <w:pStyle w:val="Heading1"/>
        <w:rPr>
          <w:sz w:val="24"/>
        </w:rPr>
      </w:pPr>
      <w:r w:rsidRPr="00E02F4E">
        <w:rPr>
          <w:sz w:val="24"/>
        </w:rPr>
        <w:t>ИНФОРМАЦИЯ</w:t>
      </w:r>
    </w:p>
    <w:p w:rsidR="00E9260C" w:rsidRPr="00E02F4E" w:rsidRDefault="00E9260C" w:rsidP="009B536C">
      <w:pPr>
        <w:jc w:val="center"/>
        <w:rPr>
          <w:b/>
          <w:bCs/>
        </w:rPr>
      </w:pPr>
      <w:r w:rsidRPr="00E02F4E">
        <w:rPr>
          <w:b/>
          <w:bCs/>
        </w:rPr>
        <w:t xml:space="preserve">ЗА </w:t>
      </w:r>
      <w:r w:rsidR="004E7BF8" w:rsidRPr="00E02F4E">
        <w:rPr>
          <w:b/>
          <w:bCs/>
        </w:rPr>
        <w:t xml:space="preserve">КАСОВОТО </w:t>
      </w:r>
      <w:r w:rsidRPr="00E02F4E">
        <w:rPr>
          <w:b/>
          <w:bCs/>
        </w:rPr>
        <w:t xml:space="preserve">ИЗПЪЛНЕНИЕ НА </w:t>
      </w:r>
      <w:r w:rsidR="004E7BF8" w:rsidRPr="00E02F4E">
        <w:rPr>
          <w:b/>
          <w:bCs/>
        </w:rPr>
        <w:t>ДЪРЖАВНИЯ</w:t>
      </w:r>
      <w:r w:rsidRPr="00E02F4E">
        <w:rPr>
          <w:b/>
          <w:bCs/>
        </w:rPr>
        <w:t xml:space="preserve"> БЮДЖЕТ</w:t>
      </w:r>
      <w:r w:rsidR="004E7BF8" w:rsidRPr="00E02F4E">
        <w:rPr>
          <w:b/>
          <w:bCs/>
        </w:rPr>
        <w:t xml:space="preserve"> И НА ОСНОВНИТЕ ПОКАЗАТЕЛИ НА КОНСОЛИДИРАНАТА ФИСКАЛНА ПРОГРАМА </w:t>
      </w:r>
    </w:p>
    <w:p w:rsidR="003F47AB" w:rsidRPr="00E02F4E" w:rsidRDefault="003F47AB" w:rsidP="003F47AB">
      <w:pPr>
        <w:jc w:val="center"/>
        <w:rPr>
          <w:b/>
          <w:bCs/>
        </w:rPr>
      </w:pPr>
      <w:r w:rsidRPr="00E02F4E">
        <w:rPr>
          <w:b/>
          <w:bCs/>
        </w:rPr>
        <w:t xml:space="preserve">ЗА ПЪРВОТО </w:t>
      </w:r>
      <w:r w:rsidR="00E02F4E" w:rsidRPr="00E02F4E">
        <w:rPr>
          <w:b/>
          <w:bCs/>
        </w:rPr>
        <w:t>ПОЛУГОДИ</w:t>
      </w:r>
      <w:r w:rsidRPr="00E02F4E">
        <w:rPr>
          <w:b/>
          <w:bCs/>
        </w:rPr>
        <w:t>Е НА 201</w:t>
      </w:r>
      <w:r w:rsidR="00460DFC" w:rsidRPr="00E02F4E">
        <w:rPr>
          <w:b/>
          <w:bCs/>
          <w:lang w:val="en-US"/>
        </w:rPr>
        <w:t>8</w:t>
      </w:r>
      <w:r w:rsidRPr="00E02F4E">
        <w:rPr>
          <w:b/>
          <w:bCs/>
        </w:rPr>
        <w:t xml:space="preserve"> ГОДИНА</w:t>
      </w:r>
    </w:p>
    <w:p w:rsidR="00430A35" w:rsidRPr="00E02F4E" w:rsidRDefault="00430A35" w:rsidP="003A06C5">
      <w:pPr>
        <w:rPr>
          <w:b/>
          <w:bCs/>
        </w:rPr>
      </w:pPr>
    </w:p>
    <w:p w:rsidR="0019151C" w:rsidRPr="000119C6" w:rsidRDefault="0019151C" w:rsidP="003A06C5">
      <w:pPr>
        <w:rPr>
          <w:b/>
          <w:bCs/>
          <w:color w:val="0070C0"/>
        </w:rPr>
      </w:pPr>
    </w:p>
    <w:p w:rsidR="0019151C" w:rsidRPr="000119C6" w:rsidRDefault="0019151C" w:rsidP="003A06C5">
      <w:pPr>
        <w:rPr>
          <w:b/>
          <w:bCs/>
          <w:color w:val="0070C0"/>
        </w:rPr>
      </w:pPr>
    </w:p>
    <w:p w:rsidR="0019151C" w:rsidRPr="00216C9A" w:rsidRDefault="0019151C" w:rsidP="00216C9A">
      <w:pPr>
        <w:ind w:firstLine="709"/>
        <w:jc w:val="both"/>
        <w:rPr>
          <w:b/>
          <w:bCs/>
          <w:u w:val="single"/>
        </w:rPr>
      </w:pPr>
      <w:r w:rsidRPr="00216C9A">
        <w:rPr>
          <w:b/>
          <w:bCs/>
          <w:u w:val="single"/>
        </w:rPr>
        <w:t>Развитие на икономическата среда</w:t>
      </w:r>
    </w:p>
    <w:p w:rsidR="0019151C" w:rsidRPr="000119C6" w:rsidRDefault="0019151C" w:rsidP="0019151C">
      <w:pPr>
        <w:spacing w:line="276" w:lineRule="auto"/>
        <w:ind w:firstLine="567"/>
        <w:jc w:val="both"/>
        <w:rPr>
          <w:color w:val="0070C0"/>
          <w:sz w:val="8"/>
          <w:szCs w:val="8"/>
        </w:rPr>
      </w:pPr>
    </w:p>
    <w:p w:rsidR="00216C9A" w:rsidRPr="007C6018" w:rsidRDefault="00216C9A" w:rsidP="00216C9A">
      <w:pPr>
        <w:ind w:firstLine="709"/>
        <w:jc w:val="both"/>
      </w:pPr>
      <w:r>
        <w:t>Реалният р</w:t>
      </w:r>
      <w:r w:rsidRPr="00712CDF">
        <w:t>астеж на БВП достигна 3,</w:t>
      </w:r>
      <w:r>
        <w:t>5</w:t>
      </w:r>
      <w:r w:rsidRPr="00712CDF">
        <w:t>% на годишна база през първото тримесечие на 201</w:t>
      </w:r>
      <w:r>
        <w:t>8 </w:t>
      </w:r>
      <w:r w:rsidRPr="00712CDF">
        <w:t xml:space="preserve">г. </w:t>
      </w:r>
      <w:r w:rsidRPr="007C6018">
        <w:t>Двигател на растежа бе вътрешното търсене. Частното потребление се повиши с 3,6%</w:t>
      </w:r>
      <w:r>
        <w:t>,</w:t>
      </w:r>
      <w:r w:rsidRPr="007C6018">
        <w:t xml:space="preserve"> подкрепено от продължаващо нарастване на доверието на потребителите</w:t>
      </w:r>
      <w:r w:rsidRPr="007C6018">
        <w:rPr>
          <w:lang w:val="en-US"/>
        </w:rPr>
        <w:t xml:space="preserve"> </w:t>
      </w:r>
      <w:r w:rsidRPr="007C6018">
        <w:t xml:space="preserve">и увеличение на заетостта. При инвестициите в основен капитал бе отчетен растеж от 10,2%, </w:t>
      </w:r>
      <w:r>
        <w:t xml:space="preserve">отразяващ възходяща динамика </w:t>
      </w:r>
      <w:r w:rsidRPr="007C6018">
        <w:t xml:space="preserve">както </w:t>
      </w:r>
      <w:r>
        <w:t>при</w:t>
      </w:r>
      <w:r w:rsidRPr="007C6018">
        <w:t xml:space="preserve"> частните</w:t>
      </w:r>
      <w:r>
        <w:t>,</w:t>
      </w:r>
      <w:r w:rsidRPr="007C6018">
        <w:t xml:space="preserve"> така и </w:t>
      </w:r>
      <w:r>
        <w:t>при</w:t>
      </w:r>
      <w:r w:rsidRPr="007C6018">
        <w:t xml:space="preserve"> публичните инвестиции. </w:t>
      </w:r>
      <w:r>
        <w:t>Повишеното</w:t>
      </w:r>
      <w:r w:rsidRPr="007C6018">
        <w:t xml:space="preserve"> вътрешно търсене доведе до ръст на вноса от 4,6%, но в следствие на доброто представяне на износа отрицателният принос на нетния износ за растежа на БВП </w:t>
      </w:r>
      <w:r>
        <w:t xml:space="preserve">през тримесечието </w:t>
      </w:r>
      <w:r w:rsidRPr="007C6018">
        <w:t>се сви до 0,4 пр.п.</w:t>
      </w:r>
      <w:r>
        <w:t xml:space="preserve"> </w:t>
      </w:r>
      <w:r w:rsidRPr="007C6018">
        <w:t>От страна на предлагането, брутната добавена стойност нарасна с 3,5% на годишна база, като най-голям принос имаха услугите.</w:t>
      </w:r>
    </w:p>
    <w:p w:rsidR="00216C9A" w:rsidRPr="007C6018" w:rsidRDefault="00216C9A" w:rsidP="00216C9A">
      <w:pPr>
        <w:ind w:firstLine="709"/>
        <w:jc w:val="both"/>
      </w:pPr>
      <w:r w:rsidRPr="007C6018">
        <w:t>Данните от бизнес анкетите за второто тримесечие на 2018</w:t>
      </w:r>
      <w:r>
        <w:t> </w:t>
      </w:r>
      <w:r w:rsidRPr="007C6018">
        <w:t>г. сочат продължаващо благоприятно развитие на икономическата среда. Индикаторът за бизнес климата се повиши във всички сектори в  периода април-юни спрямо януари-март 2018</w:t>
      </w:r>
      <w:r>
        <w:t> </w:t>
      </w:r>
      <w:r w:rsidRPr="007C6018">
        <w:t xml:space="preserve">г. </w:t>
      </w:r>
      <w:r>
        <w:t>За</w:t>
      </w:r>
      <w:r w:rsidRPr="007C6018">
        <w:t xml:space="preserve"> полугодие</w:t>
      </w:r>
      <w:r>
        <w:t>то</w:t>
      </w:r>
      <w:r w:rsidRPr="007C6018">
        <w:t xml:space="preserve"> на 2018</w:t>
      </w:r>
      <w:r>
        <w:t> </w:t>
      </w:r>
      <w:r w:rsidRPr="007C6018">
        <w:t>г. средната стойност на индикатора за бизнес климата бе по-висока от отчетената през 2017</w:t>
      </w:r>
      <w:r>
        <w:t> </w:t>
      </w:r>
      <w:r w:rsidRPr="007C6018">
        <w:t xml:space="preserve">г. Същото важи и за  индикатора за доверието на потребителите. </w:t>
      </w:r>
      <w:r>
        <w:t>Оборота в т</w:t>
      </w:r>
      <w:r w:rsidRPr="007C6018">
        <w:t>ърговията на дребно се повиши с 4,4%</w:t>
      </w:r>
      <w:r>
        <w:t xml:space="preserve"> за периода януари-май, </w:t>
      </w:r>
      <w:r w:rsidRPr="007C6018">
        <w:t xml:space="preserve">като </w:t>
      </w:r>
      <w:r>
        <w:t xml:space="preserve">през </w:t>
      </w:r>
      <w:r w:rsidRPr="007C6018">
        <w:t>последните два месеца от периода бе отчетено ускорение на растежа.</w:t>
      </w:r>
      <w:r>
        <w:t xml:space="preserve"> </w:t>
      </w:r>
      <w:r w:rsidRPr="007C6018">
        <w:rPr>
          <w:bCs/>
        </w:rPr>
        <w:t>За първите пет месеца на 2018</w:t>
      </w:r>
      <w:r>
        <w:rPr>
          <w:bCs/>
        </w:rPr>
        <w:t> </w:t>
      </w:r>
      <w:r w:rsidRPr="007C6018">
        <w:rPr>
          <w:bCs/>
        </w:rPr>
        <w:t xml:space="preserve">г. промишленото производство нарасна средно с 1,1% спрямо съответния период на предходната година, а растежът при промишлените продажби достигна 4%, в резултат </w:t>
      </w:r>
      <w:r>
        <w:rPr>
          <w:bCs/>
        </w:rPr>
        <w:t>от</w:t>
      </w:r>
      <w:r w:rsidRPr="007C6018">
        <w:rPr>
          <w:bCs/>
        </w:rPr>
        <w:t xml:space="preserve"> отчетеното повишение при продажбите за вътрешния пазар. Индексът на строителната продукция се повиши с 5%, като основен принос за растежа имаше </w:t>
      </w:r>
      <w:proofErr w:type="spellStart"/>
      <w:r w:rsidRPr="007C6018">
        <w:rPr>
          <w:bCs/>
        </w:rPr>
        <w:t>сградното</w:t>
      </w:r>
      <w:proofErr w:type="spellEnd"/>
      <w:r w:rsidRPr="007C6018">
        <w:rPr>
          <w:bCs/>
        </w:rPr>
        <w:t xml:space="preserve"> строителство.</w:t>
      </w:r>
    </w:p>
    <w:p w:rsidR="00216C9A" w:rsidRDefault="00216C9A" w:rsidP="00216C9A">
      <w:pPr>
        <w:ind w:firstLine="709"/>
        <w:jc w:val="both"/>
      </w:pPr>
      <w:r>
        <w:t>През първото тримесечие на 2018 г. броят на заетите (ЕСС 2010)</w:t>
      </w:r>
      <w:r>
        <w:rPr>
          <w:lang w:val="en-US"/>
        </w:rPr>
        <w:t xml:space="preserve"> </w:t>
      </w:r>
      <w:r>
        <w:t>продължи да нараства с висок темп от 1</w:t>
      </w:r>
      <w:r>
        <w:rPr>
          <w:lang w:val="en-GB"/>
        </w:rPr>
        <w:t>,</w:t>
      </w:r>
      <w:r>
        <w:t>2% на годишна база, подкрепен от увеличението на показателя в индустрията и услугите.</w:t>
      </w:r>
      <w:r w:rsidRPr="005E6828">
        <w:t xml:space="preserve"> </w:t>
      </w:r>
      <w:r>
        <w:t>Повишеното търсене на труд се отрази в понижение на коефициента на безработица до 5</w:t>
      </w:r>
      <w:r>
        <w:rPr>
          <w:lang w:val="en-GB"/>
        </w:rPr>
        <w:t>,</w:t>
      </w:r>
      <w:r>
        <w:t>7% (НРС) и нарастване на коефициента на икономическа активност на населението (15-64</w:t>
      </w:r>
      <w:r>
        <w:rPr>
          <w:lang w:val="en-GB"/>
        </w:rPr>
        <w:t> </w:t>
      </w:r>
      <w:r>
        <w:t>г.) до 70,6% за първите три месеца на 2018 г. Регистрираната безработица също продължи низходящата си тенденция и към края на юни достигна 5,7%, което бе най-ниската стойност на показателя от май 1991 г. насам.</w:t>
      </w:r>
      <w:r w:rsidRPr="005E6828">
        <w:t xml:space="preserve"> </w:t>
      </w:r>
    </w:p>
    <w:p w:rsidR="00216C9A" w:rsidRDefault="00216C9A" w:rsidP="00216C9A">
      <w:pPr>
        <w:ind w:firstLine="709"/>
        <w:jc w:val="both"/>
      </w:pPr>
      <w:r w:rsidRPr="005E6828">
        <w:t xml:space="preserve">През </w:t>
      </w:r>
      <w:r>
        <w:t>първите три месеца на годината</w:t>
      </w:r>
      <w:r w:rsidRPr="005E6828">
        <w:t xml:space="preserve"> средната работна заплата общо за икономиката </w:t>
      </w:r>
      <w:r>
        <w:t xml:space="preserve">забави </w:t>
      </w:r>
      <w:r w:rsidRPr="005E6828">
        <w:t>темп</w:t>
      </w:r>
      <w:r>
        <w:t>а си на растеж до 7,</w:t>
      </w:r>
      <w:r w:rsidRPr="005E6828">
        <w:t>1% в номинално израж</w:t>
      </w:r>
      <w:r>
        <w:t>ение и 5,4% в реално изражение (</w:t>
      </w:r>
      <w:proofErr w:type="spellStart"/>
      <w:r>
        <w:t>дефлиран</w:t>
      </w:r>
      <w:proofErr w:type="spellEnd"/>
      <w:r>
        <w:t xml:space="preserve"> с ХИПЦ), основно по линия частния</w:t>
      </w:r>
      <w:r w:rsidRPr="005E6828">
        <w:t xml:space="preserve"> сектор (6</w:t>
      </w:r>
      <w:r>
        <w:t>,</w:t>
      </w:r>
      <w:r w:rsidRPr="005E6828">
        <w:t>6%), докато растежът на заплатите в обществения сектор се ускори до 9</w:t>
      </w:r>
      <w:r>
        <w:t>,</w:t>
      </w:r>
      <w:r w:rsidRPr="005E6828">
        <w:t>0%</w:t>
      </w:r>
      <w:r>
        <w:t xml:space="preserve">. </w:t>
      </w:r>
      <w:r w:rsidRPr="005E6828">
        <w:t>През разглеждания период</w:t>
      </w:r>
      <w:r>
        <w:t>,</w:t>
      </w:r>
      <w:r w:rsidRPr="005E6828">
        <w:t xml:space="preserve"> реалният растеж на производителността на труда достигна 2</w:t>
      </w:r>
      <w:r>
        <w:t>,</w:t>
      </w:r>
      <w:r w:rsidRPr="005E6828">
        <w:t>3% на годишна база, като наблюдаваното ускорение спрямо края на предходната година допринесе за известно отслабване на натиска върху разходите за труд за единица продукция.</w:t>
      </w:r>
    </w:p>
    <w:p w:rsidR="00216C9A" w:rsidRDefault="00216C9A" w:rsidP="00216C9A">
      <w:pPr>
        <w:ind w:firstLine="709"/>
        <w:jc w:val="both"/>
        <w:rPr>
          <w:lang w:val="en-GB"/>
        </w:rPr>
      </w:pPr>
      <w:r w:rsidRPr="00A53878">
        <w:t>През първото полугодие на 2018</w:t>
      </w:r>
      <w:r>
        <w:rPr>
          <w:lang w:val="en-GB"/>
        </w:rPr>
        <w:t> </w:t>
      </w:r>
      <w:r w:rsidRPr="00A53878">
        <w:t>г. инфлацията продължи да се ускорява. Според ХИПЦ, инфлацията за юни бе 3%, спрямо съответния месец на предходната година, а средногодишната стойност към този период бе 1,6%. Инфлацията е по-висока спрямо очакванията по отношение на стойността за юни на годишна база, докато средногодишната стойност отговаря на заложеното в пролетната макроикономическа прогноза. Към юни цените на енергийните стоки се повишиха с 8,5% на годишна база, поради повишенията в международните цени на суровия петрол и допринесоха в най-голяма степен за ускорението на инфлацията, следвани от храните и услугите, чиито цени се повишиха съответно с 2,1% и 4,3% спрямо юни 2017</w:t>
      </w:r>
      <w:r>
        <w:rPr>
          <w:lang w:val="en-GB"/>
        </w:rPr>
        <w:t> </w:t>
      </w:r>
      <w:r w:rsidRPr="00A53878">
        <w:t>г.</w:t>
      </w:r>
    </w:p>
    <w:p w:rsidR="00216C9A" w:rsidRPr="006E60D3" w:rsidRDefault="00216C9A" w:rsidP="00216C9A">
      <w:pPr>
        <w:ind w:firstLine="709"/>
        <w:jc w:val="both"/>
      </w:pPr>
      <w:r w:rsidRPr="006E60D3">
        <w:lastRenderedPageBreak/>
        <w:t>За първите пет месеца балансът по текущата сметка бе отрицателен в размер на 152 млн. евро (0,3% от прогнозния БВП), при балансирано салдо за същия период на 2017</w:t>
      </w:r>
      <w:r>
        <w:t> </w:t>
      </w:r>
      <w:r w:rsidRPr="006E60D3">
        <w:t xml:space="preserve">г. </w:t>
      </w:r>
      <w:r>
        <w:t xml:space="preserve">Ускорението на вътрешното търсене и увеличението на международните цени, което имаше по-силно отражение върху </w:t>
      </w:r>
      <w:proofErr w:type="spellStart"/>
      <w:r>
        <w:t>дефлатора</w:t>
      </w:r>
      <w:proofErr w:type="spellEnd"/>
      <w:r>
        <w:t xml:space="preserve"> на вноса на стоки спрямо този на износа, се отразиха в ръст на вноса на стоки от</w:t>
      </w:r>
      <w:r w:rsidRPr="006E60D3">
        <w:t xml:space="preserve"> 7,1</w:t>
      </w:r>
      <w:r>
        <w:t xml:space="preserve">%, който </w:t>
      </w:r>
      <w:r w:rsidRPr="006E60D3">
        <w:t>надхвърли този на износа с 4,1</w:t>
      </w:r>
      <w:r>
        <w:t> </w:t>
      </w:r>
      <w:r w:rsidRPr="006E60D3">
        <w:t>пр.п.</w:t>
      </w:r>
      <w:r>
        <w:t xml:space="preserve"> </w:t>
      </w:r>
      <w:r w:rsidRPr="006E60D3">
        <w:t>Търговският дефицит нарасна до 2,7% от прогнозния БВП при 1,9% от БВП за миналата година. Излишъкът по баланса на услугите нарасна до 1,1% от прогнозния БВП за първите пет месеца 2018</w:t>
      </w:r>
      <w:r>
        <w:t> </w:t>
      </w:r>
      <w:r w:rsidRPr="006E60D3">
        <w:t>г., като за същия период на 2017</w:t>
      </w:r>
      <w:r>
        <w:t> </w:t>
      </w:r>
      <w:r w:rsidRPr="006E60D3">
        <w:t xml:space="preserve">г. бе 0,8% от БВП. </w:t>
      </w:r>
      <w:r>
        <w:t>Дефицитът</w:t>
      </w:r>
      <w:r w:rsidRPr="006E60D3">
        <w:t xml:space="preserve"> по първичния доход се </w:t>
      </w:r>
      <w:r>
        <w:t>сви</w:t>
      </w:r>
      <w:r w:rsidRPr="006E60D3">
        <w:t xml:space="preserve"> с 0,5 пр.п., следвайки по-ниските плащания на инвестиционен доход към </w:t>
      </w:r>
      <w:proofErr w:type="spellStart"/>
      <w:r w:rsidRPr="006E60D3">
        <w:t>нерезиденти</w:t>
      </w:r>
      <w:proofErr w:type="spellEnd"/>
      <w:r w:rsidRPr="006E60D3">
        <w:t xml:space="preserve">. Излишъкът по вторичния доход леко намаля до 1,5% от прогнозния БВП при 1,8% за 2017 г., </w:t>
      </w:r>
      <w:r w:rsidRPr="00445EBF">
        <w:t>поради по-ниските трансфери на средства от ЕС към сектор „Държавно управление“.</w:t>
      </w:r>
      <w:r w:rsidRPr="006E60D3">
        <w:t xml:space="preserve"> </w:t>
      </w:r>
    </w:p>
    <w:p w:rsidR="00216C9A" w:rsidRPr="006E60D3" w:rsidRDefault="00216C9A" w:rsidP="00216C9A">
      <w:pPr>
        <w:ind w:firstLine="709"/>
        <w:jc w:val="both"/>
      </w:pPr>
      <w:r w:rsidRPr="00445EBF">
        <w:t xml:space="preserve">Излишъкът по капиталовата сметка за периода достигна 0,2% от прогнозния БВП, а излишъкът по финансовата сметка се увеличи значително с 3,1 пр.п. до 3,4% от прогнозния БВП, отразявайки </w:t>
      </w:r>
      <w:proofErr w:type="spellStart"/>
      <w:r w:rsidRPr="00445EBF">
        <w:t>превишение</w:t>
      </w:r>
      <w:proofErr w:type="spellEnd"/>
      <w:r w:rsidRPr="00445EBF">
        <w:t xml:space="preserve"> на насочените към </w:t>
      </w:r>
      <w:proofErr w:type="spellStart"/>
      <w:r w:rsidRPr="00445EBF">
        <w:t>нерезиденти</w:t>
      </w:r>
      <w:proofErr w:type="spellEnd"/>
      <w:r w:rsidRPr="00445EBF">
        <w:t xml:space="preserve"> средства над привлечените в страната.</w:t>
      </w:r>
    </w:p>
    <w:p w:rsidR="00216C9A" w:rsidRPr="009516DD" w:rsidRDefault="00216C9A" w:rsidP="00216C9A">
      <w:pPr>
        <w:spacing w:after="120"/>
        <w:jc w:val="both"/>
        <w:rPr>
          <w:color w:val="4F81BD" w:themeColor="accent1"/>
          <w:sz w:val="12"/>
          <w:szCs w:val="12"/>
          <w:lang w:val="en-US"/>
        </w:rPr>
      </w:pPr>
    </w:p>
    <w:p w:rsidR="00216C9A" w:rsidRPr="00344353" w:rsidRDefault="00216C9A" w:rsidP="00216C9A">
      <w:pPr>
        <w:ind w:firstLine="709"/>
        <w:jc w:val="both"/>
        <w:rPr>
          <w:b/>
          <w:color w:val="000000"/>
          <w:u w:val="single"/>
        </w:rPr>
      </w:pPr>
      <w:r w:rsidRPr="00344353">
        <w:rPr>
          <w:b/>
          <w:color w:val="000000"/>
          <w:u w:val="single"/>
        </w:rPr>
        <w:t>Основни бюджетни параметри към края на полугодието на 201</w:t>
      </w:r>
      <w:r>
        <w:rPr>
          <w:b/>
          <w:color w:val="000000"/>
          <w:u w:val="single"/>
        </w:rPr>
        <w:t>8</w:t>
      </w:r>
      <w:r w:rsidRPr="00344353">
        <w:rPr>
          <w:b/>
          <w:color w:val="000000"/>
          <w:u w:val="single"/>
        </w:rPr>
        <w:t xml:space="preserve"> г.</w:t>
      </w:r>
    </w:p>
    <w:p w:rsidR="00216C9A" w:rsidRPr="00D013D9" w:rsidRDefault="00216C9A" w:rsidP="00216C9A">
      <w:pPr>
        <w:jc w:val="both"/>
        <w:rPr>
          <w:b/>
          <w:color w:val="0000FF"/>
          <w:sz w:val="8"/>
        </w:rPr>
      </w:pPr>
    </w:p>
    <w:p w:rsidR="00216C9A" w:rsidRPr="00961008" w:rsidRDefault="00216C9A" w:rsidP="00216C9A">
      <w:pPr>
        <w:spacing w:after="120"/>
        <w:ind w:firstLine="709"/>
        <w:jc w:val="both"/>
        <w:rPr>
          <w:bCs/>
          <w:color w:val="000000"/>
        </w:rPr>
      </w:pPr>
      <w:r>
        <w:rPr>
          <w:color w:val="000000"/>
        </w:rPr>
        <w:t xml:space="preserve">За поредна година параметрите по изпълнението на приходите отчитат значително подобрение спрямо същия период на предходната година. Основните фактори за това са от една страна, продължаващото подобрение при </w:t>
      </w:r>
      <w:r w:rsidRPr="00470D72">
        <w:rPr>
          <w:color w:val="000000"/>
        </w:rPr>
        <w:t xml:space="preserve">някои от важните макроикономически индикатори, като вътрешното потребление, </w:t>
      </w:r>
      <w:r>
        <w:rPr>
          <w:color w:val="000000"/>
        </w:rPr>
        <w:t>инвестициите, нивото на безработица</w:t>
      </w:r>
      <w:r w:rsidRPr="00470D72">
        <w:rPr>
          <w:color w:val="000000"/>
        </w:rPr>
        <w:t xml:space="preserve"> и други</w:t>
      </w:r>
      <w:r>
        <w:rPr>
          <w:color w:val="000000"/>
        </w:rPr>
        <w:t xml:space="preserve">, </w:t>
      </w:r>
      <w:r w:rsidRPr="00470D72">
        <w:rPr>
          <w:color w:val="000000"/>
        </w:rPr>
        <w:t xml:space="preserve">и </w:t>
      </w:r>
      <w:r>
        <w:rPr>
          <w:color w:val="000000"/>
        </w:rPr>
        <w:t xml:space="preserve">от друга, на изпълнението на мерките, залегнали в </w:t>
      </w:r>
      <w:r>
        <w:t>Единната национална стратегия за повишаване на събираемостта на приходите, справяне със сенчестата икономика, както и други стъпки в тази насока</w:t>
      </w:r>
      <w:r>
        <w:rPr>
          <w:bCs/>
          <w:color w:val="000000"/>
          <w:lang w:val="en-US"/>
        </w:rPr>
        <w:t>.</w:t>
      </w:r>
      <w:r w:rsidRPr="00470D72">
        <w:rPr>
          <w:bCs/>
          <w:color w:val="000000"/>
        </w:rPr>
        <w:t xml:space="preserve"> </w:t>
      </w:r>
      <w:r w:rsidRPr="0082004A">
        <w:rPr>
          <w:bCs/>
          <w:color w:val="000000"/>
        </w:rPr>
        <w:t>Данъчните постъпления като цяло нарастват</w:t>
      </w:r>
      <w:r>
        <w:rPr>
          <w:bCs/>
          <w:color w:val="000000"/>
        </w:rPr>
        <w:t xml:space="preserve"> в номинално изражение с 1 482,7</w:t>
      </w:r>
      <w:r w:rsidRPr="0082004A">
        <w:rPr>
          <w:bCs/>
          <w:color w:val="000000"/>
        </w:rPr>
        <w:t xml:space="preserve"> млн. лв. (</w:t>
      </w:r>
      <w:r w:rsidR="00766A6D">
        <w:rPr>
          <w:bCs/>
          <w:color w:val="000000"/>
          <w:lang w:val="en-US"/>
        </w:rPr>
        <w:t>10</w:t>
      </w:r>
      <w:r w:rsidR="00766A6D">
        <w:rPr>
          <w:bCs/>
          <w:color w:val="000000"/>
        </w:rPr>
        <w:t>,2</w:t>
      </w:r>
      <w:r w:rsidRPr="0082004A">
        <w:rPr>
          <w:bCs/>
          <w:color w:val="000000"/>
        </w:rPr>
        <w:t> %) спрямо полугодието на 201</w:t>
      </w:r>
      <w:r>
        <w:rPr>
          <w:bCs/>
          <w:color w:val="000000"/>
        </w:rPr>
        <w:t>7</w:t>
      </w:r>
      <w:r w:rsidRPr="0082004A">
        <w:rPr>
          <w:bCs/>
          <w:color w:val="000000"/>
        </w:rPr>
        <w:t xml:space="preserve"> г., </w:t>
      </w:r>
      <w:r>
        <w:rPr>
          <w:bCs/>
          <w:color w:val="000000"/>
        </w:rPr>
        <w:t xml:space="preserve">като с най-голям принос са приходите от осигурителни вноски и постъпленията от </w:t>
      </w:r>
      <w:r w:rsidRPr="0082004A">
        <w:rPr>
          <w:bCs/>
          <w:color w:val="000000"/>
        </w:rPr>
        <w:t xml:space="preserve">косвените данъци. </w:t>
      </w:r>
      <w:r>
        <w:rPr>
          <w:bCs/>
          <w:color w:val="000000"/>
        </w:rPr>
        <w:t>Съпоставено със същия период на предходната година ръст се отчита във всички данъчни групи, като преките данъци нараств</w:t>
      </w:r>
      <w:r w:rsidR="00230016">
        <w:rPr>
          <w:bCs/>
          <w:color w:val="000000"/>
        </w:rPr>
        <w:t>ат с 12,4 %, социално и здравно</w:t>
      </w:r>
      <w:bookmarkStart w:id="0" w:name="_GoBack"/>
      <w:bookmarkEnd w:id="0"/>
      <w:r>
        <w:rPr>
          <w:bCs/>
          <w:color w:val="000000"/>
        </w:rPr>
        <w:t>осигурителните вноски отчитат ръст от 13,8 %, косвените данъци нарастват с</w:t>
      </w:r>
      <w:r w:rsidR="005A04B3">
        <w:rPr>
          <w:bCs/>
          <w:color w:val="000000"/>
        </w:rPr>
        <w:t>ъс</w:t>
      </w:r>
      <w:r>
        <w:rPr>
          <w:bCs/>
          <w:color w:val="000000"/>
        </w:rPr>
        <w:t xml:space="preserve"> 7,5</w:t>
      </w:r>
      <w:r w:rsidR="005A04B3">
        <w:rPr>
          <w:bCs/>
          <w:color w:val="000000"/>
        </w:rPr>
        <w:t xml:space="preserve"> </w:t>
      </w:r>
      <w:r>
        <w:rPr>
          <w:bCs/>
          <w:color w:val="000000"/>
        </w:rPr>
        <w:t>%, а постъпленията от други данъци – с</w:t>
      </w:r>
      <w:r w:rsidR="005A04B3">
        <w:rPr>
          <w:bCs/>
          <w:color w:val="000000"/>
        </w:rPr>
        <w:t>ъс</w:t>
      </w:r>
      <w:r>
        <w:rPr>
          <w:bCs/>
          <w:color w:val="000000"/>
        </w:rPr>
        <w:t xml:space="preserve"> 7,</w:t>
      </w:r>
      <w:r w:rsidR="005A04B3">
        <w:rPr>
          <w:bCs/>
          <w:color w:val="000000"/>
        </w:rPr>
        <w:t>7</w:t>
      </w:r>
      <w:r>
        <w:rPr>
          <w:bCs/>
          <w:color w:val="000000"/>
        </w:rPr>
        <w:t xml:space="preserve"> процента. </w:t>
      </w:r>
      <w:r w:rsidRPr="00961008">
        <w:rPr>
          <w:rFonts w:eastAsia="Calibri"/>
          <w:bCs/>
        </w:rPr>
        <w:t xml:space="preserve">Неданъчните приходи </w:t>
      </w:r>
      <w:r w:rsidRPr="00961008">
        <w:rPr>
          <w:rFonts w:eastAsia="Calibri"/>
        </w:rPr>
        <w:t xml:space="preserve">са в размер на </w:t>
      </w:r>
      <w:r w:rsidRPr="00961008">
        <w:t>2 491,2  млн. лв., което представлява 53,0 % изпълнение на годишните разчети, а п</w:t>
      </w:r>
      <w:r w:rsidRPr="00961008">
        <w:rPr>
          <w:rFonts w:eastAsia="Calibri"/>
        </w:rPr>
        <w:t>риходите от помощи са в размер на</w:t>
      </w:r>
      <w:r w:rsidRPr="00961008">
        <w:t xml:space="preserve"> 697,9 млн. лв., като остават номинално близки до отчетените за същия период на предходната година.</w:t>
      </w:r>
    </w:p>
    <w:p w:rsidR="00216C9A" w:rsidRPr="00417C70" w:rsidRDefault="00216C9A" w:rsidP="00216C9A">
      <w:pPr>
        <w:spacing w:before="120" w:after="120"/>
        <w:ind w:firstLine="709"/>
        <w:jc w:val="both"/>
      </w:pPr>
      <w:r w:rsidRPr="00470D72">
        <w:t>На база на тези параметри и изготвените прогнози в годишен план не се очертава напрежение при изпълнението на планираните данъчни приходи по националния бюджет. Прогнозите очертават изпълнение на разчетите за 201</w:t>
      </w:r>
      <w:r>
        <w:t>8</w:t>
      </w:r>
      <w:r w:rsidRPr="00470D72">
        <w:t xml:space="preserve"> г. при данъчните приходи, като се очаква преизпълнение при постъпленията от социално и здравноосигурителни вноски</w:t>
      </w:r>
      <w:r>
        <w:t>,</w:t>
      </w:r>
      <w:r w:rsidRPr="00470D72">
        <w:t xml:space="preserve"> </w:t>
      </w:r>
      <w:r>
        <w:t>ДДС, к</w:t>
      </w:r>
      <w:r w:rsidRPr="00470D72">
        <w:t>орпоративен данък,</w:t>
      </w:r>
      <w:r>
        <w:t xml:space="preserve"> ДДФЛ</w:t>
      </w:r>
      <w:r w:rsidRPr="00470D72">
        <w:t xml:space="preserve"> и </w:t>
      </w:r>
      <w:r w:rsidRPr="004B1CC6">
        <w:t>др. Тук е важно да се отбележат и усилията на приходните администрации за повишаване събираемостта на приходите. Активните мерки за изтласкване на светло на оборотите от сивия сектор на икономиката чрез засилен фискален контрол, включително и контрол в реално време на фискалните устройства на търговците в страната, мерките за засилване на контрола при търговията с акцизни стоки, борбата с контрабандния внос, както и противодействието на опитите за данъчни нарушения и измами</w:t>
      </w:r>
      <w:r>
        <w:t>.</w:t>
      </w:r>
      <w:r w:rsidRPr="004B1CC6">
        <w:t xml:space="preserve"> Системното прилагане на тези мерки вече</w:t>
      </w:r>
      <w:r w:rsidRPr="00470D72">
        <w:t xml:space="preserve"> оказва дисциплиниращ ефект и натиск върху сивата икономика</w:t>
      </w:r>
      <w:r>
        <w:t>, което се потвърждава от отчетените за поредна година добри параметри по изпълнението на данъчните и осигурителни приходи</w:t>
      </w:r>
      <w:r w:rsidRPr="00470D72">
        <w:t>.</w:t>
      </w:r>
    </w:p>
    <w:p w:rsidR="00216C9A" w:rsidRDefault="00216C9A" w:rsidP="00216C9A">
      <w:pPr>
        <w:spacing w:before="120" w:after="120"/>
        <w:ind w:firstLine="708"/>
        <w:jc w:val="both"/>
      </w:pPr>
      <w:r w:rsidRPr="00470D72">
        <w:t xml:space="preserve">Параметрите по разходите </w:t>
      </w:r>
      <w:r>
        <w:t xml:space="preserve">се развиват съобразно разчетите към ЗДБРБ за 2018 г. Усвояването на разходите през първото полугодие е традиционно ниско - разходите по КФП, включително вноската в общия бюджет на ЕС, за първите шест месеца на 2018 г. представляват 44,2 на сто от планираните с разчетите към ЗДБРБ за 2018 г. Това се дължи основно на изместване на голяма част от инвестиционните и капиталови разходи за последното тримесечие на годината. Неравномерното усвояване на капиталовите разходи е обективно обусловено от календара на строителния сезон, като изпълнението на повечето </w:t>
      </w:r>
      <w:r>
        <w:lastRenderedPageBreak/>
        <w:t xml:space="preserve">инфраструктурни проекти се извършва през летните месеци и разплащането за извършената работа се концентрира в последното тримесечие. </w:t>
      </w:r>
    </w:p>
    <w:p w:rsidR="00216C9A" w:rsidRPr="008B1633" w:rsidRDefault="00216C9A" w:rsidP="00216C9A">
      <w:pPr>
        <w:spacing w:before="120" w:after="120"/>
        <w:ind w:firstLine="708"/>
        <w:jc w:val="both"/>
      </w:pPr>
      <w:r>
        <w:t xml:space="preserve">Съпоставени със същия период на предходната година разходите и вноската в общия бюджет на ЕС нарастват номинално с 1,76 млрд. лв., което се дължи </w:t>
      </w:r>
      <w:r w:rsidRPr="00841D69">
        <w:t>на по-високия размер на разхо</w:t>
      </w:r>
      <w:r>
        <w:t>дите по националния бюджет, както</w:t>
      </w:r>
      <w:r w:rsidRPr="00841D69">
        <w:t xml:space="preserve"> и на нарастването на разходите по сметките за средства от Европейския съюз. Ръстът на разходите по националния бюджет се дължи основно на по-високия размер на здравноосигурителните и социалните плащания, по-високите разходи за персонал и др., докато по сметките за средства от ЕС нарастват основно капиталовите разходи.</w:t>
      </w:r>
      <w:r>
        <w:t xml:space="preserve"> </w:t>
      </w:r>
      <w:r w:rsidRPr="008B1633">
        <w:t xml:space="preserve">Положително е, че за разлика от предходната година, когато разходите по сметките за средства от ЕС към полугодието бяха ниски, през настоящата година се наблюдава известно активизиране при усвояването на европейските средства, като именно по-високите разходи по европейските програми и фондове са основната причина за отчетения ръст при капиталовите разходи за полугодието. При разходите за персонал се наблюдава нарастване основно във връзка с изпълнението на приоритета от Програмата за управление на Правителството на Република България за периода 2017-2021 г. за поетапно увеличение на възнагражденията на педагогическия персонал в системата на средното образование, както и поради предвиденото увеличение на заплатите в други сектори и системи, заложено в ЗДБРБ за 2018 г. При социалните и здравноосигурителните разходи най-голям ръст спрямо предходната година се отчита при разходите за пенсии, поради базов ефект при разходите за пенсии от увеличението им от юли 2017 г. и увеличението на две стъпки през 2017 г. на размера на минималната пенсия (от юли и октомври), а причината за по-високите здравноосигурителни плащания са </w:t>
      </w:r>
      <w:r>
        <w:t>осигурените за настоящата година</w:t>
      </w:r>
      <w:r w:rsidRPr="008B1633">
        <w:t xml:space="preserve"> със ЗБНЗОК за 2018 г. </w:t>
      </w:r>
      <w:r>
        <w:t>по-високи разходи</w:t>
      </w:r>
      <w:r w:rsidRPr="008B1633">
        <w:t xml:space="preserve"> в размер на 400 млн. лв. по бюджета на НЗОК </w:t>
      </w:r>
    </w:p>
    <w:p w:rsidR="00216C9A" w:rsidRPr="008B1633" w:rsidRDefault="00216C9A" w:rsidP="00216C9A">
      <w:pPr>
        <w:spacing w:before="120" w:after="120"/>
        <w:ind w:firstLine="708"/>
        <w:jc w:val="both"/>
      </w:pPr>
      <w:r w:rsidRPr="00470D72">
        <w:rPr>
          <w:bCs/>
          <w:lang w:eastAsia="bg-BG"/>
        </w:rPr>
        <w:t xml:space="preserve">В следствие на отчетените добри параметри по изпълнението на приходите и </w:t>
      </w:r>
      <w:r>
        <w:rPr>
          <w:bCs/>
          <w:lang w:eastAsia="bg-BG"/>
        </w:rPr>
        <w:t xml:space="preserve">традиционно </w:t>
      </w:r>
      <w:r w:rsidRPr="00470D72">
        <w:rPr>
          <w:bCs/>
          <w:lang w:eastAsia="bg-BG"/>
        </w:rPr>
        <w:t xml:space="preserve">по-ниското </w:t>
      </w:r>
      <w:r>
        <w:rPr>
          <w:bCs/>
          <w:lang w:eastAsia="bg-BG"/>
        </w:rPr>
        <w:t>усвояване</w:t>
      </w:r>
      <w:r w:rsidRPr="00470D72">
        <w:rPr>
          <w:bCs/>
          <w:lang w:eastAsia="bg-BG"/>
        </w:rPr>
        <w:t xml:space="preserve"> на разходите през първото полугодие на годината, бюджетното салдо по консолидираната фискална програма към 30.06.201</w:t>
      </w:r>
      <w:r>
        <w:rPr>
          <w:bCs/>
          <w:lang w:eastAsia="bg-BG"/>
        </w:rPr>
        <w:t>8</w:t>
      </w:r>
      <w:r w:rsidRPr="00470D72">
        <w:rPr>
          <w:bCs/>
          <w:lang w:eastAsia="bg-BG"/>
        </w:rPr>
        <w:t xml:space="preserve"> г. е излишък в размер </w:t>
      </w:r>
      <w:r w:rsidRPr="0077741B">
        <w:rPr>
          <w:bCs/>
          <w:lang w:eastAsia="bg-BG"/>
        </w:rPr>
        <w:t>на</w:t>
      </w:r>
      <w:r w:rsidRPr="0077741B">
        <w:rPr>
          <w:bCs/>
          <w:lang w:val="en-US" w:eastAsia="bg-BG"/>
        </w:rPr>
        <w:t xml:space="preserve"> </w:t>
      </w:r>
      <w:r w:rsidRPr="00841D69">
        <w:rPr>
          <w:rFonts w:eastAsia="Calibri"/>
        </w:rPr>
        <w:t>1 713,9 млн. лв.</w:t>
      </w:r>
      <w:r w:rsidRPr="00AD3BF5">
        <w:rPr>
          <w:rFonts w:eastAsia="Calibri"/>
          <w:b/>
        </w:rPr>
        <w:t xml:space="preserve"> </w:t>
      </w:r>
      <w:r w:rsidRPr="00AD3BF5">
        <w:rPr>
          <w:rFonts w:eastAsia="Calibri"/>
        </w:rPr>
        <w:t>(1,6 % от прогнозния БВП)</w:t>
      </w:r>
      <w:r w:rsidRPr="00AD3BF5">
        <w:t xml:space="preserve"> и се формира от излишък по националния бюджет </w:t>
      </w:r>
      <w:r w:rsidRPr="00841D69">
        <w:rPr>
          <w:color w:val="000000" w:themeColor="text1"/>
        </w:rPr>
        <w:t>в размер на 2 014,4 млн. лв. и дефицит по европейските средства в размер на 300,5 млн. лева. Съпоставено с предходната година бюджетното салдо по КФП се запазва на ниво, близко до</w:t>
      </w:r>
      <w:r w:rsidRPr="00841D69">
        <w:rPr>
          <w:rFonts w:eastAsia="Calibri"/>
          <w:color w:val="000000" w:themeColor="text1"/>
        </w:rPr>
        <w:t xml:space="preserve"> отчетеното към полугодието </w:t>
      </w:r>
      <w:r>
        <w:rPr>
          <w:rFonts w:eastAsia="Calibri"/>
          <w:color w:val="000000"/>
        </w:rPr>
        <w:t>на 2017 г.</w:t>
      </w:r>
      <w:r w:rsidRPr="00D661C5">
        <w:rPr>
          <w:rFonts w:eastAsia="Calibri"/>
          <w:color w:val="000000"/>
        </w:rPr>
        <w:t xml:space="preserve"> Предвид</w:t>
      </w:r>
      <w:r w:rsidRPr="00B2174E">
        <w:rPr>
          <w:noProof/>
        </w:rPr>
        <w:t xml:space="preserve"> спецификата на данъчния календар, както и поради изместването на значителна част от инвестиционните </w:t>
      </w:r>
      <w:r w:rsidRPr="00AC6DDB">
        <w:rPr>
          <w:noProof/>
        </w:rPr>
        <w:t>разходи за втората половина на годината, бюджетната позиция към полугодието би следвало да се приема като индикация, че предвидения бюджетен баланс по държавния бюджет за годината ще бъде спазен, а при наличие на фискална възможност може да се очаква и подобряване на бюджетното салдо спрямо планираното за годината.</w:t>
      </w:r>
      <w:r w:rsidRPr="00B2174E">
        <w:rPr>
          <w:noProof/>
        </w:rPr>
        <w:t xml:space="preserve"> </w:t>
      </w:r>
    </w:p>
    <w:p w:rsidR="00216C9A" w:rsidRPr="0020498E" w:rsidRDefault="00216C9A" w:rsidP="00216C9A">
      <w:pPr>
        <w:autoSpaceDE w:val="0"/>
        <w:autoSpaceDN w:val="0"/>
        <w:adjustRightInd w:val="0"/>
        <w:spacing w:before="120" w:after="120"/>
        <w:ind w:firstLine="567"/>
        <w:jc w:val="both"/>
        <w:rPr>
          <w:noProof/>
        </w:rPr>
      </w:pPr>
      <w:r w:rsidRPr="0020498E">
        <w:rPr>
          <w:noProof/>
        </w:rPr>
        <w:t xml:space="preserve">Основните предизвикателства при изпълнението на бюджета до края на годината </w:t>
      </w:r>
      <w:r w:rsidRPr="0020498E">
        <w:rPr>
          <w:bCs/>
        </w:rPr>
        <w:t xml:space="preserve">се свързват основно с ускоряване усвояването на средствата по проектите, </w:t>
      </w:r>
      <w:proofErr w:type="spellStart"/>
      <w:r w:rsidRPr="0020498E">
        <w:rPr>
          <w:bCs/>
        </w:rPr>
        <w:t>съфинансирани</w:t>
      </w:r>
      <w:proofErr w:type="spellEnd"/>
      <w:r w:rsidRPr="0020498E">
        <w:rPr>
          <w:bCs/>
        </w:rPr>
        <w:t xml:space="preserve"> по програмите и фондовете на ЕС, както и с усилията на приходните администрации за подобряване на събираемостта на приходите. Финансирането на разходните политики към </w:t>
      </w:r>
      <w:r w:rsidRPr="00A9537B">
        <w:rPr>
          <w:bCs/>
        </w:rPr>
        <w:t>момента не създава напрежение, но евентуалното изместване и концентриране на значителни по размер разходи по европейските програми и фондове в последното тримесечие на годината може да доведе до натиск върху бюджетната позиция на касова основа от гледна точка на периода, в който извършените сертифицирани разходи ще бъдат ефективно възстановени от ЕК на България.</w:t>
      </w:r>
      <w:r>
        <w:rPr>
          <w:bCs/>
          <w:lang w:val="en-US"/>
        </w:rPr>
        <w:t xml:space="preserve"> </w:t>
      </w:r>
    </w:p>
    <w:p w:rsidR="00774DE7" w:rsidRDefault="00774DE7">
      <w:pPr>
        <w:rPr>
          <w:color w:val="0070C0"/>
          <w:highlight w:val="yellow"/>
        </w:rPr>
      </w:pPr>
      <w:r>
        <w:rPr>
          <w:color w:val="0070C0"/>
          <w:highlight w:val="yellow"/>
        </w:rPr>
        <w:br w:type="page"/>
      </w:r>
    </w:p>
    <w:p w:rsidR="00E74802" w:rsidRPr="00F24D6A" w:rsidRDefault="00E74802" w:rsidP="00E74802">
      <w:pPr>
        <w:pStyle w:val="Heading1"/>
        <w:numPr>
          <w:ilvl w:val="0"/>
          <w:numId w:val="10"/>
        </w:numPr>
        <w:ind w:right="-108"/>
        <w:jc w:val="both"/>
        <w:rPr>
          <w:sz w:val="24"/>
        </w:rPr>
      </w:pPr>
      <w:r w:rsidRPr="00F24D6A">
        <w:rPr>
          <w:sz w:val="24"/>
        </w:rPr>
        <w:lastRenderedPageBreak/>
        <w:t>Основни показатели по консолидираната фискална програма</w:t>
      </w:r>
      <w:r w:rsidRPr="00F24D6A">
        <w:rPr>
          <w:rStyle w:val="FootnoteReference"/>
          <w:sz w:val="24"/>
        </w:rPr>
        <w:footnoteReference w:id="2"/>
      </w:r>
      <w:r w:rsidRPr="00F24D6A">
        <w:rPr>
          <w:sz w:val="24"/>
        </w:rPr>
        <w:t xml:space="preserve"> за първото </w:t>
      </w:r>
      <w:r w:rsidR="00F24D6A" w:rsidRPr="00F24D6A">
        <w:rPr>
          <w:sz w:val="24"/>
        </w:rPr>
        <w:t>полугод</w:t>
      </w:r>
      <w:r w:rsidRPr="00F24D6A">
        <w:rPr>
          <w:sz w:val="24"/>
        </w:rPr>
        <w:t>ие на 201</w:t>
      </w:r>
      <w:r w:rsidR="00B90E95" w:rsidRPr="00F24D6A">
        <w:rPr>
          <w:sz w:val="24"/>
          <w:lang w:val="en-US"/>
        </w:rPr>
        <w:t>8</w:t>
      </w:r>
      <w:r w:rsidRPr="00F24D6A">
        <w:rPr>
          <w:sz w:val="24"/>
        </w:rPr>
        <w:t> г.</w:t>
      </w:r>
    </w:p>
    <w:p w:rsidR="00430A35" w:rsidRPr="00F24D6A" w:rsidRDefault="00430A35" w:rsidP="00430A35">
      <w:pPr>
        <w:rPr>
          <w:sz w:val="12"/>
          <w:szCs w:val="12"/>
        </w:rPr>
      </w:pPr>
    </w:p>
    <w:p w:rsidR="00987CE4" w:rsidRPr="00F24D6A" w:rsidRDefault="00987CE4" w:rsidP="00AF205D">
      <w:pPr>
        <w:ind w:firstLine="360"/>
        <w:jc w:val="both"/>
      </w:pPr>
      <w:r w:rsidRPr="00F24D6A">
        <w:t xml:space="preserve">Изпълнението на основните показатели по консолидираната фискална програма за </w:t>
      </w:r>
      <w:r w:rsidR="00EF4853" w:rsidRPr="00F24D6A">
        <w:t xml:space="preserve">първото </w:t>
      </w:r>
      <w:r w:rsidR="00F24D6A" w:rsidRPr="00F24D6A">
        <w:t>полугод</w:t>
      </w:r>
      <w:r w:rsidR="00EF4853" w:rsidRPr="00F24D6A">
        <w:t>ие</w:t>
      </w:r>
      <w:r w:rsidR="00E00282" w:rsidRPr="00F24D6A">
        <w:t xml:space="preserve"> </w:t>
      </w:r>
      <w:r w:rsidRPr="00F24D6A">
        <w:t>на 201</w:t>
      </w:r>
      <w:r w:rsidR="00B90E95" w:rsidRPr="00F24D6A">
        <w:rPr>
          <w:lang w:val="en-US"/>
        </w:rPr>
        <w:t>8</w:t>
      </w:r>
      <w:r w:rsidRPr="00F24D6A">
        <w:t xml:space="preserve"> г. е представено на следната таблица:</w:t>
      </w:r>
    </w:p>
    <w:p w:rsidR="00E74802" w:rsidRPr="00012533" w:rsidRDefault="00E74802" w:rsidP="00AF205D">
      <w:pPr>
        <w:ind w:firstLine="360"/>
        <w:jc w:val="both"/>
        <w:rPr>
          <w:sz w:val="4"/>
        </w:rPr>
      </w:pPr>
    </w:p>
    <w:p w:rsidR="00987CE4" w:rsidRPr="00F24D6A" w:rsidRDefault="00987CE4" w:rsidP="00987CE4">
      <w:pPr>
        <w:jc w:val="both"/>
        <w:rPr>
          <w:sz w:val="4"/>
          <w:szCs w:val="4"/>
        </w:rPr>
      </w:pPr>
    </w:p>
    <w:p w:rsidR="00987CE4" w:rsidRPr="00F24D6A" w:rsidRDefault="00987CE4" w:rsidP="00987CE4">
      <w:pPr>
        <w:jc w:val="both"/>
        <w:rPr>
          <w:sz w:val="4"/>
          <w:szCs w:val="4"/>
        </w:rPr>
      </w:pPr>
    </w:p>
    <w:p w:rsidR="00987CE4" w:rsidRPr="00F24D6A" w:rsidRDefault="00987CE4" w:rsidP="00987CE4">
      <w:pPr>
        <w:rPr>
          <w:b/>
          <w:i/>
          <w:sz w:val="18"/>
          <w:szCs w:val="18"/>
        </w:rPr>
      </w:pPr>
      <w:r w:rsidRPr="00F24D6A">
        <w:rPr>
          <w:b/>
          <w:i/>
          <w:sz w:val="22"/>
          <w:szCs w:val="22"/>
        </w:rPr>
        <w:t>Таблица</w:t>
      </w:r>
      <w:r w:rsidR="00E74802" w:rsidRPr="00F24D6A">
        <w:rPr>
          <w:b/>
          <w:i/>
          <w:sz w:val="22"/>
          <w:szCs w:val="22"/>
          <w:vertAlign w:val="superscript"/>
        </w:rPr>
        <w:footnoteReference w:id="3"/>
      </w:r>
      <w:r w:rsidRPr="00F24D6A">
        <w:rPr>
          <w:b/>
          <w:i/>
          <w:sz w:val="22"/>
          <w:szCs w:val="22"/>
        </w:rPr>
        <w:t xml:space="preserve"> №1</w:t>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22"/>
          <w:szCs w:val="22"/>
        </w:rPr>
        <w:tab/>
      </w:r>
      <w:r w:rsidRPr="00F24D6A">
        <w:rPr>
          <w:b/>
          <w:i/>
          <w:sz w:val="18"/>
          <w:szCs w:val="18"/>
        </w:rPr>
        <w:t>(млн. лв.)</w:t>
      </w:r>
    </w:p>
    <w:tbl>
      <w:tblPr>
        <w:tblW w:w="10093" w:type="dxa"/>
        <w:tblInd w:w="98" w:type="dxa"/>
        <w:tblLook w:val="04A0" w:firstRow="1" w:lastRow="0" w:firstColumn="1" w:lastColumn="0" w:noHBand="0" w:noVBand="1"/>
      </w:tblPr>
      <w:tblGrid>
        <w:gridCol w:w="4263"/>
        <w:gridCol w:w="992"/>
        <w:gridCol w:w="1087"/>
        <w:gridCol w:w="1252"/>
        <w:gridCol w:w="1199"/>
        <w:gridCol w:w="1300"/>
      </w:tblGrid>
      <w:tr w:rsidR="000119C6" w:rsidRPr="000119C6" w:rsidTr="00F52838">
        <w:trPr>
          <w:trHeight w:val="270"/>
        </w:trPr>
        <w:tc>
          <w:tcPr>
            <w:tcW w:w="4263" w:type="dxa"/>
            <w:vMerge w:val="restart"/>
            <w:tcBorders>
              <w:top w:val="single" w:sz="8" w:space="0" w:color="auto"/>
              <w:left w:val="single" w:sz="8" w:space="0" w:color="auto"/>
              <w:bottom w:val="single" w:sz="4" w:space="0" w:color="000000"/>
              <w:right w:val="nil"/>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ПОКАЗАТЕЛ</w:t>
            </w:r>
          </w:p>
        </w:tc>
        <w:tc>
          <w:tcPr>
            <w:tcW w:w="992" w:type="dxa"/>
            <w:tcBorders>
              <w:top w:val="single" w:sz="8" w:space="0" w:color="auto"/>
              <w:left w:val="single" w:sz="4" w:space="0" w:color="auto"/>
              <w:bottom w:val="nil"/>
              <w:right w:val="single" w:sz="4" w:space="0" w:color="auto"/>
            </w:tcBorders>
            <w:shd w:val="clear" w:color="000000" w:fill="D9D9D9"/>
            <w:noWrap/>
            <w:vAlign w:val="bottom"/>
            <w:hideMark/>
          </w:tcPr>
          <w:p w:rsidR="00500DD6" w:rsidRPr="00F24D6A" w:rsidRDefault="00500DD6" w:rsidP="00373E32">
            <w:pPr>
              <w:jc w:val="center"/>
              <w:rPr>
                <w:b/>
                <w:bCs/>
                <w:sz w:val="18"/>
                <w:szCs w:val="18"/>
              </w:rPr>
            </w:pPr>
            <w:r w:rsidRPr="00F24D6A">
              <w:rPr>
                <w:b/>
                <w:bCs/>
                <w:sz w:val="18"/>
                <w:szCs w:val="18"/>
              </w:rPr>
              <w:t>Разчет 201</w:t>
            </w:r>
            <w:r w:rsidR="00373E32" w:rsidRPr="00F24D6A">
              <w:rPr>
                <w:b/>
                <w:bCs/>
                <w:sz w:val="18"/>
                <w:szCs w:val="18"/>
                <w:lang w:val="en-US"/>
              </w:rPr>
              <w:t>8</w:t>
            </w:r>
            <w:r w:rsidRPr="00F24D6A">
              <w:rPr>
                <w:b/>
                <w:bCs/>
                <w:sz w:val="18"/>
                <w:szCs w:val="18"/>
              </w:rPr>
              <w:t xml:space="preserve"> г.</w:t>
            </w:r>
          </w:p>
        </w:tc>
        <w:tc>
          <w:tcPr>
            <w:tcW w:w="3538" w:type="dxa"/>
            <w:gridSpan w:val="3"/>
            <w:tcBorders>
              <w:top w:val="single" w:sz="8" w:space="0" w:color="auto"/>
              <w:left w:val="nil"/>
              <w:bottom w:val="single" w:sz="4" w:space="0" w:color="auto"/>
              <w:right w:val="single" w:sz="4" w:space="0" w:color="auto"/>
            </w:tcBorders>
            <w:shd w:val="clear" w:color="000000" w:fill="D9D9D9"/>
            <w:noWrap/>
            <w:vAlign w:val="center"/>
            <w:hideMark/>
          </w:tcPr>
          <w:p w:rsidR="00500DD6" w:rsidRPr="00F24D6A" w:rsidRDefault="00500DD6" w:rsidP="00F24D6A">
            <w:pPr>
              <w:jc w:val="center"/>
              <w:rPr>
                <w:b/>
                <w:bCs/>
                <w:sz w:val="18"/>
                <w:szCs w:val="18"/>
              </w:rPr>
            </w:pPr>
            <w:r w:rsidRPr="00F24D6A">
              <w:rPr>
                <w:b/>
                <w:bCs/>
                <w:sz w:val="18"/>
                <w:szCs w:val="18"/>
              </w:rPr>
              <w:t>Отчет към 3</w:t>
            </w:r>
            <w:r w:rsidR="00F24D6A" w:rsidRPr="00F24D6A">
              <w:rPr>
                <w:b/>
                <w:bCs/>
                <w:sz w:val="18"/>
                <w:szCs w:val="18"/>
              </w:rPr>
              <w:t>0</w:t>
            </w:r>
            <w:r w:rsidRPr="00F24D6A">
              <w:rPr>
                <w:b/>
                <w:bCs/>
                <w:sz w:val="18"/>
                <w:szCs w:val="18"/>
              </w:rPr>
              <w:t>.0</w:t>
            </w:r>
            <w:r w:rsidR="00F24D6A" w:rsidRPr="00F24D6A">
              <w:rPr>
                <w:b/>
                <w:bCs/>
                <w:sz w:val="18"/>
                <w:szCs w:val="18"/>
              </w:rPr>
              <w:t>6</w:t>
            </w:r>
            <w:r w:rsidRPr="00F24D6A">
              <w:rPr>
                <w:b/>
                <w:bCs/>
                <w:sz w:val="18"/>
                <w:szCs w:val="18"/>
              </w:rPr>
              <w:t>.201</w:t>
            </w:r>
            <w:r w:rsidR="00373E32" w:rsidRPr="00F24D6A">
              <w:rPr>
                <w:b/>
                <w:bCs/>
                <w:sz w:val="18"/>
                <w:szCs w:val="18"/>
                <w:lang w:val="en-US"/>
              </w:rPr>
              <w:t>8</w:t>
            </w:r>
            <w:r w:rsidRPr="00F24D6A">
              <w:rPr>
                <w:b/>
                <w:bCs/>
                <w:sz w:val="18"/>
                <w:szCs w:val="18"/>
              </w:rPr>
              <w:t xml:space="preserve"> г.</w:t>
            </w:r>
          </w:p>
        </w:tc>
        <w:tc>
          <w:tcPr>
            <w:tcW w:w="1300" w:type="dxa"/>
            <w:tcBorders>
              <w:top w:val="single" w:sz="8" w:space="0" w:color="auto"/>
              <w:left w:val="nil"/>
              <w:bottom w:val="nil"/>
              <w:right w:val="single" w:sz="8"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Изпълнение</w:t>
            </w:r>
          </w:p>
        </w:tc>
      </w:tr>
      <w:tr w:rsidR="000119C6" w:rsidRPr="000119C6" w:rsidTr="00F52838">
        <w:trPr>
          <w:trHeight w:val="255"/>
        </w:trPr>
        <w:tc>
          <w:tcPr>
            <w:tcW w:w="4263" w:type="dxa"/>
            <w:vMerge/>
            <w:tcBorders>
              <w:top w:val="single" w:sz="8" w:space="0" w:color="auto"/>
              <w:left w:val="single" w:sz="8" w:space="0" w:color="auto"/>
              <w:bottom w:val="single" w:sz="4" w:space="0" w:color="000000"/>
              <w:right w:val="nil"/>
            </w:tcBorders>
            <w:vAlign w:val="center"/>
            <w:hideMark/>
          </w:tcPr>
          <w:p w:rsidR="00500DD6" w:rsidRPr="00F24D6A" w:rsidRDefault="00500DD6">
            <w:pPr>
              <w:rPr>
                <w:b/>
                <w:bCs/>
                <w:sz w:val="18"/>
                <w:szCs w:val="18"/>
              </w:rPr>
            </w:pPr>
          </w:p>
        </w:tc>
        <w:tc>
          <w:tcPr>
            <w:tcW w:w="992" w:type="dxa"/>
            <w:tcBorders>
              <w:top w:val="nil"/>
              <w:left w:val="single" w:sz="4" w:space="0" w:color="auto"/>
              <w:bottom w:val="single" w:sz="4" w:space="0" w:color="auto"/>
              <w:right w:val="single" w:sz="4"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 xml:space="preserve"> КФП</w:t>
            </w:r>
          </w:p>
        </w:tc>
        <w:tc>
          <w:tcPr>
            <w:tcW w:w="1087" w:type="dxa"/>
            <w:tcBorders>
              <w:top w:val="nil"/>
              <w:left w:val="nil"/>
              <w:bottom w:val="single" w:sz="4" w:space="0" w:color="auto"/>
              <w:right w:val="single" w:sz="4"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 xml:space="preserve"> КФП</w:t>
            </w:r>
          </w:p>
        </w:tc>
        <w:tc>
          <w:tcPr>
            <w:tcW w:w="1252" w:type="dxa"/>
            <w:tcBorders>
              <w:top w:val="nil"/>
              <w:left w:val="nil"/>
              <w:bottom w:val="single" w:sz="4" w:space="0" w:color="auto"/>
              <w:right w:val="single" w:sz="4"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Национален бюджет</w:t>
            </w:r>
          </w:p>
        </w:tc>
        <w:tc>
          <w:tcPr>
            <w:tcW w:w="1199" w:type="dxa"/>
            <w:tcBorders>
              <w:top w:val="nil"/>
              <w:left w:val="nil"/>
              <w:bottom w:val="single" w:sz="4" w:space="0" w:color="auto"/>
              <w:right w:val="single" w:sz="4"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Европейски средства</w:t>
            </w:r>
          </w:p>
        </w:tc>
        <w:tc>
          <w:tcPr>
            <w:tcW w:w="1300" w:type="dxa"/>
            <w:tcBorders>
              <w:top w:val="nil"/>
              <w:left w:val="nil"/>
              <w:bottom w:val="single" w:sz="4" w:space="0" w:color="auto"/>
              <w:right w:val="single" w:sz="8" w:space="0" w:color="auto"/>
            </w:tcBorders>
            <w:shd w:val="clear" w:color="000000" w:fill="D9D9D9"/>
            <w:noWrap/>
            <w:vAlign w:val="bottom"/>
            <w:hideMark/>
          </w:tcPr>
          <w:p w:rsidR="00500DD6" w:rsidRPr="00F24D6A" w:rsidRDefault="00500DD6">
            <w:pPr>
              <w:jc w:val="center"/>
              <w:rPr>
                <w:b/>
                <w:bCs/>
                <w:sz w:val="18"/>
                <w:szCs w:val="18"/>
              </w:rPr>
            </w:pPr>
            <w:r w:rsidRPr="00F24D6A">
              <w:rPr>
                <w:b/>
                <w:bCs/>
                <w:sz w:val="18"/>
                <w:szCs w:val="18"/>
              </w:rPr>
              <w:t>спрямо разчет</w:t>
            </w:r>
          </w:p>
        </w:tc>
      </w:tr>
      <w:tr w:rsidR="000119C6" w:rsidRPr="000119C6" w:rsidTr="00F52838">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500DD6" w:rsidRPr="00F24D6A" w:rsidRDefault="00500DD6">
            <w:pPr>
              <w:jc w:val="center"/>
              <w:rPr>
                <w:sz w:val="18"/>
                <w:szCs w:val="18"/>
              </w:rPr>
            </w:pPr>
            <w:r w:rsidRPr="00F24D6A">
              <w:rPr>
                <w:sz w:val="18"/>
                <w:szCs w:val="18"/>
              </w:rPr>
              <w:t>к.1</w:t>
            </w:r>
          </w:p>
        </w:tc>
        <w:tc>
          <w:tcPr>
            <w:tcW w:w="992" w:type="dxa"/>
            <w:tcBorders>
              <w:top w:val="nil"/>
              <w:left w:val="single" w:sz="4" w:space="0" w:color="auto"/>
              <w:bottom w:val="single" w:sz="8" w:space="0" w:color="auto"/>
              <w:right w:val="single" w:sz="4" w:space="0" w:color="auto"/>
            </w:tcBorders>
            <w:shd w:val="clear" w:color="000000" w:fill="D9D9D9"/>
            <w:noWrap/>
            <w:vAlign w:val="bottom"/>
            <w:hideMark/>
          </w:tcPr>
          <w:p w:rsidR="00500DD6" w:rsidRPr="00F24D6A" w:rsidRDefault="00500DD6">
            <w:pPr>
              <w:jc w:val="center"/>
              <w:rPr>
                <w:sz w:val="18"/>
                <w:szCs w:val="18"/>
              </w:rPr>
            </w:pPr>
            <w:r w:rsidRPr="00F24D6A">
              <w:rPr>
                <w:sz w:val="18"/>
                <w:szCs w:val="18"/>
              </w:rPr>
              <w:t>к.2</w:t>
            </w:r>
          </w:p>
        </w:tc>
        <w:tc>
          <w:tcPr>
            <w:tcW w:w="1087" w:type="dxa"/>
            <w:tcBorders>
              <w:top w:val="nil"/>
              <w:left w:val="nil"/>
              <w:bottom w:val="single" w:sz="8" w:space="0" w:color="auto"/>
              <w:right w:val="single" w:sz="4" w:space="0" w:color="auto"/>
            </w:tcBorders>
            <w:shd w:val="clear" w:color="000000" w:fill="D9D9D9"/>
            <w:noWrap/>
            <w:vAlign w:val="bottom"/>
            <w:hideMark/>
          </w:tcPr>
          <w:p w:rsidR="00500DD6" w:rsidRPr="00F24D6A" w:rsidRDefault="00500DD6">
            <w:pPr>
              <w:jc w:val="center"/>
              <w:rPr>
                <w:sz w:val="18"/>
                <w:szCs w:val="18"/>
              </w:rPr>
            </w:pPr>
            <w:r w:rsidRPr="00F24D6A">
              <w:rPr>
                <w:sz w:val="18"/>
                <w:szCs w:val="18"/>
              </w:rPr>
              <w:t>к.3=к.4+к.5</w:t>
            </w:r>
          </w:p>
        </w:tc>
        <w:tc>
          <w:tcPr>
            <w:tcW w:w="1252" w:type="dxa"/>
            <w:tcBorders>
              <w:top w:val="nil"/>
              <w:left w:val="nil"/>
              <w:bottom w:val="single" w:sz="8" w:space="0" w:color="auto"/>
              <w:right w:val="single" w:sz="4" w:space="0" w:color="auto"/>
            </w:tcBorders>
            <w:shd w:val="clear" w:color="000000" w:fill="D9D9D9"/>
            <w:noWrap/>
            <w:vAlign w:val="bottom"/>
            <w:hideMark/>
          </w:tcPr>
          <w:p w:rsidR="00500DD6" w:rsidRPr="00F24D6A" w:rsidRDefault="00500DD6">
            <w:pPr>
              <w:jc w:val="center"/>
              <w:rPr>
                <w:sz w:val="18"/>
                <w:szCs w:val="18"/>
              </w:rPr>
            </w:pPr>
            <w:r w:rsidRPr="00F24D6A">
              <w:rPr>
                <w:sz w:val="18"/>
                <w:szCs w:val="18"/>
              </w:rPr>
              <w:t>к.4</w:t>
            </w:r>
          </w:p>
        </w:tc>
        <w:tc>
          <w:tcPr>
            <w:tcW w:w="1199" w:type="dxa"/>
            <w:tcBorders>
              <w:top w:val="nil"/>
              <w:left w:val="nil"/>
              <w:bottom w:val="single" w:sz="8" w:space="0" w:color="auto"/>
              <w:right w:val="single" w:sz="4" w:space="0" w:color="auto"/>
            </w:tcBorders>
            <w:shd w:val="clear" w:color="000000" w:fill="D9D9D9"/>
            <w:noWrap/>
            <w:vAlign w:val="bottom"/>
            <w:hideMark/>
          </w:tcPr>
          <w:p w:rsidR="00500DD6" w:rsidRPr="00F24D6A" w:rsidRDefault="00500DD6">
            <w:pPr>
              <w:jc w:val="center"/>
              <w:rPr>
                <w:sz w:val="18"/>
                <w:szCs w:val="18"/>
              </w:rPr>
            </w:pPr>
            <w:r w:rsidRPr="00F24D6A">
              <w:rPr>
                <w:sz w:val="18"/>
                <w:szCs w:val="18"/>
              </w:rPr>
              <w:t>к.5</w:t>
            </w:r>
          </w:p>
        </w:tc>
        <w:tc>
          <w:tcPr>
            <w:tcW w:w="1300" w:type="dxa"/>
            <w:tcBorders>
              <w:top w:val="nil"/>
              <w:left w:val="nil"/>
              <w:bottom w:val="single" w:sz="8" w:space="0" w:color="auto"/>
              <w:right w:val="single" w:sz="8" w:space="0" w:color="auto"/>
            </w:tcBorders>
            <w:shd w:val="clear" w:color="000000" w:fill="D9D9D9"/>
            <w:noWrap/>
            <w:vAlign w:val="bottom"/>
            <w:hideMark/>
          </w:tcPr>
          <w:p w:rsidR="00500DD6" w:rsidRPr="00F24D6A" w:rsidRDefault="00500DD6">
            <w:pPr>
              <w:jc w:val="center"/>
              <w:rPr>
                <w:sz w:val="18"/>
                <w:szCs w:val="18"/>
              </w:rPr>
            </w:pPr>
            <w:r w:rsidRPr="00F24D6A">
              <w:rPr>
                <w:sz w:val="18"/>
                <w:szCs w:val="18"/>
              </w:rPr>
              <w:t>к.6=к.3:к.2</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b/>
                <w:bCs/>
                <w:sz w:val="18"/>
                <w:szCs w:val="18"/>
              </w:rPr>
            </w:pPr>
            <w:r w:rsidRPr="00F24D6A">
              <w:rPr>
                <w:b/>
                <w:bCs/>
                <w:sz w:val="18"/>
                <w:szCs w:val="18"/>
              </w:rPr>
              <w:t>ПРИХОДИ И ПОМОЩИ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b/>
                <w:bCs/>
                <w:sz w:val="18"/>
                <w:szCs w:val="18"/>
              </w:rPr>
            </w:pPr>
            <w:r w:rsidRPr="00F24D6A">
              <w:rPr>
                <w:b/>
                <w:bCs/>
                <w:sz w:val="18"/>
                <w:szCs w:val="18"/>
              </w:rPr>
              <w:t>38 213,9</w:t>
            </w:r>
          </w:p>
        </w:tc>
        <w:tc>
          <w:tcPr>
            <w:tcW w:w="1087" w:type="dxa"/>
            <w:tcBorders>
              <w:top w:val="nil"/>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19 210,1</w:t>
            </w:r>
          </w:p>
        </w:tc>
        <w:tc>
          <w:tcPr>
            <w:tcW w:w="1252" w:type="dxa"/>
            <w:tcBorders>
              <w:top w:val="nil"/>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18 533,9</w:t>
            </w:r>
          </w:p>
        </w:tc>
        <w:tc>
          <w:tcPr>
            <w:tcW w:w="1199" w:type="dxa"/>
            <w:tcBorders>
              <w:top w:val="nil"/>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676,2</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50,3%</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Данъчни приходи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31 142,3</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16 021,0</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16 021,0</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51,4%</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Неданъчни приходи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4 703,4</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2 491,2</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2 490,6</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0,6</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53,0%</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Помощи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2 368,2</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697,9</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22,3</w:t>
            </w:r>
          </w:p>
        </w:tc>
        <w:tc>
          <w:tcPr>
            <w:tcW w:w="1199" w:type="dxa"/>
            <w:tcBorders>
              <w:top w:val="nil"/>
              <w:left w:val="nil"/>
              <w:bottom w:val="single" w:sz="4" w:space="0" w:color="auto"/>
              <w:right w:val="nil"/>
            </w:tcBorders>
            <w:shd w:val="clear" w:color="auto" w:fill="auto"/>
            <w:noWrap/>
            <w:vAlign w:val="bottom"/>
            <w:hideMark/>
          </w:tcPr>
          <w:p w:rsidR="00F24D6A" w:rsidRDefault="00F24D6A">
            <w:pPr>
              <w:jc w:val="right"/>
              <w:rPr>
                <w:color w:val="000000"/>
                <w:sz w:val="18"/>
                <w:szCs w:val="18"/>
              </w:rPr>
            </w:pPr>
            <w:r>
              <w:rPr>
                <w:color w:val="000000"/>
                <w:sz w:val="18"/>
                <w:szCs w:val="18"/>
              </w:rPr>
              <w:t>675,6</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29,5%</w:t>
            </w:r>
          </w:p>
        </w:tc>
      </w:tr>
      <w:tr w:rsidR="00F24D6A" w:rsidRPr="000119C6" w:rsidTr="00F52838">
        <w:trPr>
          <w:trHeight w:val="480"/>
        </w:trPr>
        <w:tc>
          <w:tcPr>
            <w:tcW w:w="4263" w:type="dxa"/>
            <w:tcBorders>
              <w:top w:val="single" w:sz="4" w:space="0" w:color="auto"/>
              <w:left w:val="single" w:sz="8" w:space="0" w:color="auto"/>
              <w:bottom w:val="nil"/>
              <w:right w:val="nil"/>
            </w:tcBorders>
            <w:shd w:val="clear" w:color="auto" w:fill="auto"/>
            <w:vAlign w:val="bottom"/>
            <w:hideMark/>
          </w:tcPr>
          <w:p w:rsidR="00F24D6A" w:rsidRPr="00F24D6A" w:rsidRDefault="00F24D6A">
            <w:pPr>
              <w:rPr>
                <w:b/>
                <w:bCs/>
                <w:sz w:val="18"/>
                <w:szCs w:val="18"/>
              </w:rPr>
            </w:pPr>
            <w:r w:rsidRPr="00F24D6A">
              <w:rPr>
                <w:b/>
                <w:bCs/>
                <w:sz w:val="18"/>
                <w:szCs w:val="18"/>
              </w:rPr>
              <w:t>РАЗХОДИ И ВНОСКА ЗА ОБЩИЯ БЮДЖЕТ НА ЕС</w:t>
            </w:r>
          </w:p>
        </w:tc>
        <w:tc>
          <w:tcPr>
            <w:tcW w:w="992" w:type="dxa"/>
            <w:tcBorders>
              <w:top w:val="single" w:sz="4" w:space="0" w:color="auto"/>
              <w:left w:val="nil"/>
              <w:bottom w:val="nil"/>
              <w:right w:val="nil"/>
            </w:tcBorders>
            <w:shd w:val="clear" w:color="auto" w:fill="auto"/>
            <w:noWrap/>
            <w:vAlign w:val="bottom"/>
            <w:hideMark/>
          </w:tcPr>
          <w:p w:rsidR="00F24D6A" w:rsidRPr="00F24D6A" w:rsidRDefault="00F24D6A">
            <w:pPr>
              <w:jc w:val="right"/>
              <w:rPr>
                <w:b/>
                <w:bCs/>
                <w:sz w:val="18"/>
                <w:szCs w:val="18"/>
              </w:rPr>
            </w:pPr>
            <w:r w:rsidRPr="00F24D6A">
              <w:rPr>
                <w:b/>
                <w:bCs/>
                <w:sz w:val="18"/>
                <w:szCs w:val="18"/>
              </w:rPr>
              <w:t>39 313,9</w:t>
            </w:r>
          </w:p>
        </w:tc>
        <w:tc>
          <w:tcPr>
            <w:tcW w:w="1087" w:type="dxa"/>
            <w:tcBorders>
              <w:top w:val="single" w:sz="4" w:space="0" w:color="auto"/>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17 496,1</w:t>
            </w:r>
          </w:p>
        </w:tc>
        <w:tc>
          <w:tcPr>
            <w:tcW w:w="1252" w:type="dxa"/>
            <w:tcBorders>
              <w:top w:val="single" w:sz="4" w:space="0" w:color="auto"/>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16 244,0</w:t>
            </w:r>
          </w:p>
        </w:tc>
        <w:tc>
          <w:tcPr>
            <w:tcW w:w="1199" w:type="dxa"/>
            <w:tcBorders>
              <w:top w:val="nil"/>
              <w:left w:val="nil"/>
              <w:bottom w:val="nil"/>
              <w:right w:val="nil"/>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1 252,1</w:t>
            </w:r>
          </w:p>
        </w:tc>
        <w:tc>
          <w:tcPr>
            <w:tcW w:w="1300" w:type="dxa"/>
            <w:tcBorders>
              <w:top w:val="single" w:sz="4" w:space="0" w:color="auto"/>
              <w:left w:val="nil"/>
              <w:bottom w:val="nil"/>
              <w:right w:val="single" w:sz="8" w:space="0" w:color="auto"/>
            </w:tcBorders>
            <w:shd w:val="clear" w:color="auto" w:fill="auto"/>
            <w:noWrap/>
            <w:vAlign w:val="bottom"/>
            <w:hideMark/>
          </w:tcPr>
          <w:p w:rsidR="00F24D6A" w:rsidRDefault="00F24D6A">
            <w:pPr>
              <w:jc w:val="right"/>
              <w:rPr>
                <w:b/>
                <w:bCs/>
                <w:color w:val="000000"/>
                <w:sz w:val="18"/>
                <w:szCs w:val="18"/>
              </w:rPr>
            </w:pPr>
            <w:r>
              <w:rPr>
                <w:b/>
                <w:bCs/>
                <w:color w:val="000000"/>
                <w:sz w:val="18"/>
                <w:szCs w:val="18"/>
              </w:rPr>
              <w:t>44,5%</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Нелихвени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37 271,9</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16 495,6</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15 243,5</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1 252,1</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44,0%</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Текущи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31 106,2</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15 154,7</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14 633,2</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521,6</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48,7%</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tcPr>
          <w:p w:rsidR="00F24D6A" w:rsidRPr="00F24D6A" w:rsidRDefault="00F24D6A">
            <w:pPr>
              <w:rPr>
                <w:sz w:val="18"/>
                <w:szCs w:val="18"/>
              </w:rPr>
            </w:pPr>
            <w:r w:rsidRPr="00F24D6A">
              <w:rPr>
                <w:sz w:val="18"/>
                <w:szCs w:val="18"/>
                <w:lang w:val="en-US"/>
              </w:rPr>
              <w:t xml:space="preserve">    </w:t>
            </w:r>
            <w:r w:rsidRPr="00F24D6A">
              <w:rPr>
                <w:sz w:val="18"/>
                <w:szCs w:val="18"/>
              </w:rPr>
              <w:t xml:space="preserve">Предоставени </w:t>
            </w:r>
            <w:proofErr w:type="spellStart"/>
            <w:r w:rsidRPr="00F24D6A">
              <w:rPr>
                <w:sz w:val="18"/>
                <w:szCs w:val="18"/>
              </w:rPr>
              <w:t>тек</w:t>
            </w:r>
            <w:proofErr w:type="spellEnd"/>
            <w:r w:rsidRPr="00F24D6A">
              <w:rPr>
                <w:sz w:val="18"/>
                <w:szCs w:val="18"/>
              </w:rPr>
              <w:t xml:space="preserve">. и </w:t>
            </w:r>
            <w:proofErr w:type="spellStart"/>
            <w:r w:rsidRPr="00F24D6A">
              <w:rPr>
                <w:sz w:val="18"/>
                <w:szCs w:val="18"/>
              </w:rPr>
              <w:t>капит</w:t>
            </w:r>
            <w:proofErr w:type="spellEnd"/>
            <w:r w:rsidRPr="00F24D6A">
              <w:rPr>
                <w:sz w:val="18"/>
                <w:szCs w:val="18"/>
              </w:rPr>
              <w:t>. трансфери за чужбина</w:t>
            </w:r>
          </w:p>
        </w:tc>
        <w:tc>
          <w:tcPr>
            <w:tcW w:w="992" w:type="dxa"/>
            <w:tcBorders>
              <w:top w:val="nil"/>
              <w:left w:val="nil"/>
              <w:bottom w:val="nil"/>
              <w:right w:val="nil"/>
            </w:tcBorders>
            <w:shd w:val="clear" w:color="auto" w:fill="auto"/>
            <w:noWrap/>
            <w:vAlign w:val="bottom"/>
          </w:tcPr>
          <w:p w:rsidR="00F24D6A" w:rsidRPr="00F24D6A" w:rsidRDefault="00F24D6A">
            <w:pPr>
              <w:jc w:val="right"/>
              <w:rPr>
                <w:sz w:val="18"/>
                <w:szCs w:val="18"/>
              </w:rPr>
            </w:pPr>
            <w:r w:rsidRPr="00F24D6A">
              <w:rPr>
                <w:sz w:val="18"/>
                <w:szCs w:val="18"/>
              </w:rPr>
              <w:t>14,4</w:t>
            </w:r>
          </w:p>
        </w:tc>
        <w:tc>
          <w:tcPr>
            <w:tcW w:w="1087" w:type="dxa"/>
            <w:tcBorders>
              <w:top w:val="nil"/>
              <w:left w:val="nil"/>
              <w:bottom w:val="nil"/>
              <w:right w:val="nil"/>
            </w:tcBorders>
            <w:shd w:val="clear" w:color="auto" w:fill="auto"/>
            <w:noWrap/>
            <w:vAlign w:val="bottom"/>
          </w:tcPr>
          <w:p w:rsidR="00F24D6A" w:rsidRDefault="00F24D6A">
            <w:pPr>
              <w:jc w:val="right"/>
              <w:rPr>
                <w:color w:val="000000"/>
                <w:sz w:val="18"/>
                <w:szCs w:val="18"/>
              </w:rPr>
            </w:pPr>
            <w:r>
              <w:rPr>
                <w:color w:val="000000"/>
                <w:sz w:val="18"/>
                <w:szCs w:val="18"/>
              </w:rPr>
              <w:t>28,8</w:t>
            </w:r>
          </w:p>
        </w:tc>
        <w:tc>
          <w:tcPr>
            <w:tcW w:w="1252" w:type="dxa"/>
            <w:tcBorders>
              <w:top w:val="nil"/>
              <w:left w:val="nil"/>
              <w:bottom w:val="nil"/>
              <w:right w:val="nil"/>
            </w:tcBorders>
            <w:shd w:val="clear" w:color="auto" w:fill="auto"/>
            <w:noWrap/>
            <w:vAlign w:val="bottom"/>
          </w:tcPr>
          <w:p w:rsidR="00F24D6A" w:rsidRDefault="00F24D6A">
            <w:pPr>
              <w:jc w:val="right"/>
              <w:rPr>
                <w:color w:val="000000"/>
                <w:sz w:val="18"/>
                <w:szCs w:val="18"/>
              </w:rPr>
            </w:pPr>
            <w:r>
              <w:rPr>
                <w:color w:val="000000"/>
                <w:sz w:val="18"/>
                <w:szCs w:val="18"/>
              </w:rPr>
              <w:t>6,0</w:t>
            </w:r>
          </w:p>
        </w:tc>
        <w:tc>
          <w:tcPr>
            <w:tcW w:w="1199" w:type="dxa"/>
            <w:tcBorders>
              <w:top w:val="nil"/>
              <w:left w:val="nil"/>
              <w:bottom w:val="nil"/>
              <w:right w:val="nil"/>
            </w:tcBorders>
            <w:shd w:val="clear" w:color="auto" w:fill="auto"/>
            <w:noWrap/>
            <w:vAlign w:val="bottom"/>
          </w:tcPr>
          <w:p w:rsidR="00F24D6A" w:rsidRDefault="00F24D6A">
            <w:pPr>
              <w:jc w:val="right"/>
              <w:rPr>
                <w:color w:val="000000"/>
                <w:sz w:val="18"/>
                <w:szCs w:val="18"/>
              </w:rPr>
            </w:pPr>
            <w:r>
              <w:rPr>
                <w:color w:val="000000"/>
                <w:sz w:val="18"/>
                <w:szCs w:val="18"/>
              </w:rPr>
              <w:t>22,9</w:t>
            </w:r>
          </w:p>
        </w:tc>
        <w:tc>
          <w:tcPr>
            <w:tcW w:w="1300" w:type="dxa"/>
            <w:tcBorders>
              <w:top w:val="nil"/>
              <w:left w:val="nil"/>
              <w:bottom w:val="nil"/>
              <w:right w:val="single" w:sz="8" w:space="0" w:color="auto"/>
            </w:tcBorders>
            <w:shd w:val="clear" w:color="auto" w:fill="auto"/>
            <w:noWrap/>
            <w:vAlign w:val="bottom"/>
          </w:tcPr>
          <w:p w:rsidR="00F24D6A" w:rsidRDefault="00F24D6A">
            <w:pPr>
              <w:jc w:val="right"/>
              <w:rPr>
                <w:color w:val="000000"/>
                <w:sz w:val="18"/>
                <w:szCs w:val="18"/>
              </w:rPr>
            </w:pPr>
            <w:r>
              <w:rPr>
                <w:color w:val="000000"/>
                <w:sz w:val="18"/>
                <w:szCs w:val="18"/>
              </w:rPr>
              <w:t>201,0%</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Капиталови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6 151,3</w:t>
            </w:r>
          </w:p>
        </w:tc>
        <w:tc>
          <w:tcPr>
            <w:tcW w:w="1087" w:type="dxa"/>
            <w:tcBorders>
              <w:top w:val="nil"/>
              <w:left w:val="nil"/>
              <w:bottom w:val="nil"/>
              <w:right w:val="nil"/>
            </w:tcBorders>
            <w:shd w:val="clear" w:color="auto" w:fill="auto"/>
            <w:noWrap/>
            <w:vAlign w:val="bottom"/>
            <w:hideMark/>
          </w:tcPr>
          <w:p w:rsidR="00F24D6A" w:rsidRDefault="00F24D6A" w:rsidP="00F24D6A">
            <w:pPr>
              <w:jc w:val="right"/>
              <w:rPr>
                <w:color w:val="000000"/>
                <w:sz w:val="18"/>
                <w:szCs w:val="18"/>
              </w:rPr>
            </w:pPr>
            <w:r>
              <w:rPr>
                <w:color w:val="000000"/>
                <w:sz w:val="18"/>
                <w:szCs w:val="18"/>
              </w:rPr>
              <w:t>1 312,1</w:t>
            </w:r>
          </w:p>
        </w:tc>
        <w:tc>
          <w:tcPr>
            <w:tcW w:w="1252" w:type="dxa"/>
            <w:tcBorders>
              <w:top w:val="nil"/>
              <w:left w:val="nil"/>
              <w:bottom w:val="nil"/>
              <w:right w:val="nil"/>
            </w:tcBorders>
            <w:shd w:val="clear" w:color="auto" w:fill="auto"/>
            <w:noWrap/>
            <w:vAlign w:val="bottom"/>
            <w:hideMark/>
          </w:tcPr>
          <w:p w:rsidR="00F24D6A" w:rsidRDefault="00F24D6A" w:rsidP="00F24D6A">
            <w:pPr>
              <w:jc w:val="right"/>
              <w:rPr>
                <w:color w:val="000000"/>
                <w:sz w:val="18"/>
                <w:szCs w:val="18"/>
              </w:rPr>
            </w:pPr>
            <w:r>
              <w:rPr>
                <w:color w:val="000000"/>
                <w:sz w:val="18"/>
                <w:szCs w:val="18"/>
              </w:rPr>
              <w:t>604,3</w:t>
            </w:r>
          </w:p>
        </w:tc>
        <w:tc>
          <w:tcPr>
            <w:tcW w:w="1199" w:type="dxa"/>
            <w:tcBorders>
              <w:top w:val="nil"/>
              <w:left w:val="nil"/>
              <w:bottom w:val="nil"/>
              <w:right w:val="nil"/>
            </w:tcBorders>
            <w:shd w:val="clear" w:color="auto" w:fill="auto"/>
            <w:noWrap/>
            <w:vAlign w:val="bottom"/>
            <w:hideMark/>
          </w:tcPr>
          <w:p w:rsidR="00F24D6A" w:rsidRDefault="00F24D6A" w:rsidP="00F24D6A">
            <w:pPr>
              <w:jc w:val="right"/>
              <w:rPr>
                <w:color w:val="000000"/>
                <w:sz w:val="18"/>
                <w:szCs w:val="18"/>
              </w:rPr>
            </w:pPr>
            <w:r>
              <w:rPr>
                <w:color w:val="000000"/>
                <w:sz w:val="18"/>
                <w:szCs w:val="18"/>
              </w:rPr>
              <w:t>707,7</w:t>
            </w:r>
          </w:p>
        </w:tc>
        <w:tc>
          <w:tcPr>
            <w:tcW w:w="1300" w:type="dxa"/>
            <w:tcBorders>
              <w:top w:val="nil"/>
              <w:left w:val="nil"/>
              <w:bottom w:val="nil"/>
              <w:right w:val="single" w:sz="8" w:space="0" w:color="auto"/>
            </w:tcBorders>
            <w:shd w:val="clear" w:color="auto" w:fill="auto"/>
            <w:noWrap/>
            <w:vAlign w:val="bottom"/>
            <w:hideMark/>
          </w:tcPr>
          <w:p w:rsidR="00F24D6A" w:rsidRDefault="00F24D6A" w:rsidP="00F24D6A">
            <w:pPr>
              <w:jc w:val="right"/>
              <w:rPr>
                <w:color w:val="000000"/>
                <w:sz w:val="18"/>
                <w:szCs w:val="18"/>
              </w:rPr>
            </w:pPr>
            <w:r>
              <w:rPr>
                <w:color w:val="000000"/>
                <w:sz w:val="18"/>
                <w:szCs w:val="18"/>
              </w:rPr>
              <w:t>21,3%</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в т.ч. нетен прираст на държавния резерв</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19,2</w:t>
            </w:r>
          </w:p>
        </w:tc>
        <w:tc>
          <w:tcPr>
            <w:tcW w:w="1087" w:type="dxa"/>
            <w:tcBorders>
              <w:top w:val="nil"/>
              <w:left w:val="nil"/>
              <w:bottom w:val="nil"/>
              <w:right w:val="nil"/>
            </w:tcBorders>
            <w:shd w:val="clear" w:color="auto" w:fill="auto"/>
            <w:noWrap/>
            <w:vAlign w:val="bottom"/>
            <w:hideMark/>
          </w:tcPr>
          <w:p w:rsidR="00F24D6A" w:rsidRDefault="001623A2">
            <w:pPr>
              <w:jc w:val="right"/>
              <w:rPr>
                <w:color w:val="000000"/>
                <w:sz w:val="18"/>
                <w:szCs w:val="18"/>
              </w:rPr>
            </w:pPr>
            <w:r>
              <w:rPr>
                <w:color w:val="000000"/>
                <w:sz w:val="18"/>
                <w:szCs w:val="18"/>
              </w:rPr>
              <w:t>-0,4</w:t>
            </w:r>
            <w:r w:rsidR="00F24D6A">
              <w:rPr>
                <w:color w:val="000000"/>
                <w:sz w:val="18"/>
                <w:szCs w:val="18"/>
              </w:rPr>
              <w:t> </w:t>
            </w:r>
          </w:p>
        </w:tc>
        <w:tc>
          <w:tcPr>
            <w:tcW w:w="1252" w:type="dxa"/>
            <w:tcBorders>
              <w:top w:val="nil"/>
              <w:left w:val="nil"/>
              <w:bottom w:val="nil"/>
              <w:right w:val="nil"/>
            </w:tcBorders>
            <w:shd w:val="clear" w:color="auto" w:fill="auto"/>
            <w:noWrap/>
            <w:vAlign w:val="bottom"/>
            <w:hideMark/>
          </w:tcPr>
          <w:p w:rsidR="00F24D6A" w:rsidRDefault="001623A2">
            <w:pPr>
              <w:jc w:val="right"/>
              <w:rPr>
                <w:color w:val="000000"/>
                <w:sz w:val="18"/>
                <w:szCs w:val="18"/>
              </w:rPr>
            </w:pPr>
            <w:r>
              <w:rPr>
                <w:color w:val="000000"/>
                <w:sz w:val="18"/>
                <w:szCs w:val="18"/>
              </w:rPr>
              <w:t>-0,4</w:t>
            </w:r>
            <w:r w:rsidR="00F24D6A">
              <w:rPr>
                <w:color w:val="000000"/>
                <w:sz w:val="18"/>
                <w:szCs w:val="18"/>
              </w:rPr>
              <w:t> </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 </w:t>
            </w: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 </w:t>
            </w:r>
          </w:p>
        </w:tc>
      </w:tr>
      <w:tr w:rsidR="00F24D6A" w:rsidRPr="000119C6" w:rsidTr="00F52838">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Лихвени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722,4</w:t>
            </w:r>
          </w:p>
        </w:tc>
        <w:tc>
          <w:tcPr>
            <w:tcW w:w="1087"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424,2</w:t>
            </w:r>
          </w:p>
        </w:tc>
        <w:tc>
          <w:tcPr>
            <w:tcW w:w="1252"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r>
              <w:rPr>
                <w:color w:val="000000"/>
                <w:sz w:val="18"/>
                <w:szCs w:val="18"/>
              </w:rPr>
              <w:t>424,2</w:t>
            </w:r>
          </w:p>
        </w:tc>
        <w:tc>
          <w:tcPr>
            <w:tcW w:w="1199" w:type="dxa"/>
            <w:tcBorders>
              <w:top w:val="nil"/>
              <w:left w:val="nil"/>
              <w:bottom w:val="nil"/>
              <w:right w:val="nil"/>
            </w:tcBorders>
            <w:shd w:val="clear" w:color="auto" w:fill="auto"/>
            <w:noWrap/>
            <w:vAlign w:val="bottom"/>
            <w:hideMark/>
          </w:tcPr>
          <w:p w:rsidR="00F24D6A" w:rsidRDefault="00F24D6A">
            <w:pPr>
              <w:jc w:val="right"/>
              <w:rPr>
                <w:color w:val="000000"/>
                <w:sz w:val="18"/>
                <w:szCs w:val="18"/>
              </w:rPr>
            </w:pPr>
          </w:p>
        </w:tc>
        <w:tc>
          <w:tcPr>
            <w:tcW w:w="1300" w:type="dxa"/>
            <w:tcBorders>
              <w:top w:val="nil"/>
              <w:left w:val="nil"/>
              <w:bottom w:val="nil"/>
              <w:right w:val="single" w:sz="8" w:space="0" w:color="auto"/>
            </w:tcBorders>
            <w:shd w:val="clear" w:color="auto" w:fill="auto"/>
            <w:noWrap/>
            <w:vAlign w:val="bottom"/>
            <w:hideMark/>
          </w:tcPr>
          <w:p w:rsidR="00F24D6A" w:rsidRDefault="00F24D6A">
            <w:pPr>
              <w:jc w:val="right"/>
              <w:rPr>
                <w:color w:val="000000"/>
                <w:sz w:val="18"/>
                <w:szCs w:val="18"/>
              </w:rPr>
            </w:pPr>
            <w:r>
              <w:rPr>
                <w:color w:val="000000"/>
                <w:sz w:val="18"/>
                <w:szCs w:val="18"/>
              </w:rPr>
              <w:t>58,7%</w:t>
            </w:r>
          </w:p>
        </w:tc>
      </w:tr>
      <w:tr w:rsidR="00F24D6A" w:rsidRPr="000119C6" w:rsidTr="00CC4D0E">
        <w:trPr>
          <w:trHeight w:val="255"/>
        </w:trPr>
        <w:tc>
          <w:tcPr>
            <w:tcW w:w="4263" w:type="dxa"/>
            <w:tcBorders>
              <w:top w:val="nil"/>
              <w:left w:val="single" w:sz="8" w:space="0" w:color="auto"/>
              <w:bottom w:val="nil"/>
              <w:right w:val="nil"/>
            </w:tcBorders>
            <w:shd w:val="clear" w:color="auto" w:fill="auto"/>
            <w:noWrap/>
            <w:vAlign w:val="bottom"/>
            <w:hideMark/>
          </w:tcPr>
          <w:p w:rsidR="00F24D6A" w:rsidRPr="00F24D6A" w:rsidRDefault="00F24D6A">
            <w:pPr>
              <w:rPr>
                <w:sz w:val="18"/>
                <w:szCs w:val="18"/>
              </w:rPr>
            </w:pPr>
            <w:r w:rsidRPr="00F24D6A">
              <w:rPr>
                <w:sz w:val="18"/>
                <w:szCs w:val="18"/>
              </w:rPr>
              <w:t xml:space="preserve">  Резерв за неотложни и непредвидени разходи</w:t>
            </w:r>
          </w:p>
        </w:tc>
        <w:tc>
          <w:tcPr>
            <w:tcW w:w="992" w:type="dxa"/>
            <w:tcBorders>
              <w:top w:val="nil"/>
              <w:left w:val="nil"/>
              <w:bottom w:val="nil"/>
              <w:right w:val="nil"/>
            </w:tcBorders>
            <w:shd w:val="clear" w:color="auto" w:fill="auto"/>
            <w:noWrap/>
            <w:vAlign w:val="bottom"/>
            <w:hideMark/>
          </w:tcPr>
          <w:p w:rsidR="00F24D6A" w:rsidRPr="00F24D6A" w:rsidRDefault="00F24D6A">
            <w:pPr>
              <w:jc w:val="right"/>
              <w:rPr>
                <w:sz w:val="18"/>
                <w:szCs w:val="18"/>
              </w:rPr>
            </w:pPr>
            <w:r w:rsidRPr="00F24D6A">
              <w:rPr>
                <w:sz w:val="18"/>
                <w:szCs w:val="18"/>
              </w:rPr>
              <w:t>185,7</w:t>
            </w:r>
          </w:p>
        </w:tc>
        <w:tc>
          <w:tcPr>
            <w:tcW w:w="1087" w:type="dxa"/>
            <w:tcBorders>
              <w:top w:val="nil"/>
              <w:left w:val="nil"/>
              <w:bottom w:val="nil"/>
              <w:right w:val="nil"/>
            </w:tcBorders>
            <w:shd w:val="clear" w:color="auto" w:fill="auto"/>
            <w:noWrap/>
            <w:vAlign w:val="bottom"/>
          </w:tcPr>
          <w:p w:rsidR="00F24D6A" w:rsidRPr="00D9329F" w:rsidRDefault="00F24D6A">
            <w:pPr>
              <w:jc w:val="right"/>
              <w:rPr>
                <w:color w:val="000000"/>
                <w:sz w:val="18"/>
                <w:szCs w:val="18"/>
                <w:highlight w:val="yellow"/>
              </w:rPr>
            </w:pPr>
          </w:p>
        </w:tc>
        <w:tc>
          <w:tcPr>
            <w:tcW w:w="1252" w:type="dxa"/>
            <w:tcBorders>
              <w:top w:val="nil"/>
              <w:left w:val="nil"/>
              <w:bottom w:val="nil"/>
              <w:right w:val="nil"/>
            </w:tcBorders>
            <w:shd w:val="clear" w:color="auto" w:fill="auto"/>
            <w:noWrap/>
            <w:vAlign w:val="bottom"/>
          </w:tcPr>
          <w:p w:rsidR="00F24D6A" w:rsidRPr="00CC4D0E" w:rsidRDefault="00F24D6A">
            <w:pPr>
              <w:jc w:val="right"/>
              <w:rPr>
                <w:color w:val="000000"/>
                <w:sz w:val="18"/>
                <w:szCs w:val="18"/>
              </w:rPr>
            </w:pPr>
          </w:p>
        </w:tc>
        <w:tc>
          <w:tcPr>
            <w:tcW w:w="1199" w:type="dxa"/>
            <w:tcBorders>
              <w:top w:val="nil"/>
              <w:left w:val="nil"/>
              <w:bottom w:val="nil"/>
              <w:right w:val="nil"/>
            </w:tcBorders>
            <w:shd w:val="clear" w:color="auto" w:fill="auto"/>
            <w:noWrap/>
            <w:vAlign w:val="bottom"/>
            <w:hideMark/>
          </w:tcPr>
          <w:p w:rsidR="00F24D6A" w:rsidRPr="00CC4D0E" w:rsidRDefault="00F24D6A">
            <w:pPr>
              <w:rPr>
                <w:color w:val="000000"/>
                <w:sz w:val="18"/>
                <w:szCs w:val="18"/>
              </w:rPr>
            </w:pPr>
            <w:r w:rsidRPr="00CC4D0E">
              <w:rPr>
                <w:color w:val="000000"/>
                <w:sz w:val="18"/>
                <w:szCs w:val="18"/>
              </w:rPr>
              <w:t> </w:t>
            </w:r>
          </w:p>
        </w:tc>
        <w:tc>
          <w:tcPr>
            <w:tcW w:w="1300" w:type="dxa"/>
            <w:tcBorders>
              <w:top w:val="nil"/>
              <w:left w:val="nil"/>
              <w:bottom w:val="nil"/>
              <w:right w:val="single" w:sz="8" w:space="0" w:color="auto"/>
            </w:tcBorders>
            <w:shd w:val="clear" w:color="auto" w:fill="auto"/>
            <w:noWrap/>
            <w:vAlign w:val="bottom"/>
            <w:hideMark/>
          </w:tcPr>
          <w:p w:rsidR="00F24D6A" w:rsidRPr="00D9329F" w:rsidRDefault="00F24D6A">
            <w:pPr>
              <w:jc w:val="right"/>
              <w:rPr>
                <w:color w:val="000000"/>
                <w:sz w:val="18"/>
                <w:szCs w:val="18"/>
                <w:highlight w:val="yellow"/>
              </w:rPr>
            </w:pPr>
          </w:p>
        </w:tc>
      </w:tr>
      <w:tr w:rsidR="00CC4D0E" w:rsidRPr="000119C6" w:rsidTr="00F52838">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CC4D0E" w:rsidRPr="00F24D6A" w:rsidRDefault="00CC4D0E">
            <w:pPr>
              <w:rPr>
                <w:sz w:val="18"/>
                <w:szCs w:val="18"/>
              </w:rPr>
            </w:pPr>
            <w:r w:rsidRPr="00F24D6A">
              <w:rPr>
                <w:sz w:val="18"/>
                <w:szCs w:val="18"/>
              </w:rPr>
              <w:t xml:space="preserve">  Вноска за общия бюджет на ЕС</w:t>
            </w:r>
          </w:p>
        </w:tc>
        <w:tc>
          <w:tcPr>
            <w:tcW w:w="992" w:type="dxa"/>
            <w:tcBorders>
              <w:top w:val="nil"/>
              <w:left w:val="nil"/>
              <w:bottom w:val="single" w:sz="4" w:space="0" w:color="auto"/>
              <w:right w:val="nil"/>
            </w:tcBorders>
            <w:shd w:val="clear" w:color="auto" w:fill="auto"/>
            <w:noWrap/>
            <w:vAlign w:val="bottom"/>
            <w:hideMark/>
          </w:tcPr>
          <w:p w:rsidR="00CC4D0E" w:rsidRPr="00F24D6A" w:rsidRDefault="00CC4D0E">
            <w:pPr>
              <w:jc w:val="right"/>
              <w:rPr>
                <w:sz w:val="18"/>
                <w:szCs w:val="18"/>
              </w:rPr>
            </w:pPr>
            <w:r w:rsidRPr="00F24D6A">
              <w:rPr>
                <w:sz w:val="18"/>
                <w:szCs w:val="18"/>
              </w:rPr>
              <w:t>1 133,9</w:t>
            </w:r>
          </w:p>
        </w:tc>
        <w:tc>
          <w:tcPr>
            <w:tcW w:w="1087" w:type="dxa"/>
            <w:tcBorders>
              <w:top w:val="nil"/>
              <w:left w:val="nil"/>
              <w:bottom w:val="single" w:sz="4" w:space="0" w:color="auto"/>
              <w:right w:val="nil"/>
            </w:tcBorders>
            <w:shd w:val="clear" w:color="auto" w:fill="auto"/>
            <w:noWrap/>
            <w:vAlign w:val="bottom"/>
            <w:hideMark/>
          </w:tcPr>
          <w:p w:rsidR="00CC4D0E" w:rsidRPr="00CC4D0E" w:rsidRDefault="00CC4D0E" w:rsidP="002D68C2">
            <w:pPr>
              <w:jc w:val="right"/>
              <w:rPr>
                <w:color w:val="000000"/>
                <w:sz w:val="18"/>
                <w:szCs w:val="18"/>
              </w:rPr>
            </w:pPr>
            <w:r w:rsidRPr="00CC4D0E">
              <w:rPr>
                <w:color w:val="000000"/>
                <w:sz w:val="18"/>
                <w:szCs w:val="18"/>
              </w:rPr>
              <w:t>576,3</w:t>
            </w:r>
          </w:p>
        </w:tc>
        <w:tc>
          <w:tcPr>
            <w:tcW w:w="1252" w:type="dxa"/>
            <w:tcBorders>
              <w:top w:val="nil"/>
              <w:left w:val="nil"/>
              <w:bottom w:val="single" w:sz="4" w:space="0" w:color="auto"/>
              <w:right w:val="nil"/>
            </w:tcBorders>
            <w:shd w:val="clear" w:color="auto" w:fill="auto"/>
            <w:noWrap/>
            <w:vAlign w:val="bottom"/>
            <w:hideMark/>
          </w:tcPr>
          <w:p w:rsidR="00CC4D0E" w:rsidRPr="00CC4D0E" w:rsidRDefault="00CC4D0E" w:rsidP="002D68C2">
            <w:pPr>
              <w:jc w:val="right"/>
              <w:rPr>
                <w:color w:val="000000"/>
                <w:sz w:val="18"/>
                <w:szCs w:val="18"/>
              </w:rPr>
            </w:pPr>
            <w:r w:rsidRPr="00CC4D0E">
              <w:rPr>
                <w:color w:val="000000"/>
                <w:sz w:val="18"/>
                <w:szCs w:val="18"/>
              </w:rPr>
              <w:t>576,3</w:t>
            </w:r>
          </w:p>
        </w:tc>
        <w:tc>
          <w:tcPr>
            <w:tcW w:w="1199" w:type="dxa"/>
            <w:tcBorders>
              <w:top w:val="nil"/>
              <w:left w:val="nil"/>
              <w:bottom w:val="single" w:sz="4" w:space="0" w:color="auto"/>
              <w:right w:val="nil"/>
            </w:tcBorders>
            <w:shd w:val="clear" w:color="auto" w:fill="auto"/>
            <w:noWrap/>
            <w:vAlign w:val="bottom"/>
            <w:hideMark/>
          </w:tcPr>
          <w:p w:rsidR="00CC4D0E" w:rsidRPr="00CC4D0E" w:rsidRDefault="00CC4D0E">
            <w:pPr>
              <w:jc w:val="right"/>
              <w:rPr>
                <w:color w:val="000000"/>
                <w:sz w:val="18"/>
                <w:szCs w:val="18"/>
              </w:rPr>
            </w:pPr>
          </w:p>
        </w:tc>
        <w:tc>
          <w:tcPr>
            <w:tcW w:w="1300" w:type="dxa"/>
            <w:tcBorders>
              <w:top w:val="nil"/>
              <w:left w:val="nil"/>
              <w:bottom w:val="single" w:sz="4" w:space="0" w:color="auto"/>
              <w:right w:val="single" w:sz="8" w:space="0" w:color="auto"/>
            </w:tcBorders>
            <w:shd w:val="clear" w:color="auto" w:fill="auto"/>
            <w:noWrap/>
            <w:vAlign w:val="bottom"/>
            <w:hideMark/>
          </w:tcPr>
          <w:p w:rsidR="00CC4D0E" w:rsidRPr="00CC4D0E" w:rsidRDefault="00CC4D0E" w:rsidP="00CC4D0E">
            <w:pPr>
              <w:jc w:val="right"/>
              <w:rPr>
                <w:color w:val="000000"/>
                <w:sz w:val="18"/>
                <w:szCs w:val="18"/>
              </w:rPr>
            </w:pPr>
            <w:r w:rsidRPr="00CC4D0E">
              <w:rPr>
                <w:color w:val="000000"/>
                <w:sz w:val="18"/>
                <w:szCs w:val="18"/>
              </w:rPr>
              <w:t> 50,8%</w:t>
            </w:r>
          </w:p>
        </w:tc>
      </w:tr>
      <w:tr w:rsidR="00CC4D0E" w:rsidRPr="000119C6" w:rsidTr="00CC4D0E">
        <w:trPr>
          <w:trHeight w:val="255"/>
        </w:trPr>
        <w:tc>
          <w:tcPr>
            <w:tcW w:w="4263" w:type="dxa"/>
            <w:tcBorders>
              <w:top w:val="nil"/>
              <w:left w:val="single" w:sz="8" w:space="0" w:color="auto"/>
              <w:bottom w:val="single" w:sz="4" w:space="0" w:color="auto"/>
              <w:right w:val="nil"/>
            </w:tcBorders>
            <w:shd w:val="clear" w:color="auto" w:fill="auto"/>
            <w:noWrap/>
            <w:vAlign w:val="bottom"/>
            <w:hideMark/>
          </w:tcPr>
          <w:p w:rsidR="00CC4D0E" w:rsidRPr="00F24D6A" w:rsidRDefault="00CC4D0E">
            <w:pPr>
              <w:rPr>
                <w:sz w:val="18"/>
                <w:szCs w:val="18"/>
              </w:rPr>
            </w:pPr>
            <w:r w:rsidRPr="00F24D6A">
              <w:rPr>
                <w:sz w:val="18"/>
                <w:szCs w:val="18"/>
              </w:rPr>
              <w:t>Трансфер от централния бюджет</w:t>
            </w:r>
          </w:p>
        </w:tc>
        <w:tc>
          <w:tcPr>
            <w:tcW w:w="992" w:type="dxa"/>
            <w:tcBorders>
              <w:top w:val="nil"/>
              <w:left w:val="nil"/>
              <w:bottom w:val="single" w:sz="4" w:space="0" w:color="auto"/>
              <w:right w:val="nil"/>
            </w:tcBorders>
            <w:shd w:val="clear" w:color="auto" w:fill="auto"/>
            <w:noWrap/>
            <w:vAlign w:val="bottom"/>
            <w:hideMark/>
          </w:tcPr>
          <w:p w:rsidR="00CC4D0E" w:rsidRPr="00F24D6A" w:rsidRDefault="00CC4D0E">
            <w:pPr>
              <w:rPr>
                <w:sz w:val="18"/>
                <w:szCs w:val="18"/>
              </w:rPr>
            </w:pPr>
          </w:p>
        </w:tc>
        <w:tc>
          <w:tcPr>
            <w:tcW w:w="1087" w:type="dxa"/>
            <w:tcBorders>
              <w:top w:val="nil"/>
              <w:left w:val="nil"/>
              <w:bottom w:val="single" w:sz="4" w:space="0" w:color="auto"/>
              <w:right w:val="nil"/>
            </w:tcBorders>
            <w:shd w:val="clear" w:color="auto" w:fill="auto"/>
            <w:noWrap/>
            <w:vAlign w:val="bottom"/>
          </w:tcPr>
          <w:p w:rsidR="00CC4D0E" w:rsidRPr="00D9329F" w:rsidRDefault="00CC4D0E">
            <w:pPr>
              <w:jc w:val="right"/>
              <w:rPr>
                <w:b/>
                <w:bCs/>
                <w:color w:val="000000"/>
                <w:sz w:val="18"/>
                <w:szCs w:val="18"/>
                <w:highlight w:val="yellow"/>
              </w:rPr>
            </w:pPr>
          </w:p>
        </w:tc>
        <w:tc>
          <w:tcPr>
            <w:tcW w:w="1252" w:type="dxa"/>
            <w:tcBorders>
              <w:top w:val="nil"/>
              <w:left w:val="nil"/>
              <w:bottom w:val="single" w:sz="4" w:space="0" w:color="auto"/>
              <w:right w:val="nil"/>
            </w:tcBorders>
            <w:shd w:val="clear" w:color="auto" w:fill="auto"/>
            <w:noWrap/>
            <w:vAlign w:val="bottom"/>
          </w:tcPr>
          <w:p w:rsidR="00CC4D0E" w:rsidRPr="00832E7D" w:rsidRDefault="00CC4D0E">
            <w:pPr>
              <w:jc w:val="right"/>
              <w:rPr>
                <w:b/>
                <w:bCs/>
                <w:color w:val="000000"/>
                <w:sz w:val="18"/>
                <w:szCs w:val="18"/>
              </w:rPr>
            </w:pPr>
            <w:r w:rsidRPr="00832E7D">
              <w:rPr>
                <w:color w:val="000000"/>
                <w:sz w:val="18"/>
                <w:szCs w:val="18"/>
                <w:lang w:val="en-US"/>
              </w:rPr>
              <w:t>-</w:t>
            </w:r>
            <w:r w:rsidRPr="00832E7D">
              <w:rPr>
                <w:color w:val="000000"/>
                <w:sz w:val="18"/>
                <w:szCs w:val="18"/>
              </w:rPr>
              <w:t>275,5</w:t>
            </w:r>
          </w:p>
        </w:tc>
        <w:tc>
          <w:tcPr>
            <w:tcW w:w="1199" w:type="dxa"/>
            <w:tcBorders>
              <w:top w:val="nil"/>
              <w:left w:val="nil"/>
              <w:bottom w:val="single" w:sz="4" w:space="0" w:color="auto"/>
              <w:right w:val="nil"/>
            </w:tcBorders>
            <w:shd w:val="clear" w:color="auto" w:fill="auto"/>
            <w:noWrap/>
            <w:vAlign w:val="bottom"/>
          </w:tcPr>
          <w:p w:rsidR="00CC4D0E" w:rsidRPr="00832E7D" w:rsidRDefault="00CC4D0E">
            <w:pPr>
              <w:jc w:val="right"/>
              <w:rPr>
                <w:b/>
                <w:bCs/>
                <w:color w:val="000000"/>
                <w:sz w:val="18"/>
                <w:szCs w:val="18"/>
              </w:rPr>
            </w:pPr>
            <w:r w:rsidRPr="00832E7D">
              <w:rPr>
                <w:color w:val="000000"/>
                <w:sz w:val="18"/>
                <w:szCs w:val="18"/>
              </w:rPr>
              <w:t>275,5</w:t>
            </w:r>
          </w:p>
        </w:tc>
        <w:tc>
          <w:tcPr>
            <w:tcW w:w="1300" w:type="dxa"/>
            <w:tcBorders>
              <w:top w:val="nil"/>
              <w:left w:val="nil"/>
              <w:bottom w:val="single" w:sz="4" w:space="0" w:color="auto"/>
              <w:right w:val="single" w:sz="8" w:space="0" w:color="auto"/>
            </w:tcBorders>
            <w:shd w:val="clear" w:color="auto" w:fill="auto"/>
            <w:noWrap/>
            <w:vAlign w:val="bottom"/>
          </w:tcPr>
          <w:p w:rsidR="00CC4D0E" w:rsidRPr="00832E7D" w:rsidRDefault="00CC4D0E">
            <w:pPr>
              <w:jc w:val="right"/>
              <w:rPr>
                <w:b/>
                <w:bCs/>
                <w:color w:val="000000"/>
                <w:sz w:val="18"/>
                <w:szCs w:val="18"/>
              </w:rPr>
            </w:pPr>
          </w:p>
        </w:tc>
      </w:tr>
      <w:tr w:rsidR="00CC4D0E" w:rsidRPr="000119C6" w:rsidTr="00DC3DE2">
        <w:trPr>
          <w:trHeight w:val="270"/>
        </w:trPr>
        <w:tc>
          <w:tcPr>
            <w:tcW w:w="4263" w:type="dxa"/>
            <w:tcBorders>
              <w:top w:val="nil"/>
              <w:left w:val="single" w:sz="8" w:space="0" w:color="auto"/>
              <w:bottom w:val="single" w:sz="8" w:space="0" w:color="auto"/>
              <w:right w:val="nil"/>
            </w:tcBorders>
            <w:shd w:val="clear" w:color="000000" w:fill="D9D9D9"/>
            <w:noWrap/>
            <w:vAlign w:val="bottom"/>
            <w:hideMark/>
          </w:tcPr>
          <w:p w:rsidR="00CC4D0E" w:rsidRPr="00F24D6A" w:rsidRDefault="00CC4D0E">
            <w:pPr>
              <w:rPr>
                <w:b/>
                <w:bCs/>
                <w:sz w:val="18"/>
                <w:szCs w:val="18"/>
              </w:rPr>
            </w:pPr>
            <w:r w:rsidRPr="00F24D6A">
              <w:rPr>
                <w:b/>
                <w:bCs/>
                <w:sz w:val="18"/>
                <w:szCs w:val="18"/>
              </w:rPr>
              <w:t>БЮДЖЕТНО САЛДО</w:t>
            </w:r>
          </w:p>
        </w:tc>
        <w:tc>
          <w:tcPr>
            <w:tcW w:w="992" w:type="dxa"/>
            <w:tcBorders>
              <w:top w:val="nil"/>
              <w:left w:val="nil"/>
              <w:bottom w:val="single" w:sz="8" w:space="0" w:color="auto"/>
              <w:right w:val="nil"/>
            </w:tcBorders>
            <w:shd w:val="clear" w:color="000000" w:fill="D9D9D9"/>
            <w:noWrap/>
            <w:vAlign w:val="bottom"/>
            <w:hideMark/>
          </w:tcPr>
          <w:p w:rsidR="00CC4D0E" w:rsidRPr="00F24D6A" w:rsidRDefault="00CC4D0E">
            <w:pPr>
              <w:jc w:val="right"/>
              <w:rPr>
                <w:b/>
                <w:bCs/>
                <w:sz w:val="18"/>
                <w:szCs w:val="18"/>
              </w:rPr>
            </w:pPr>
            <w:r w:rsidRPr="00F24D6A">
              <w:rPr>
                <w:b/>
                <w:bCs/>
                <w:sz w:val="18"/>
                <w:szCs w:val="18"/>
              </w:rPr>
              <w:t>-1 100,0</w:t>
            </w:r>
          </w:p>
        </w:tc>
        <w:tc>
          <w:tcPr>
            <w:tcW w:w="1087" w:type="dxa"/>
            <w:tcBorders>
              <w:top w:val="nil"/>
              <w:left w:val="nil"/>
              <w:bottom w:val="single" w:sz="8" w:space="0" w:color="auto"/>
              <w:right w:val="nil"/>
            </w:tcBorders>
            <w:shd w:val="clear" w:color="000000" w:fill="D9D9D9"/>
            <w:noWrap/>
            <w:vAlign w:val="bottom"/>
            <w:hideMark/>
          </w:tcPr>
          <w:p w:rsidR="00CC4D0E" w:rsidRPr="00832E7D" w:rsidRDefault="00CC4D0E" w:rsidP="002D68C2">
            <w:pPr>
              <w:jc w:val="right"/>
              <w:rPr>
                <w:b/>
                <w:bCs/>
                <w:sz w:val="18"/>
                <w:szCs w:val="18"/>
              </w:rPr>
            </w:pPr>
            <w:r w:rsidRPr="00832E7D">
              <w:rPr>
                <w:b/>
                <w:bCs/>
                <w:sz w:val="18"/>
                <w:szCs w:val="18"/>
              </w:rPr>
              <w:t>1 713,9</w:t>
            </w:r>
          </w:p>
        </w:tc>
        <w:tc>
          <w:tcPr>
            <w:tcW w:w="1252" w:type="dxa"/>
            <w:tcBorders>
              <w:top w:val="nil"/>
              <w:left w:val="nil"/>
              <w:bottom w:val="single" w:sz="8" w:space="0" w:color="auto"/>
              <w:right w:val="nil"/>
            </w:tcBorders>
            <w:shd w:val="clear" w:color="000000" w:fill="D9D9D9"/>
            <w:noWrap/>
            <w:vAlign w:val="bottom"/>
            <w:hideMark/>
          </w:tcPr>
          <w:p w:rsidR="00CC4D0E" w:rsidRPr="00832E7D" w:rsidRDefault="00CC4D0E" w:rsidP="002D68C2">
            <w:pPr>
              <w:jc w:val="right"/>
              <w:rPr>
                <w:b/>
                <w:bCs/>
                <w:sz w:val="18"/>
                <w:szCs w:val="18"/>
              </w:rPr>
            </w:pPr>
            <w:r w:rsidRPr="00832E7D">
              <w:rPr>
                <w:b/>
                <w:bCs/>
                <w:sz w:val="18"/>
                <w:szCs w:val="18"/>
              </w:rPr>
              <w:t>2 014,4</w:t>
            </w:r>
          </w:p>
        </w:tc>
        <w:tc>
          <w:tcPr>
            <w:tcW w:w="1199" w:type="dxa"/>
            <w:tcBorders>
              <w:top w:val="nil"/>
              <w:left w:val="nil"/>
              <w:bottom w:val="single" w:sz="8" w:space="0" w:color="auto"/>
              <w:right w:val="nil"/>
            </w:tcBorders>
            <w:shd w:val="clear" w:color="000000" w:fill="D9D9D9"/>
            <w:noWrap/>
            <w:vAlign w:val="bottom"/>
            <w:hideMark/>
          </w:tcPr>
          <w:p w:rsidR="00CC4D0E" w:rsidRPr="00832E7D" w:rsidRDefault="00CC4D0E" w:rsidP="002D68C2">
            <w:pPr>
              <w:jc w:val="right"/>
              <w:rPr>
                <w:b/>
                <w:bCs/>
                <w:sz w:val="18"/>
                <w:szCs w:val="18"/>
              </w:rPr>
            </w:pPr>
            <w:r w:rsidRPr="00832E7D">
              <w:rPr>
                <w:b/>
                <w:bCs/>
                <w:sz w:val="18"/>
                <w:szCs w:val="18"/>
              </w:rPr>
              <w:t>-300,5</w:t>
            </w:r>
          </w:p>
        </w:tc>
        <w:tc>
          <w:tcPr>
            <w:tcW w:w="1300" w:type="dxa"/>
            <w:tcBorders>
              <w:top w:val="nil"/>
              <w:left w:val="nil"/>
              <w:bottom w:val="single" w:sz="8" w:space="0" w:color="auto"/>
              <w:right w:val="single" w:sz="8" w:space="0" w:color="auto"/>
            </w:tcBorders>
            <w:shd w:val="clear" w:color="000000" w:fill="D9D9D9"/>
            <w:noWrap/>
            <w:vAlign w:val="bottom"/>
          </w:tcPr>
          <w:p w:rsidR="00CC4D0E" w:rsidRPr="00832E7D" w:rsidRDefault="00CC4D0E">
            <w:pPr>
              <w:jc w:val="right"/>
              <w:rPr>
                <w:b/>
                <w:bCs/>
                <w:sz w:val="18"/>
                <w:szCs w:val="18"/>
              </w:rPr>
            </w:pPr>
          </w:p>
        </w:tc>
      </w:tr>
    </w:tbl>
    <w:p w:rsidR="00E74802" w:rsidRPr="000119C6" w:rsidRDefault="00E74802" w:rsidP="00E74802">
      <w:pPr>
        <w:ind w:left="360"/>
        <w:jc w:val="both"/>
        <w:rPr>
          <w:color w:val="0070C0"/>
        </w:rPr>
      </w:pPr>
    </w:p>
    <w:p w:rsidR="00987CE4" w:rsidRPr="000119C6" w:rsidRDefault="00987CE4" w:rsidP="00337CA7">
      <w:pPr>
        <w:numPr>
          <w:ilvl w:val="1"/>
          <w:numId w:val="11"/>
        </w:numPr>
        <w:tabs>
          <w:tab w:val="clear" w:pos="2160"/>
          <w:tab w:val="num" w:pos="720"/>
        </w:tabs>
        <w:ind w:left="0" w:firstLine="360"/>
        <w:jc w:val="both"/>
        <w:rPr>
          <w:color w:val="0070C0"/>
        </w:rPr>
      </w:pPr>
      <w:r w:rsidRPr="0062059F">
        <w:rPr>
          <w:b/>
        </w:rPr>
        <w:t>Приходите</w:t>
      </w:r>
      <w:r w:rsidR="00867198" w:rsidRPr="0062059F">
        <w:rPr>
          <w:b/>
        </w:rPr>
        <w:t xml:space="preserve"> и помощите</w:t>
      </w:r>
      <w:r w:rsidRPr="0062059F">
        <w:rPr>
          <w:b/>
        </w:rPr>
        <w:t xml:space="preserve"> по консолидираната фискална програма</w:t>
      </w:r>
      <w:r w:rsidRPr="0062059F">
        <w:t xml:space="preserve"> (КФП) </w:t>
      </w:r>
      <w:r w:rsidR="00D03F6C" w:rsidRPr="0062059F">
        <w:t>към края на</w:t>
      </w:r>
      <w:r w:rsidR="00D03F6C" w:rsidRPr="0062059F">
        <w:rPr>
          <w:b/>
        </w:rPr>
        <w:t xml:space="preserve"> </w:t>
      </w:r>
      <w:r w:rsidR="00F24D6A" w:rsidRPr="0062059F">
        <w:t>първото полугодие на</w:t>
      </w:r>
      <w:r w:rsidR="00D03F6C" w:rsidRPr="0062059F">
        <w:rPr>
          <w:b/>
        </w:rPr>
        <w:t xml:space="preserve"> </w:t>
      </w:r>
      <w:r w:rsidRPr="0062059F">
        <w:t>201</w:t>
      </w:r>
      <w:r w:rsidR="004D6524" w:rsidRPr="0062059F">
        <w:rPr>
          <w:lang w:val="en-US"/>
        </w:rPr>
        <w:t>8</w:t>
      </w:r>
      <w:r w:rsidRPr="0062059F">
        <w:t xml:space="preserve"> г. са в размер на </w:t>
      </w:r>
      <w:r w:rsidR="0062059F" w:rsidRPr="0062059F">
        <w:rPr>
          <w:b/>
        </w:rPr>
        <w:t>1</w:t>
      </w:r>
      <w:r w:rsidR="004D6524" w:rsidRPr="0062059F">
        <w:rPr>
          <w:b/>
          <w:bCs/>
        </w:rPr>
        <w:t>9 21</w:t>
      </w:r>
      <w:r w:rsidR="0062059F" w:rsidRPr="0062059F">
        <w:rPr>
          <w:b/>
          <w:bCs/>
        </w:rPr>
        <w:t>0</w:t>
      </w:r>
      <w:r w:rsidR="004D6524" w:rsidRPr="0062059F">
        <w:rPr>
          <w:b/>
          <w:bCs/>
        </w:rPr>
        <w:t>,</w:t>
      </w:r>
      <w:r w:rsidR="0062059F" w:rsidRPr="0062059F">
        <w:rPr>
          <w:b/>
          <w:bCs/>
        </w:rPr>
        <w:t>1</w:t>
      </w:r>
      <w:r w:rsidR="004D6524" w:rsidRPr="0062059F">
        <w:rPr>
          <w:b/>
          <w:bCs/>
        </w:rPr>
        <w:t> </w:t>
      </w:r>
      <w:r w:rsidRPr="0062059F">
        <w:rPr>
          <w:b/>
        </w:rPr>
        <w:t>млн. лв.,</w:t>
      </w:r>
      <w:r w:rsidRPr="0062059F">
        <w:t xml:space="preserve"> което представлява </w:t>
      </w:r>
      <w:r w:rsidR="0062059F" w:rsidRPr="0062059F">
        <w:t>50,3</w:t>
      </w:r>
      <w:r w:rsidRPr="0062059F">
        <w:t> % от годишните разчети към ЗДБРБ за 201</w:t>
      </w:r>
      <w:r w:rsidR="004D6524" w:rsidRPr="0062059F">
        <w:rPr>
          <w:lang w:val="en-US"/>
        </w:rPr>
        <w:t>8</w:t>
      </w:r>
      <w:r w:rsidRPr="0062059F">
        <w:t xml:space="preserve"> г. </w:t>
      </w:r>
      <w:r w:rsidR="006E0F71" w:rsidRPr="0062059F">
        <w:rPr>
          <w:rFonts w:eastAsia="Calibri"/>
        </w:rPr>
        <w:t xml:space="preserve">Съпоставени със същия период на предходната година, данъчните и неданъчните приходи нарастват с </w:t>
      </w:r>
      <w:r w:rsidR="0062059F" w:rsidRPr="0062059F">
        <w:rPr>
          <w:rFonts w:eastAsia="Calibri"/>
        </w:rPr>
        <w:t>1 </w:t>
      </w:r>
      <w:r w:rsidR="008A680B" w:rsidRPr="0062059F">
        <w:rPr>
          <w:rFonts w:eastAsia="Calibri"/>
          <w:lang w:val="en-US"/>
        </w:rPr>
        <w:t>6</w:t>
      </w:r>
      <w:r w:rsidR="0062059F" w:rsidRPr="0062059F">
        <w:rPr>
          <w:rFonts w:eastAsia="Calibri"/>
        </w:rPr>
        <w:t>99,5</w:t>
      </w:r>
      <w:r w:rsidR="006E0F71" w:rsidRPr="0062059F">
        <w:rPr>
          <w:rFonts w:eastAsia="Calibri"/>
        </w:rPr>
        <w:t xml:space="preserve"> млн. лв. </w:t>
      </w:r>
      <w:r w:rsidR="0062059F" w:rsidRPr="0062059F">
        <w:rPr>
          <w:rFonts w:eastAsia="Calibri"/>
        </w:rPr>
        <w:t xml:space="preserve">(10,1 %), а постъпленията от помощи са близки по размер </w:t>
      </w:r>
      <w:r w:rsidR="0062059F" w:rsidRPr="0062059F">
        <w:rPr>
          <w:rFonts w:eastAsia="Calibri"/>
          <w:lang w:val="en-US"/>
        </w:rPr>
        <w:t>(</w:t>
      </w:r>
      <w:r w:rsidR="0062059F" w:rsidRPr="0062059F">
        <w:rPr>
          <w:rFonts w:eastAsia="Calibri"/>
        </w:rPr>
        <w:t xml:space="preserve">увеличение с 27,4 млн. лв. или 4,1 </w:t>
      </w:r>
      <w:r w:rsidR="0062059F" w:rsidRPr="000B62B0">
        <w:rPr>
          <w:rFonts w:eastAsia="Calibri"/>
        </w:rPr>
        <w:t>%</w:t>
      </w:r>
      <w:r w:rsidR="0062059F" w:rsidRPr="000B62B0">
        <w:rPr>
          <w:rFonts w:eastAsia="Calibri"/>
          <w:lang w:val="en-US"/>
        </w:rPr>
        <w:t>)</w:t>
      </w:r>
      <w:r w:rsidR="0062059F" w:rsidRPr="000B62B0">
        <w:rPr>
          <w:rFonts w:eastAsia="Calibri"/>
        </w:rPr>
        <w:t>.</w:t>
      </w:r>
      <w:r w:rsidR="00996BA8" w:rsidRPr="000119C6">
        <w:rPr>
          <w:rFonts w:eastAsia="Calibri"/>
          <w:color w:val="0070C0"/>
        </w:rPr>
        <w:t xml:space="preserve"> </w:t>
      </w:r>
    </w:p>
    <w:p w:rsidR="00D9270B" w:rsidRPr="0062059F" w:rsidRDefault="00A04FFB" w:rsidP="00D4646A">
      <w:pPr>
        <w:spacing w:before="120"/>
        <w:jc w:val="both"/>
      </w:pPr>
      <w:r w:rsidRPr="0062059F">
        <w:t>Общата сума</w:t>
      </w:r>
      <w:r w:rsidRPr="0062059F">
        <w:rPr>
          <w:b/>
        </w:rPr>
        <w:t xml:space="preserve"> </w:t>
      </w:r>
      <w:r w:rsidRPr="0062059F">
        <w:t>на</w:t>
      </w:r>
      <w:r w:rsidRPr="0062059F">
        <w:rPr>
          <w:b/>
        </w:rPr>
        <w:t xml:space="preserve"> </w:t>
      </w:r>
      <w:r w:rsidRPr="0062059F">
        <w:rPr>
          <w:b/>
          <w:i/>
        </w:rPr>
        <w:t>данъчните постъпления</w:t>
      </w:r>
      <w:r w:rsidRPr="0062059F">
        <w:t xml:space="preserve"> (вкл. приходите от осигурителни вноски) </w:t>
      </w:r>
      <w:r w:rsidR="006E0F71" w:rsidRPr="0062059F">
        <w:t xml:space="preserve">са в размер на </w:t>
      </w:r>
      <w:r w:rsidR="0062059F" w:rsidRPr="0062059F">
        <w:rPr>
          <w:b/>
          <w:i/>
        </w:rPr>
        <w:t>16 021,0</w:t>
      </w:r>
      <w:r w:rsidR="00091BCE" w:rsidRPr="0062059F">
        <w:rPr>
          <w:b/>
          <w:i/>
        </w:rPr>
        <w:t xml:space="preserve"> </w:t>
      </w:r>
      <w:r w:rsidR="006E0F71" w:rsidRPr="0062059F">
        <w:rPr>
          <w:b/>
          <w:i/>
        </w:rPr>
        <w:t>млн. лв</w:t>
      </w:r>
      <w:r w:rsidR="006E0F71" w:rsidRPr="0062059F">
        <w:rPr>
          <w:i/>
        </w:rPr>
        <w:t>.</w:t>
      </w:r>
      <w:r w:rsidR="006E0F71" w:rsidRPr="0062059F">
        <w:t xml:space="preserve">, което представлява </w:t>
      </w:r>
      <w:r w:rsidR="00091BCE" w:rsidRPr="0062059F">
        <w:t>8</w:t>
      </w:r>
      <w:r w:rsidR="0062059F" w:rsidRPr="0062059F">
        <w:t>3,4</w:t>
      </w:r>
      <w:r w:rsidR="006E0F71" w:rsidRPr="0062059F">
        <w:t xml:space="preserve"> % от общите постъпления по КФП за периода. Постъпленията в групата представляват </w:t>
      </w:r>
      <w:r w:rsidR="0062059F" w:rsidRPr="0062059F">
        <w:t>51,4</w:t>
      </w:r>
      <w:r w:rsidR="006E0F71" w:rsidRPr="0062059F">
        <w:t xml:space="preserve"> % от разчета за годината и нарастват номинално с </w:t>
      </w:r>
      <w:r w:rsidR="0062059F" w:rsidRPr="0062059F">
        <w:t>1 482,7</w:t>
      </w:r>
      <w:r w:rsidR="00091BCE" w:rsidRPr="0062059F">
        <w:t xml:space="preserve"> млн. лв. (</w:t>
      </w:r>
      <w:r w:rsidR="0062059F" w:rsidRPr="0062059F">
        <w:t>10,2</w:t>
      </w:r>
      <w:r w:rsidR="00091BCE" w:rsidRPr="0062059F">
        <w:t xml:space="preserve"> %) </w:t>
      </w:r>
      <w:r w:rsidR="006E0F71" w:rsidRPr="0062059F">
        <w:t xml:space="preserve">спрямо отчетените към </w:t>
      </w:r>
      <w:r w:rsidR="0062059F" w:rsidRPr="0062059F">
        <w:t>юни</w:t>
      </w:r>
      <w:r w:rsidR="006E0F71" w:rsidRPr="0062059F">
        <w:t xml:space="preserve"> 201</w:t>
      </w:r>
      <w:r w:rsidR="00091BCE" w:rsidRPr="0062059F">
        <w:t>7</w:t>
      </w:r>
      <w:r w:rsidR="006E0F71" w:rsidRPr="0062059F">
        <w:t xml:space="preserve"> г.</w:t>
      </w:r>
      <w:r w:rsidRPr="0062059F">
        <w:t xml:space="preserve"> Приходите в частта на </w:t>
      </w:r>
      <w:r w:rsidRPr="0062059F">
        <w:rPr>
          <w:i/>
        </w:rPr>
        <w:t>преките</w:t>
      </w:r>
      <w:r w:rsidR="00821B89" w:rsidRPr="0062059F">
        <w:rPr>
          <w:i/>
        </w:rPr>
        <w:t xml:space="preserve"> данъци</w:t>
      </w:r>
      <w:r w:rsidRPr="0062059F">
        <w:rPr>
          <w:i/>
        </w:rPr>
        <w:t xml:space="preserve"> </w:t>
      </w:r>
      <w:r w:rsidR="006E0F71" w:rsidRPr="0062059F">
        <w:t xml:space="preserve">възлизат на </w:t>
      </w:r>
      <w:r w:rsidR="0062059F" w:rsidRPr="0062059F">
        <w:t>3 113,9</w:t>
      </w:r>
      <w:r w:rsidR="005E12E0" w:rsidRPr="0062059F">
        <w:t xml:space="preserve"> </w:t>
      </w:r>
      <w:r w:rsidR="006E0F71" w:rsidRPr="0062059F">
        <w:t xml:space="preserve">млн. лв., което представлява </w:t>
      </w:r>
      <w:r w:rsidR="0062059F" w:rsidRPr="0062059F">
        <w:t>54,1</w:t>
      </w:r>
      <w:r w:rsidR="006E0F71" w:rsidRPr="0062059F">
        <w:t> % от разчета за 201</w:t>
      </w:r>
      <w:r w:rsidR="005E12E0" w:rsidRPr="0062059F">
        <w:t>8</w:t>
      </w:r>
      <w:r w:rsidR="0062059F" w:rsidRPr="0062059F">
        <w:t> </w:t>
      </w:r>
      <w:r w:rsidR="006E0F71" w:rsidRPr="0062059F">
        <w:t>г.</w:t>
      </w:r>
      <w:r w:rsidR="001E44C8" w:rsidRPr="0062059F">
        <w:t xml:space="preserve"> Съпоставени със същия период на 201</w:t>
      </w:r>
      <w:r w:rsidR="005E12E0" w:rsidRPr="0062059F">
        <w:t>7</w:t>
      </w:r>
      <w:r w:rsidR="001E44C8" w:rsidRPr="0062059F">
        <w:t xml:space="preserve"> г.</w:t>
      </w:r>
      <w:r w:rsidR="003579F2" w:rsidRPr="0062059F">
        <w:t>,</w:t>
      </w:r>
      <w:r w:rsidR="001E44C8" w:rsidRPr="0062059F">
        <w:t xml:space="preserve"> преките данъци нарастват с </w:t>
      </w:r>
      <w:r w:rsidR="0062059F" w:rsidRPr="0062059F">
        <w:t>12,4</w:t>
      </w:r>
      <w:r w:rsidR="003579F2" w:rsidRPr="0062059F">
        <w:t xml:space="preserve"> </w:t>
      </w:r>
      <w:r w:rsidR="001E44C8" w:rsidRPr="0062059F">
        <w:t>% (</w:t>
      </w:r>
      <w:r w:rsidR="0062059F" w:rsidRPr="0062059F">
        <w:t>342,9</w:t>
      </w:r>
      <w:r w:rsidR="001E44C8" w:rsidRPr="0062059F">
        <w:t xml:space="preserve"> млн. лв.).</w:t>
      </w:r>
      <w:r w:rsidRPr="0062059F">
        <w:rPr>
          <w:rFonts w:ascii="Arial" w:hAnsi="Arial" w:cs="Arial"/>
        </w:rPr>
        <w:t xml:space="preserve"> </w:t>
      </w:r>
      <w:r w:rsidRPr="0062059F">
        <w:t xml:space="preserve">Приходите от </w:t>
      </w:r>
      <w:r w:rsidRPr="0062059F">
        <w:rPr>
          <w:i/>
        </w:rPr>
        <w:t>косвени данъци</w:t>
      </w:r>
      <w:r w:rsidRPr="0062059F">
        <w:t xml:space="preserve"> са в размер на </w:t>
      </w:r>
      <w:r w:rsidR="0062059F" w:rsidRPr="0062059F">
        <w:t>7 646,2</w:t>
      </w:r>
      <w:r w:rsidR="005E12E0" w:rsidRPr="0062059F">
        <w:t xml:space="preserve"> </w:t>
      </w:r>
      <w:r w:rsidRPr="0062059F">
        <w:t xml:space="preserve">млн. лв., което представлява </w:t>
      </w:r>
      <w:r w:rsidR="0062059F" w:rsidRPr="0062059F">
        <w:t>50,4</w:t>
      </w:r>
      <w:r w:rsidRPr="0062059F">
        <w:t xml:space="preserve"> % от </w:t>
      </w:r>
      <w:r w:rsidR="009947C7" w:rsidRPr="0062059F">
        <w:t>г</w:t>
      </w:r>
      <w:r w:rsidRPr="0062059F">
        <w:t xml:space="preserve">одишния разчет. </w:t>
      </w:r>
      <w:r w:rsidR="001E44C8" w:rsidRPr="0062059F">
        <w:t xml:space="preserve">Съпоставени с </w:t>
      </w:r>
      <w:r w:rsidR="006E0F71" w:rsidRPr="0062059F">
        <w:t xml:space="preserve">първото </w:t>
      </w:r>
      <w:r w:rsidR="0062059F" w:rsidRPr="0062059F">
        <w:t>полугодие</w:t>
      </w:r>
      <w:r w:rsidR="006E0F71" w:rsidRPr="0062059F">
        <w:t xml:space="preserve"> </w:t>
      </w:r>
      <w:r w:rsidR="001E44C8" w:rsidRPr="0062059F">
        <w:t>на 201</w:t>
      </w:r>
      <w:r w:rsidR="005E12E0" w:rsidRPr="0062059F">
        <w:t>7</w:t>
      </w:r>
      <w:r w:rsidR="001E44C8" w:rsidRPr="0062059F">
        <w:t xml:space="preserve"> г. косвените данъци бележат ръст от </w:t>
      </w:r>
      <w:r w:rsidR="0062059F" w:rsidRPr="0062059F">
        <w:t>7,5</w:t>
      </w:r>
      <w:r w:rsidR="001E44C8" w:rsidRPr="0062059F">
        <w:t xml:space="preserve"> % (</w:t>
      </w:r>
      <w:r w:rsidR="0062059F" w:rsidRPr="0062059F">
        <w:t>536,0</w:t>
      </w:r>
      <w:r w:rsidR="001E44C8" w:rsidRPr="0062059F">
        <w:t xml:space="preserve"> млн. лв.). </w:t>
      </w:r>
      <w:r w:rsidRPr="0062059F">
        <w:t xml:space="preserve">Постъпленията от </w:t>
      </w:r>
      <w:r w:rsidRPr="0062059F">
        <w:rPr>
          <w:i/>
        </w:rPr>
        <w:t>други данъци</w:t>
      </w:r>
      <w:r w:rsidRPr="0062059F">
        <w:t xml:space="preserve"> (включват други данъци по ЗКПО, имуществени данъци и др.) са в размер на </w:t>
      </w:r>
      <w:r w:rsidR="0062059F" w:rsidRPr="0062059F">
        <w:t>676,3</w:t>
      </w:r>
      <w:r w:rsidR="002D72DE" w:rsidRPr="0062059F">
        <w:t xml:space="preserve"> </w:t>
      </w:r>
      <w:r w:rsidRPr="0062059F">
        <w:t xml:space="preserve">млн. лв., което представлява </w:t>
      </w:r>
      <w:r w:rsidR="0062059F" w:rsidRPr="0062059F">
        <w:t>61,6</w:t>
      </w:r>
      <w:r w:rsidRPr="0062059F">
        <w:t> % от разчетите към ЗДБРБ за 201</w:t>
      </w:r>
      <w:r w:rsidR="002D72DE" w:rsidRPr="0062059F">
        <w:t>8</w:t>
      </w:r>
      <w:r w:rsidRPr="0062059F">
        <w:t xml:space="preserve"> г. </w:t>
      </w:r>
      <w:r w:rsidR="001E44C8" w:rsidRPr="0062059F">
        <w:t>и нарастват с</w:t>
      </w:r>
      <w:r w:rsidR="0062059F" w:rsidRPr="0062059F">
        <w:t>ъс</w:t>
      </w:r>
      <w:r w:rsidR="001E44C8" w:rsidRPr="0062059F">
        <w:t xml:space="preserve"> </w:t>
      </w:r>
      <w:r w:rsidR="0062059F" w:rsidRPr="0062059F">
        <w:t>7,</w:t>
      </w:r>
      <w:proofErr w:type="spellStart"/>
      <w:r w:rsidR="0062059F" w:rsidRPr="0062059F">
        <w:t>7</w:t>
      </w:r>
      <w:proofErr w:type="spellEnd"/>
      <w:r w:rsidR="001E44C8" w:rsidRPr="0062059F">
        <w:t xml:space="preserve"> % (</w:t>
      </w:r>
      <w:r w:rsidR="0062059F" w:rsidRPr="0062059F">
        <w:t>48,3</w:t>
      </w:r>
      <w:r w:rsidR="001E44C8" w:rsidRPr="0062059F">
        <w:t xml:space="preserve"> млн. лв.) спрямо </w:t>
      </w:r>
      <w:r w:rsidR="0062059F" w:rsidRPr="0062059F">
        <w:t>юни</w:t>
      </w:r>
      <w:r w:rsidR="001E44C8" w:rsidRPr="0062059F">
        <w:t xml:space="preserve"> 201</w:t>
      </w:r>
      <w:r w:rsidR="002D72DE" w:rsidRPr="0062059F">
        <w:t>7</w:t>
      </w:r>
      <w:r w:rsidR="001E44C8" w:rsidRPr="0062059F">
        <w:t xml:space="preserve"> г. </w:t>
      </w:r>
      <w:r w:rsidRPr="0062059F">
        <w:t xml:space="preserve">Приходите от </w:t>
      </w:r>
      <w:proofErr w:type="spellStart"/>
      <w:r w:rsidRPr="0062059F">
        <w:rPr>
          <w:b/>
          <w:i/>
        </w:rPr>
        <w:t>социалноосигурителни</w:t>
      </w:r>
      <w:proofErr w:type="spellEnd"/>
      <w:r w:rsidRPr="0062059F">
        <w:rPr>
          <w:b/>
          <w:i/>
        </w:rPr>
        <w:t xml:space="preserve"> и здравни вноски</w:t>
      </w:r>
      <w:r w:rsidRPr="0062059F">
        <w:rPr>
          <w:b/>
        </w:rPr>
        <w:t xml:space="preserve"> </w:t>
      </w:r>
      <w:r w:rsidRPr="0062059F">
        <w:t>към 3</w:t>
      </w:r>
      <w:r w:rsidR="0062059F" w:rsidRPr="0062059F">
        <w:t>0</w:t>
      </w:r>
      <w:r w:rsidRPr="0062059F">
        <w:t>.</w:t>
      </w:r>
      <w:r w:rsidR="006E0F71" w:rsidRPr="0062059F">
        <w:t>0</w:t>
      </w:r>
      <w:r w:rsidR="0062059F" w:rsidRPr="0062059F">
        <w:t>6</w:t>
      </w:r>
      <w:r w:rsidRPr="0062059F">
        <w:t>.201</w:t>
      </w:r>
      <w:r w:rsidR="007C6E65" w:rsidRPr="0062059F">
        <w:t>8</w:t>
      </w:r>
      <w:r w:rsidRPr="0062059F">
        <w:t xml:space="preserve"> г. са в размер на </w:t>
      </w:r>
      <w:r w:rsidR="0062059F" w:rsidRPr="0062059F">
        <w:t>4 584,6</w:t>
      </w:r>
      <w:r w:rsidR="007C6E65" w:rsidRPr="0062059F">
        <w:t xml:space="preserve"> </w:t>
      </w:r>
      <w:r w:rsidRPr="0062059F">
        <w:t xml:space="preserve">млн. лв. или </w:t>
      </w:r>
      <w:r w:rsidR="0062059F" w:rsidRPr="0062059F">
        <w:t>50,2</w:t>
      </w:r>
      <w:r w:rsidRPr="0062059F">
        <w:t xml:space="preserve"> % от планираните за годината, като спрямо същия период на предходната година нарастват </w:t>
      </w:r>
      <w:r w:rsidR="00073DF5" w:rsidRPr="0062059F">
        <w:t>с</w:t>
      </w:r>
      <w:r w:rsidRPr="0062059F">
        <w:t xml:space="preserve"> </w:t>
      </w:r>
      <w:r w:rsidR="0062059F" w:rsidRPr="0062059F">
        <w:t>555,6</w:t>
      </w:r>
      <w:r w:rsidRPr="0062059F">
        <w:t xml:space="preserve"> млн. лева. </w:t>
      </w:r>
      <w:r w:rsidR="001E44C8" w:rsidRPr="0062059F">
        <w:t>(</w:t>
      </w:r>
      <w:r w:rsidR="007A34B2" w:rsidRPr="0062059F">
        <w:t>1</w:t>
      </w:r>
      <w:r w:rsidR="0062059F" w:rsidRPr="0062059F">
        <w:t>3,8</w:t>
      </w:r>
      <w:r w:rsidR="001E44C8" w:rsidRPr="0062059F">
        <w:t xml:space="preserve"> %).</w:t>
      </w:r>
      <w:r w:rsidR="00073DF5" w:rsidRPr="0062059F">
        <w:t xml:space="preserve"> </w:t>
      </w:r>
    </w:p>
    <w:p w:rsidR="00BF3B6B" w:rsidRPr="00EF4E5E" w:rsidRDefault="00741E2F" w:rsidP="00671112">
      <w:pPr>
        <w:spacing w:before="120"/>
        <w:jc w:val="both"/>
      </w:pPr>
      <w:r w:rsidRPr="00EF4E5E">
        <w:rPr>
          <w:b/>
          <w:bCs/>
          <w:i/>
          <w:iCs/>
        </w:rPr>
        <w:t xml:space="preserve">Неданъчните приходи </w:t>
      </w:r>
      <w:r w:rsidR="00BF3B6B" w:rsidRPr="00EF4E5E">
        <w:t xml:space="preserve">са в размер на </w:t>
      </w:r>
      <w:r w:rsidR="00853509" w:rsidRPr="00EF4E5E">
        <w:rPr>
          <w:b/>
        </w:rPr>
        <w:t>2</w:t>
      </w:r>
      <w:r w:rsidR="00EF4E5E" w:rsidRPr="00EF4E5E">
        <w:rPr>
          <w:b/>
        </w:rPr>
        <w:t> 491,2</w:t>
      </w:r>
      <w:r w:rsidR="00853509" w:rsidRPr="00EF4E5E">
        <w:rPr>
          <w:b/>
        </w:rPr>
        <w:t xml:space="preserve"> млн. лв</w:t>
      </w:r>
      <w:r w:rsidR="00853509" w:rsidRPr="00EF4E5E">
        <w:t xml:space="preserve">., което представлява </w:t>
      </w:r>
      <w:r w:rsidR="00EF4E5E" w:rsidRPr="00EF4E5E">
        <w:t>53,0</w:t>
      </w:r>
      <w:r w:rsidR="00853509" w:rsidRPr="00EF4E5E">
        <w:t xml:space="preserve"> % изпълнение на годишните разчети</w:t>
      </w:r>
      <w:r w:rsidR="00BF3B6B" w:rsidRPr="00EF4E5E">
        <w:t xml:space="preserve">. </w:t>
      </w:r>
    </w:p>
    <w:p w:rsidR="00BF3B6B" w:rsidRPr="00EF4E5E" w:rsidRDefault="00BF3B6B" w:rsidP="00671112">
      <w:pPr>
        <w:spacing w:before="120"/>
        <w:jc w:val="both"/>
      </w:pPr>
      <w:r w:rsidRPr="00EF4E5E">
        <w:lastRenderedPageBreak/>
        <w:t xml:space="preserve">Постъпленията от </w:t>
      </w:r>
      <w:r w:rsidRPr="00EF4E5E">
        <w:rPr>
          <w:b/>
          <w:i/>
        </w:rPr>
        <w:t>помощи</w:t>
      </w:r>
      <w:r w:rsidRPr="00EF4E5E">
        <w:t xml:space="preserve"> от страната и чужбина (</w:t>
      </w:r>
      <w:r w:rsidR="005B4689" w:rsidRPr="00EF4E5E">
        <w:t>основно</w:t>
      </w:r>
      <w:r w:rsidRPr="00EF4E5E">
        <w:t xml:space="preserve"> помощи от фондовете на ЕС) са в размер на </w:t>
      </w:r>
      <w:r w:rsidR="00AF1E89" w:rsidRPr="00EF4E5E">
        <w:rPr>
          <w:b/>
        </w:rPr>
        <w:t>6</w:t>
      </w:r>
      <w:r w:rsidR="00EF4E5E" w:rsidRPr="00EF4E5E">
        <w:rPr>
          <w:b/>
        </w:rPr>
        <w:t>97,9</w:t>
      </w:r>
      <w:r w:rsidRPr="00EF4E5E">
        <w:rPr>
          <w:b/>
        </w:rPr>
        <w:t xml:space="preserve"> млн. лв.</w:t>
      </w:r>
      <w:r w:rsidR="006916AA" w:rsidRPr="00EF4E5E">
        <w:t xml:space="preserve"> </w:t>
      </w:r>
    </w:p>
    <w:p w:rsidR="00D4646A" w:rsidRPr="009B1721" w:rsidRDefault="00987CE4" w:rsidP="00D4646A">
      <w:pPr>
        <w:spacing w:before="120" w:after="120"/>
        <w:jc w:val="both"/>
      </w:pPr>
      <w:r w:rsidRPr="00E02F4E">
        <w:rPr>
          <w:b/>
        </w:rPr>
        <w:t>Разходите по консолидиран</w:t>
      </w:r>
      <w:r w:rsidR="006F2870" w:rsidRPr="00E02F4E">
        <w:rPr>
          <w:b/>
        </w:rPr>
        <w:t>ата</w:t>
      </w:r>
      <w:r w:rsidRPr="00E02F4E">
        <w:rPr>
          <w:b/>
        </w:rPr>
        <w:t xml:space="preserve"> </w:t>
      </w:r>
      <w:r w:rsidR="006F2870" w:rsidRPr="00E02F4E">
        <w:rPr>
          <w:b/>
        </w:rPr>
        <w:t>фискална програма</w:t>
      </w:r>
      <w:r w:rsidRPr="00E02F4E">
        <w:rPr>
          <w:b/>
        </w:rPr>
        <w:t xml:space="preserve"> </w:t>
      </w:r>
      <w:r w:rsidRPr="00E02F4E">
        <w:t xml:space="preserve">(вкл. вноската на Република България в общия бюджет на ЕС) </w:t>
      </w:r>
      <w:r w:rsidR="0084568A" w:rsidRPr="00E02F4E">
        <w:t>към 3</w:t>
      </w:r>
      <w:r w:rsidR="00E02F4E" w:rsidRPr="00E02F4E">
        <w:t>0</w:t>
      </w:r>
      <w:r w:rsidR="0084568A" w:rsidRPr="00E02F4E">
        <w:t>.0</w:t>
      </w:r>
      <w:r w:rsidR="00E02F4E" w:rsidRPr="00E02F4E">
        <w:t>6</w:t>
      </w:r>
      <w:r w:rsidR="0084568A" w:rsidRPr="00E02F4E">
        <w:t>.201</w:t>
      </w:r>
      <w:r w:rsidR="009A38EA" w:rsidRPr="00E02F4E">
        <w:t>8</w:t>
      </w:r>
      <w:r w:rsidR="0084568A" w:rsidRPr="00E02F4E">
        <w:t xml:space="preserve"> г.</w:t>
      </w:r>
      <w:r w:rsidR="0084568A" w:rsidRPr="00E02F4E">
        <w:rPr>
          <w:b/>
        </w:rPr>
        <w:t xml:space="preserve"> са в размер на </w:t>
      </w:r>
      <w:r w:rsidR="00E02F4E" w:rsidRPr="00E02F4E">
        <w:rPr>
          <w:b/>
        </w:rPr>
        <w:t>17 496,1</w:t>
      </w:r>
      <w:r w:rsidR="009A38EA" w:rsidRPr="00E02F4E">
        <w:rPr>
          <w:b/>
        </w:rPr>
        <w:t xml:space="preserve"> млн. лв., </w:t>
      </w:r>
      <w:r w:rsidR="009A38EA" w:rsidRPr="00E02F4E">
        <w:t xml:space="preserve">което представлява </w:t>
      </w:r>
      <w:r w:rsidR="00E02F4E" w:rsidRPr="00E02F4E">
        <w:t>44,5</w:t>
      </w:r>
      <w:r w:rsidR="009A38EA" w:rsidRPr="00E02F4E">
        <w:t xml:space="preserve"> % от годишния разчет. За сравнение разходите за същия период на предходната година са в размер на </w:t>
      </w:r>
      <w:r w:rsidR="00E02F4E" w:rsidRPr="00E02F4E">
        <w:t>15 737,3</w:t>
      </w:r>
      <w:r w:rsidR="009A38EA" w:rsidRPr="00E02F4E">
        <w:t xml:space="preserve"> млн. лева. </w:t>
      </w:r>
      <w:r w:rsidR="00E02F4E" w:rsidRPr="001B5F6D">
        <w:t xml:space="preserve">Номиналното нарастване се дължи както на по-високия размер на разходите по националния бюджет, така и на нарастването на разходите по сметките за средствата от Европейския съюз. </w:t>
      </w:r>
      <w:r w:rsidR="00E02F4E" w:rsidRPr="005F0321">
        <w:t xml:space="preserve">Ръстът на разходите по националния бюджет се дължи основно на по-високия размер на здравноосигурителните и социалните плащания (базов ефект при разходите за пенсии от увеличението от юли 2017 г. и увеличението на две стъпки през 2017 г. на размера на минималната пенсия от юли и октомври), по-високите разходи за персонал основно поради увеличението на възнагражденията на педагогическия персонал в системата на средното образование и др., докато по сметките за средства от ЕС </w:t>
      </w:r>
      <w:r w:rsidR="00E02F4E" w:rsidRPr="009B1721">
        <w:t>нарастват основно капиталовите разходи.</w:t>
      </w:r>
    </w:p>
    <w:p w:rsidR="00D8005C" w:rsidRPr="009B1721" w:rsidRDefault="003A4129" w:rsidP="00D4646A">
      <w:pPr>
        <w:spacing w:before="120" w:after="120"/>
        <w:jc w:val="both"/>
      </w:pPr>
      <w:r w:rsidRPr="009B1721">
        <w:rPr>
          <w:b/>
          <w:i/>
        </w:rPr>
        <w:t>Нелихвените разходи</w:t>
      </w:r>
      <w:r w:rsidRPr="009B1721">
        <w:t xml:space="preserve"> са в размер на </w:t>
      </w:r>
      <w:r w:rsidR="00E02F4E" w:rsidRPr="009B1721">
        <w:t>16 495,6</w:t>
      </w:r>
      <w:r w:rsidRPr="009B1721">
        <w:t xml:space="preserve"> млн. лв., което представлява </w:t>
      </w:r>
      <w:r w:rsidR="00E02F4E" w:rsidRPr="009B1721">
        <w:t>44</w:t>
      </w:r>
      <w:r w:rsidRPr="009B1721">
        <w:t xml:space="preserve">,3 % от годишния разчет. </w:t>
      </w:r>
      <w:r w:rsidRPr="009B1721">
        <w:rPr>
          <w:i/>
        </w:rPr>
        <w:t>Текущите нелихвени разходи</w:t>
      </w:r>
      <w:r w:rsidRPr="009B1721">
        <w:t xml:space="preserve"> са в размер на </w:t>
      </w:r>
      <w:r w:rsidR="009B1721" w:rsidRPr="009B1721">
        <w:t>15 154,7</w:t>
      </w:r>
      <w:r w:rsidRPr="009B1721">
        <w:t> млн. лв. (</w:t>
      </w:r>
      <w:r w:rsidR="009B1721" w:rsidRPr="009B1721">
        <w:t>48</w:t>
      </w:r>
      <w:r w:rsidRPr="009B1721">
        <w:t xml:space="preserve">,7 % от разчета за годината). </w:t>
      </w:r>
      <w:r w:rsidRPr="009B1721">
        <w:rPr>
          <w:i/>
        </w:rPr>
        <w:t>Капиталовите разходи</w:t>
      </w:r>
      <w:r w:rsidRPr="009B1721">
        <w:t xml:space="preserve"> (вкл. нетния прираст на държавния резерв) възлизат на </w:t>
      </w:r>
      <w:r w:rsidR="009B1721" w:rsidRPr="009B1721">
        <w:t>1 312,1</w:t>
      </w:r>
      <w:r w:rsidRPr="009B1721">
        <w:t xml:space="preserve"> млн. лв. (</w:t>
      </w:r>
      <w:r w:rsidR="009B1721" w:rsidRPr="009B1721">
        <w:t>21,3</w:t>
      </w:r>
      <w:r w:rsidRPr="009B1721">
        <w:t xml:space="preserve"> % от разчетите към ЗДБРБ за 2018 г.). </w:t>
      </w:r>
      <w:r w:rsidRPr="009B1721">
        <w:rPr>
          <w:i/>
        </w:rPr>
        <w:t>Предоставените текущи и капиталови трансфери за чужбина</w:t>
      </w:r>
      <w:r w:rsidRPr="009B1721">
        <w:t xml:space="preserve"> са в размер на </w:t>
      </w:r>
      <w:r w:rsidR="009B1721" w:rsidRPr="009B1721">
        <w:t>28,8</w:t>
      </w:r>
      <w:r w:rsidRPr="009B1721">
        <w:t xml:space="preserve"> млн. лв.</w:t>
      </w:r>
      <w:r w:rsidR="009B1721" w:rsidRPr="009B1721">
        <w:t xml:space="preserve"> при планирани 14,4 млн. лв.</w:t>
      </w:r>
      <w:r w:rsidRPr="009B1721">
        <w:t xml:space="preserve"> </w:t>
      </w:r>
      <w:r w:rsidR="009B1721" w:rsidRPr="009B1721">
        <w:t>с разчетите за 2018 г.</w:t>
      </w:r>
      <w:r w:rsidRPr="009B1721">
        <w:t xml:space="preserve"> </w:t>
      </w:r>
      <w:r w:rsidRPr="009B1721">
        <w:rPr>
          <w:b/>
          <w:i/>
        </w:rPr>
        <w:t>Лихвените плащания</w:t>
      </w:r>
      <w:r w:rsidRPr="009B1721">
        <w:t xml:space="preserve"> са в размер на </w:t>
      </w:r>
      <w:r w:rsidR="009B1721" w:rsidRPr="009B1721">
        <w:t>424,2</w:t>
      </w:r>
      <w:r w:rsidRPr="009B1721">
        <w:t> млн. лв. (5</w:t>
      </w:r>
      <w:r w:rsidR="009B1721" w:rsidRPr="009B1721">
        <w:t>8,7</w:t>
      </w:r>
      <w:r w:rsidRPr="009B1721">
        <w:t> % от планираните за 2018 година).</w:t>
      </w:r>
    </w:p>
    <w:p w:rsidR="00F24D6A" w:rsidRPr="00286746" w:rsidRDefault="009B1713" w:rsidP="00F24D6A">
      <w:pPr>
        <w:spacing w:after="120"/>
        <w:jc w:val="both"/>
      </w:pPr>
      <w:r w:rsidRPr="00F24D6A">
        <w:rPr>
          <w:b/>
        </w:rPr>
        <w:t>Частта от вноската на Република България в общия бюджет на ЕС</w:t>
      </w:r>
      <w:r w:rsidRPr="00F24D6A">
        <w:t>,</w:t>
      </w:r>
      <w:r w:rsidR="006176D9" w:rsidRPr="00F24D6A">
        <w:t xml:space="preserve"> </w:t>
      </w:r>
      <w:r w:rsidR="00F24D6A" w:rsidRPr="00F24D6A">
        <w:t xml:space="preserve">изплатена към </w:t>
      </w:r>
      <w:r w:rsidR="00F24D6A" w:rsidRPr="00286746">
        <w:t xml:space="preserve">30.06.2018 г. от централния бюджет, възлиза на </w:t>
      </w:r>
      <w:r w:rsidR="00F24D6A" w:rsidRPr="00286746">
        <w:rPr>
          <w:b/>
        </w:rPr>
        <w:t>576,3 млн. лв.</w:t>
      </w:r>
      <w:r w:rsidR="00F24D6A" w:rsidRPr="00286746">
        <w:t xml:space="preserve">, което е в изпълнение на действащото към момента законодателство в областта на собствените ресурси на ЕС - Решение на Съвета 2014/335/ЕС, </w:t>
      </w:r>
      <w:proofErr w:type="spellStart"/>
      <w:r w:rsidR="00F24D6A" w:rsidRPr="00286746">
        <w:t>Евратом</w:t>
      </w:r>
      <w:proofErr w:type="spellEnd"/>
      <w:r w:rsidR="00F24D6A" w:rsidRPr="00286746">
        <w:t xml:space="preserve"> относно системата на собствените ресурси на Европейския съюз, Регламент (ЕС, </w:t>
      </w:r>
      <w:proofErr w:type="spellStart"/>
      <w:r w:rsidR="00F24D6A" w:rsidRPr="00286746">
        <w:t>Евратом</w:t>
      </w:r>
      <w:proofErr w:type="spellEnd"/>
      <w:r w:rsidR="00F24D6A" w:rsidRPr="00286746">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00F24D6A" w:rsidRPr="00286746">
        <w:t>Евратом</w:t>
      </w:r>
      <w:proofErr w:type="spellEnd"/>
      <w:r w:rsidR="00F24D6A" w:rsidRPr="00286746">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00F24D6A" w:rsidRPr="00286746">
        <w:t>Евратом</w:t>
      </w:r>
      <w:proofErr w:type="spellEnd"/>
      <w:r w:rsidR="00F24D6A" w:rsidRPr="00286746">
        <w:t>) 2016/804 на Съвета от 17 май 2016 г., в т.ч.:</w:t>
      </w:r>
    </w:p>
    <w:p w:rsidR="00F24D6A" w:rsidRPr="00286746" w:rsidRDefault="00F24D6A" w:rsidP="00F24D6A">
      <w:pPr>
        <w:numPr>
          <w:ilvl w:val="0"/>
          <w:numId w:val="13"/>
        </w:numPr>
        <w:tabs>
          <w:tab w:val="clear" w:pos="1500"/>
          <w:tab w:val="num" w:pos="720"/>
        </w:tabs>
        <w:ind w:left="709" w:hanging="283"/>
        <w:jc w:val="both"/>
      </w:pPr>
      <w:r w:rsidRPr="00286746">
        <w:t>ресурс на база брутен национален доход – 361,6 млн. лв.;</w:t>
      </w:r>
    </w:p>
    <w:p w:rsidR="00F24D6A" w:rsidRPr="00286746" w:rsidRDefault="00F24D6A" w:rsidP="00F24D6A">
      <w:pPr>
        <w:numPr>
          <w:ilvl w:val="0"/>
          <w:numId w:val="13"/>
        </w:numPr>
        <w:tabs>
          <w:tab w:val="clear" w:pos="1500"/>
          <w:tab w:val="num" w:pos="720"/>
        </w:tabs>
        <w:ind w:left="709" w:hanging="283"/>
        <w:jc w:val="both"/>
      </w:pPr>
      <w:r w:rsidRPr="00286746">
        <w:t>ресурс на база данък върху добавената стойност – 85,2 млн. лв.;</w:t>
      </w:r>
    </w:p>
    <w:p w:rsidR="00F24D6A" w:rsidRPr="00286746" w:rsidRDefault="00F24D6A" w:rsidP="00F24D6A">
      <w:pPr>
        <w:numPr>
          <w:ilvl w:val="0"/>
          <w:numId w:val="13"/>
        </w:numPr>
        <w:tabs>
          <w:tab w:val="clear" w:pos="1500"/>
          <w:tab w:val="num" w:pos="720"/>
        </w:tabs>
        <w:ind w:left="709" w:hanging="283"/>
        <w:jc w:val="both"/>
      </w:pPr>
      <w:r w:rsidRPr="00286746">
        <w:t>корекция за Обединеното кралство – 30,6 млн. лв.;</w:t>
      </w:r>
    </w:p>
    <w:p w:rsidR="00F24D6A" w:rsidRPr="00286746" w:rsidRDefault="00F24D6A" w:rsidP="00F24D6A">
      <w:pPr>
        <w:numPr>
          <w:ilvl w:val="0"/>
          <w:numId w:val="13"/>
        </w:numPr>
        <w:tabs>
          <w:tab w:val="clear" w:pos="1500"/>
          <w:tab w:val="num" w:pos="720"/>
        </w:tabs>
        <w:ind w:left="709" w:hanging="283"/>
        <w:jc w:val="both"/>
      </w:pPr>
      <w:r w:rsidRPr="00286746">
        <w:t>традиционни собствени ресурси (мита и налози върху захарта) – 94,9 млн. лв.;</w:t>
      </w:r>
    </w:p>
    <w:p w:rsidR="00F24D6A" w:rsidRPr="00286746" w:rsidRDefault="00F24D6A" w:rsidP="00F24D6A">
      <w:pPr>
        <w:numPr>
          <w:ilvl w:val="0"/>
          <w:numId w:val="13"/>
        </w:numPr>
        <w:tabs>
          <w:tab w:val="clear" w:pos="1500"/>
        </w:tabs>
        <w:ind w:left="709" w:hanging="283"/>
        <w:jc w:val="both"/>
      </w:pPr>
      <w:r w:rsidRPr="00286746">
        <w:t>участие във финансиране на брутното намаление за Нидерландия, Швеция, Дания и Австрия – 4,0 млн. лв.</w:t>
      </w:r>
    </w:p>
    <w:p w:rsidR="0055394B" w:rsidRPr="009B1721" w:rsidRDefault="008B21AD" w:rsidP="00F24D6A">
      <w:pPr>
        <w:spacing w:before="120"/>
        <w:jc w:val="both"/>
        <w:rPr>
          <w:bCs/>
        </w:rPr>
      </w:pPr>
      <w:r w:rsidRPr="009B1721">
        <w:rPr>
          <w:b/>
        </w:rPr>
        <w:t>Бюджетното салдо</w:t>
      </w:r>
      <w:r w:rsidRPr="009B1721">
        <w:rPr>
          <w:bCs/>
        </w:rPr>
        <w:t xml:space="preserve"> по консолидираната фискална програма </w:t>
      </w:r>
      <w:r w:rsidRPr="009B1721">
        <w:t>към</w:t>
      </w:r>
      <w:r w:rsidRPr="009B1721">
        <w:rPr>
          <w:bCs/>
        </w:rPr>
        <w:t xml:space="preserve"> </w:t>
      </w:r>
      <w:r w:rsidR="009B1721" w:rsidRPr="009B1721">
        <w:rPr>
          <w:bCs/>
        </w:rPr>
        <w:t>юни</w:t>
      </w:r>
      <w:r w:rsidRPr="009B1721">
        <w:rPr>
          <w:b/>
        </w:rPr>
        <w:t xml:space="preserve"> </w:t>
      </w:r>
      <w:r w:rsidRPr="009B1721">
        <w:rPr>
          <w:bCs/>
        </w:rPr>
        <w:t xml:space="preserve">2018 г. е </w:t>
      </w:r>
      <w:r w:rsidRPr="009B1721">
        <w:rPr>
          <w:b/>
          <w:bCs/>
        </w:rPr>
        <w:t>положително</w:t>
      </w:r>
      <w:r w:rsidRPr="009B1721">
        <w:rPr>
          <w:bCs/>
        </w:rPr>
        <w:t xml:space="preserve"> в размер на </w:t>
      </w:r>
      <w:r w:rsidR="009B1721" w:rsidRPr="009B1721">
        <w:rPr>
          <w:b/>
          <w:bCs/>
        </w:rPr>
        <w:t>1 </w:t>
      </w:r>
      <w:r w:rsidRPr="009B1721">
        <w:rPr>
          <w:b/>
          <w:bCs/>
        </w:rPr>
        <w:t>7</w:t>
      </w:r>
      <w:r w:rsidR="009B1721" w:rsidRPr="009B1721">
        <w:rPr>
          <w:b/>
          <w:bCs/>
        </w:rPr>
        <w:t>13,9</w:t>
      </w:r>
      <w:r w:rsidRPr="009B1721">
        <w:rPr>
          <w:b/>
          <w:bCs/>
        </w:rPr>
        <w:t xml:space="preserve"> </w:t>
      </w:r>
      <w:r w:rsidRPr="009B1721">
        <w:rPr>
          <w:b/>
        </w:rPr>
        <w:t>млн. лв.</w:t>
      </w:r>
      <w:r w:rsidRPr="009B1721">
        <w:t xml:space="preserve"> (</w:t>
      </w:r>
      <w:r w:rsidR="009B1721" w:rsidRPr="009B1721">
        <w:t>1</w:t>
      </w:r>
      <w:r w:rsidRPr="009B1721">
        <w:t xml:space="preserve">,6 % от прогнозния БВП) и </w:t>
      </w:r>
      <w:r w:rsidRPr="009B1721">
        <w:rPr>
          <w:bCs/>
        </w:rPr>
        <w:t xml:space="preserve">се формира от </w:t>
      </w:r>
      <w:r w:rsidRPr="009B1721">
        <w:t xml:space="preserve">излишък по националния бюджет в размер на </w:t>
      </w:r>
      <w:r w:rsidR="009B1721" w:rsidRPr="009B1721">
        <w:t>2 014,4</w:t>
      </w:r>
      <w:r w:rsidRPr="009B1721">
        <w:t xml:space="preserve"> млн. лв. и дефицит по европейските средства в размер на </w:t>
      </w:r>
      <w:r w:rsidR="009B1721" w:rsidRPr="009B1721">
        <w:t>300,5</w:t>
      </w:r>
      <w:r w:rsidRPr="009B1721">
        <w:t xml:space="preserve"> млн. лева</w:t>
      </w:r>
      <w:r w:rsidR="00284488" w:rsidRPr="009B1721">
        <w:t>.</w:t>
      </w:r>
    </w:p>
    <w:p w:rsidR="00987CE4" w:rsidRPr="000900E3" w:rsidRDefault="00987CE4" w:rsidP="00337CA7">
      <w:pPr>
        <w:numPr>
          <w:ilvl w:val="0"/>
          <w:numId w:val="9"/>
        </w:numPr>
        <w:tabs>
          <w:tab w:val="num" w:pos="0"/>
          <w:tab w:val="left" w:pos="540"/>
          <w:tab w:val="left" w:pos="720"/>
        </w:tabs>
        <w:spacing w:before="120" w:after="60"/>
        <w:ind w:left="0" w:firstLine="425"/>
        <w:jc w:val="both"/>
      </w:pPr>
      <w:r w:rsidRPr="009B1721">
        <w:rPr>
          <w:b/>
          <w:bCs/>
        </w:rPr>
        <w:t xml:space="preserve">Общият размер на касовите постъпления от </w:t>
      </w:r>
      <w:r w:rsidR="0055394B" w:rsidRPr="009B1721">
        <w:rPr>
          <w:b/>
          <w:bCs/>
        </w:rPr>
        <w:t>ЕС</w:t>
      </w:r>
      <w:r w:rsidR="0055394B" w:rsidRPr="009B1721">
        <w:rPr>
          <w:bCs/>
        </w:rPr>
        <w:t xml:space="preserve"> (от Структурните и </w:t>
      </w:r>
      <w:proofErr w:type="spellStart"/>
      <w:r w:rsidR="0055394B" w:rsidRPr="009B1721">
        <w:rPr>
          <w:bCs/>
        </w:rPr>
        <w:t>Кохезионния</w:t>
      </w:r>
      <w:proofErr w:type="spellEnd"/>
      <w:r w:rsidR="0055394B" w:rsidRPr="009B1721">
        <w:rPr>
          <w:bCs/>
        </w:rPr>
        <w:t xml:space="preserve"> фондове, от</w:t>
      </w:r>
      <w:r w:rsidR="0055394B" w:rsidRPr="009B1721">
        <w:t xml:space="preserve"> ЕЗФРСР и ЕФР</w:t>
      </w:r>
      <w:r w:rsidR="0055394B" w:rsidRPr="009B1721">
        <w:rPr>
          <w:bCs/>
        </w:rPr>
        <w:t xml:space="preserve">, от средства за директни плащания към земеделските производители и плащания по пазарни мерки и др.) за </w:t>
      </w:r>
      <w:r w:rsidR="00FD6EA3" w:rsidRPr="009B1721">
        <w:rPr>
          <w:bCs/>
        </w:rPr>
        <w:t xml:space="preserve">първото </w:t>
      </w:r>
      <w:r w:rsidR="009B1721" w:rsidRPr="009B1721">
        <w:rPr>
          <w:bCs/>
        </w:rPr>
        <w:t>полугод</w:t>
      </w:r>
      <w:r w:rsidR="00FD6EA3" w:rsidRPr="009B1721">
        <w:rPr>
          <w:bCs/>
        </w:rPr>
        <w:t xml:space="preserve">ие </w:t>
      </w:r>
      <w:r w:rsidR="0055394B" w:rsidRPr="009B1721">
        <w:rPr>
          <w:bCs/>
        </w:rPr>
        <w:t xml:space="preserve">на </w:t>
      </w:r>
      <w:r w:rsidR="0055394B" w:rsidRPr="000900E3">
        <w:rPr>
          <w:bCs/>
        </w:rPr>
        <w:t>201</w:t>
      </w:r>
      <w:r w:rsidR="009006AA" w:rsidRPr="000900E3">
        <w:rPr>
          <w:bCs/>
        </w:rPr>
        <w:t>8</w:t>
      </w:r>
      <w:r w:rsidR="0055394B" w:rsidRPr="000900E3">
        <w:rPr>
          <w:bCs/>
        </w:rPr>
        <w:t xml:space="preserve"> г. е </w:t>
      </w:r>
      <w:r w:rsidR="009006AA" w:rsidRPr="000900E3">
        <w:rPr>
          <w:b/>
          <w:bCs/>
        </w:rPr>
        <w:t>1</w:t>
      </w:r>
      <w:r w:rsidR="000900E3" w:rsidRPr="000900E3">
        <w:rPr>
          <w:b/>
          <w:bCs/>
        </w:rPr>
        <w:t> 674,8</w:t>
      </w:r>
      <w:r w:rsidR="0055394B" w:rsidRPr="000900E3">
        <w:rPr>
          <w:b/>
          <w:bCs/>
        </w:rPr>
        <w:t xml:space="preserve"> млн. лв.</w:t>
      </w:r>
      <w:r w:rsidR="0055394B" w:rsidRPr="000900E3">
        <w:rPr>
          <w:b/>
        </w:rPr>
        <w:t xml:space="preserve"> </w:t>
      </w:r>
      <w:r w:rsidR="0055394B" w:rsidRPr="000900E3">
        <w:rPr>
          <w:b/>
          <w:bCs/>
        </w:rPr>
        <w:t>Нетните постъпления от ЕС към 3</w:t>
      </w:r>
      <w:r w:rsidR="009B1721" w:rsidRPr="000900E3">
        <w:rPr>
          <w:b/>
          <w:bCs/>
        </w:rPr>
        <w:t>0</w:t>
      </w:r>
      <w:r w:rsidR="0055394B" w:rsidRPr="000900E3">
        <w:rPr>
          <w:b/>
          <w:bCs/>
        </w:rPr>
        <w:t>.</w:t>
      </w:r>
      <w:r w:rsidR="00C40557" w:rsidRPr="000900E3">
        <w:rPr>
          <w:b/>
          <w:bCs/>
        </w:rPr>
        <w:t>0</w:t>
      </w:r>
      <w:r w:rsidR="009B1721" w:rsidRPr="000900E3">
        <w:rPr>
          <w:b/>
          <w:bCs/>
        </w:rPr>
        <w:t>6</w:t>
      </w:r>
      <w:r w:rsidR="0055394B" w:rsidRPr="000900E3">
        <w:rPr>
          <w:b/>
          <w:bCs/>
        </w:rPr>
        <w:t>.201</w:t>
      </w:r>
      <w:r w:rsidR="009006AA" w:rsidRPr="000900E3">
        <w:rPr>
          <w:b/>
          <w:bCs/>
        </w:rPr>
        <w:t>8</w:t>
      </w:r>
      <w:r w:rsidR="0055394B" w:rsidRPr="000900E3">
        <w:rPr>
          <w:b/>
          <w:bCs/>
        </w:rPr>
        <w:t xml:space="preserve"> г. </w:t>
      </w:r>
      <w:r w:rsidR="0055394B" w:rsidRPr="000900E3">
        <w:rPr>
          <w:bCs/>
        </w:rPr>
        <w:t xml:space="preserve">(касови постъпления от ЕС, намалени </w:t>
      </w:r>
      <w:r w:rsidR="005C0F0A" w:rsidRPr="000900E3">
        <w:rPr>
          <w:bCs/>
        </w:rPr>
        <w:t xml:space="preserve">с </w:t>
      </w:r>
      <w:r w:rsidR="0055394B" w:rsidRPr="000900E3">
        <w:rPr>
          <w:bCs/>
        </w:rPr>
        <w:t xml:space="preserve">вноската в общия бюджет на ЕС) са положителни в размер на </w:t>
      </w:r>
      <w:r w:rsidR="000900E3" w:rsidRPr="000900E3">
        <w:rPr>
          <w:b/>
          <w:bCs/>
        </w:rPr>
        <w:t>1 098,5</w:t>
      </w:r>
      <w:r w:rsidR="0055394B" w:rsidRPr="000900E3">
        <w:rPr>
          <w:b/>
          <w:bCs/>
        </w:rPr>
        <w:t xml:space="preserve"> млн. лева</w:t>
      </w:r>
      <w:r w:rsidR="0055394B" w:rsidRPr="000900E3">
        <w:t>.</w:t>
      </w:r>
    </w:p>
    <w:p w:rsidR="00987CE4" w:rsidRPr="000119C6" w:rsidRDefault="00987CE4" w:rsidP="00337CA7">
      <w:pPr>
        <w:numPr>
          <w:ilvl w:val="2"/>
          <w:numId w:val="17"/>
        </w:numPr>
        <w:tabs>
          <w:tab w:val="clear" w:pos="2880"/>
        </w:tabs>
        <w:spacing w:before="120" w:after="120"/>
        <w:ind w:left="0" w:firstLine="357"/>
        <w:jc w:val="both"/>
        <w:rPr>
          <w:color w:val="0070C0"/>
          <w:sz w:val="8"/>
          <w:szCs w:val="8"/>
        </w:rPr>
      </w:pPr>
      <w:r w:rsidRPr="000900E3">
        <w:rPr>
          <w:b/>
        </w:rPr>
        <w:lastRenderedPageBreak/>
        <w:t>Фискалният резерв</w:t>
      </w:r>
      <w:r w:rsidR="00E74802" w:rsidRPr="000900E3">
        <w:rPr>
          <w:b/>
          <w:bCs/>
          <w:vertAlign w:val="superscript"/>
          <w:lang w:eastAsia="bg-BG"/>
        </w:rPr>
        <w:footnoteReference w:id="4"/>
      </w:r>
      <w:r w:rsidR="007E28C4" w:rsidRPr="000900E3">
        <w:rPr>
          <w:bCs/>
          <w:lang w:eastAsia="bg-BG"/>
        </w:rPr>
        <w:t xml:space="preserve"> към 3</w:t>
      </w:r>
      <w:r w:rsidR="000900E3" w:rsidRPr="000900E3">
        <w:rPr>
          <w:bCs/>
          <w:lang w:eastAsia="bg-BG"/>
        </w:rPr>
        <w:t>0</w:t>
      </w:r>
      <w:r w:rsidR="007E28C4" w:rsidRPr="000900E3">
        <w:rPr>
          <w:bCs/>
          <w:lang w:eastAsia="bg-BG"/>
        </w:rPr>
        <w:t>.0</w:t>
      </w:r>
      <w:r w:rsidR="000900E3" w:rsidRPr="000900E3">
        <w:rPr>
          <w:bCs/>
          <w:lang w:eastAsia="bg-BG"/>
        </w:rPr>
        <w:t>6</w:t>
      </w:r>
      <w:r w:rsidR="007E28C4" w:rsidRPr="000900E3">
        <w:rPr>
          <w:bCs/>
          <w:lang w:eastAsia="bg-BG"/>
        </w:rPr>
        <w:t>.201</w:t>
      </w:r>
      <w:r w:rsidR="00BD4E44" w:rsidRPr="000900E3">
        <w:rPr>
          <w:bCs/>
          <w:lang w:eastAsia="bg-BG"/>
        </w:rPr>
        <w:t>8</w:t>
      </w:r>
      <w:r w:rsidR="007E28C4" w:rsidRPr="000900E3">
        <w:rPr>
          <w:bCs/>
          <w:lang w:eastAsia="bg-BG"/>
        </w:rPr>
        <w:t xml:space="preserve"> г. е </w:t>
      </w:r>
      <w:r w:rsidR="000900E3" w:rsidRPr="000900E3">
        <w:rPr>
          <w:b/>
          <w:bCs/>
        </w:rPr>
        <w:t>10,83 млрд. лв</w:t>
      </w:r>
      <w:r w:rsidR="000900E3" w:rsidRPr="000900E3">
        <w:rPr>
          <w:bCs/>
        </w:rPr>
        <w:t xml:space="preserve">., в т.ч. 9,87 млрд. лв. депозити </w:t>
      </w:r>
      <w:r w:rsidR="000900E3" w:rsidRPr="00E226C7">
        <w:rPr>
          <w:bCs/>
        </w:rPr>
        <w:t>на фискалния резерв в БНБ и банки и 0,96 млрд. лв. вземания от фондовете на Европейския съюз за сертифицирани разходи, аванси и други</w:t>
      </w:r>
      <w:r w:rsidR="000900E3" w:rsidRPr="00AB6C7E">
        <w:rPr>
          <w:bCs/>
        </w:rPr>
        <w:t>.</w:t>
      </w:r>
      <w:r w:rsidR="007E28C4" w:rsidRPr="000119C6">
        <w:rPr>
          <w:bCs/>
          <w:color w:val="0070C0"/>
          <w:lang w:eastAsia="bg-BG"/>
        </w:rPr>
        <w:t>.</w:t>
      </w:r>
      <w:r w:rsidRPr="000119C6">
        <w:rPr>
          <w:bCs/>
          <w:color w:val="0070C0"/>
        </w:rPr>
        <w:t xml:space="preserve"> </w:t>
      </w:r>
    </w:p>
    <w:p w:rsidR="00EE235A" w:rsidRPr="000900E3" w:rsidRDefault="00EE235A" w:rsidP="00337CA7">
      <w:pPr>
        <w:pStyle w:val="Heading1"/>
        <w:numPr>
          <w:ilvl w:val="0"/>
          <w:numId w:val="10"/>
        </w:numPr>
        <w:ind w:right="-108"/>
        <w:jc w:val="both"/>
        <w:rPr>
          <w:sz w:val="24"/>
        </w:rPr>
      </w:pPr>
      <w:r w:rsidRPr="000900E3">
        <w:rPr>
          <w:sz w:val="24"/>
        </w:rPr>
        <w:t>Изпълнение на държавния бюджет</w:t>
      </w:r>
      <w:r w:rsidR="001E7EA4" w:rsidRPr="000900E3">
        <w:rPr>
          <w:rStyle w:val="FootnoteReference"/>
          <w:bCs w:val="0"/>
          <w:sz w:val="20"/>
          <w:szCs w:val="20"/>
        </w:rPr>
        <w:footnoteReference w:id="5"/>
      </w:r>
      <w:r w:rsidRPr="000900E3">
        <w:rPr>
          <w:sz w:val="24"/>
        </w:rPr>
        <w:t xml:space="preserve"> към </w:t>
      </w:r>
      <w:r w:rsidR="000900E3" w:rsidRPr="000900E3">
        <w:rPr>
          <w:sz w:val="24"/>
        </w:rPr>
        <w:t>юни</w:t>
      </w:r>
      <w:r w:rsidR="00616AAF" w:rsidRPr="000900E3">
        <w:rPr>
          <w:sz w:val="24"/>
        </w:rPr>
        <w:t xml:space="preserve"> </w:t>
      </w:r>
      <w:r w:rsidRPr="000900E3">
        <w:rPr>
          <w:sz w:val="24"/>
        </w:rPr>
        <w:t>201</w:t>
      </w:r>
      <w:r w:rsidR="00EB0322" w:rsidRPr="000900E3">
        <w:rPr>
          <w:sz w:val="24"/>
          <w:lang w:val="en-US"/>
        </w:rPr>
        <w:t>8</w:t>
      </w:r>
      <w:r w:rsidRPr="000900E3">
        <w:rPr>
          <w:sz w:val="24"/>
        </w:rPr>
        <w:t xml:space="preserve"> г.</w:t>
      </w:r>
    </w:p>
    <w:p w:rsidR="00F226B6" w:rsidRPr="00304DDA" w:rsidRDefault="00F226B6" w:rsidP="00F226B6">
      <w:pPr>
        <w:tabs>
          <w:tab w:val="left" w:pos="1080"/>
        </w:tabs>
        <w:spacing w:before="120"/>
        <w:jc w:val="both"/>
      </w:pPr>
      <w:r w:rsidRPr="00304DDA">
        <w:t>Изпълнението на основните показатели по държавния бюджет, на база месечните отчети на първостепенните разпоредители с бюджет е, както следва:</w:t>
      </w:r>
    </w:p>
    <w:p w:rsidR="00F226B6" w:rsidRPr="00304DDA" w:rsidRDefault="00F226B6" w:rsidP="00F226B6">
      <w:pPr>
        <w:tabs>
          <w:tab w:val="left" w:pos="1080"/>
        </w:tabs>
        <w:spacing w:before="120"/>
        <w:jc w:val="both"/>
        <w:rPr>
          <w:sz w:val="2"/>
          <w:szCs w:val="2"/>
        </w:rPr>
      </w:pPr>
    </w:p>
    <w:p w:rsidR="00F226B6" w:rsidRPr="00304DDA" w:rsidRDefault="00F226B6" w:rsidP="00F226B6">
      <w:pPr>
        <w:ind w:right="-242"/>
        <w:rPr>
          <w:b/>
          <w:bCs/>
          <w:sz w:val="20"/>
          <w:szCs w:val="20"/>
          <w:lang w:eastAsia="bg-BG"/>
        </w:rPr>
      </w:pPr>
      <w:r w:rsidRPr="00304DDA">
        <w:rPr>
          <w:b/>
          <w:bCs/>
          <w:sz w:val="20"/>
          <w:szCs w:val="20"/>
          <w:lang w:eastAsia="bg-BG"/>
        </w:rPr>
        <w:t xml:space="preserve">            Таблица</w:t>
      </w:r>
      <w:r w:rsidRPr="00304DDA">
        <w:rPr>
          <w:b/>
          <w:bCs/>
          <w:sz w:val="20"/>
          <w:szCs w:val="20"/>
          <w:vertAlign w:val="superscript"/>
          <w:lang w:eastAsia="bg-BG"/>
        </w:rPr>
        <w:footnoteReference w:id="6"/>
      </w:r>
      <w:r w:rsidRPr="00304DDA">
        <w:rPr>
          <w:b/>
          <w:bCs/>
          <w:sz w:val="20"/>
          <w:szCs w:val="20"/>
          <w:lang w:eastAsia="bg-BG"/>
        </w:rPr>
        <w:t xml:space="preserve">  №</w:t>
      </w:r>
      <w:r w:rsidR="00182A94" w:rsidRPr="00304DDA">
        <w:rPr>
          <w:b/>
          <w:bCs/>
          <w:sz w:val="20"/>
          <w:szCs w:val="20"/>
          <w:lang w:eastAsia="bg-BG"/>
        </w:rPr>
        <w:t>2</w:t>
      </w:r>
      <w:r w:rsidRPr="00304DDA">
        <w:rPr>
          <w:b/>
          <w:bCs/>
          <w:sz w:val="20"/>
          <w:szCs w:val="20"/>
          <w:lang w:eastAsia="bg-BG"/>
        </w:rPr>
        <w:t xml:space="preserve">      </w:t>
      </w:r>
      <w:r w:rsidRPr="00304DDA">
        <w:rPr>
          <w:b/>
          <w:bCs/>
          <w:sz w:val="20"/>
          <w:szCs w:val="20"/>
          <w:lang w:eastAsia="bg-BG"/>
        </w:rPr>
        <w:tab/>
      </w:r>
      <w:r w:rsidRPr="00304DDA">
        <w:rPr>
          <w:b/>
          <w:bCs/>
          <w:sz w:val="20"/>
          <w:szCs w:val="20"/>
          <w:lang w:eastAsia="bg-BG"/>
        </w:rPr>
        <w:tab/>
        <w:t xml:space="preserve">                                          </w:t>
      </w:r>
      <w:r w:rsidRPr="00304DDA">
        <w:rPr>
          <w:b/>
          <w:bCs/>
          <w:sz w:val="20"/>
          <w:szCs w:val="20"/>
          <w:lang w:eastAsia="bg-BG"/>
        </w:rPr>
        <w:tab/>
      </w:r>
      <w:r w:rsidRPr="00304DDA">
        <w:rPr>
          <w:b/>
          <w:bCs/>
          <w:sz w:val="20"/>
          <w:szCs w:val="20"/>
          <w:lang w:eastAsia="bg-BG"/>
        </w:rPr>
        <w:tab/>
      </w:r>
      <w:r w:rsidRPr="00304DDA">
        <w:rPr>
          <w:b/>
          <w:bCs/>
          <w:sz w:val="20"/>
          <w:szCs w:val="20"/>
          <w:lang w:eastAsia="bg-BG"/>
        </w:rPr>
        <w:tab/>
      </w:r>
      <w:r w:rsidRPr="00304DDA">
        <w:rPr>
          <w:b/>
          <w:bCs/>
          <w:sz w:val="20"/>
          <w:szCs w:val="20"/>
          <w:lang w:eastAsia="bg-BG"/>
        </w:rPr>
        <w:tab/>
        <w:t xml:space="preserve">  (млн. лв.)</w:t>
      </w:r>
    </w:p>
    <w:p w:rsidR="00F226B6" w:rsidRPr="00304DDA" w:rsidRDefault="00F226B6" w:rsidP="00F226B6">
      <w:pPr>
        <w:ind w:right="-242"/>
        <w:rPr>
          <w:b/>
          <w:bCs/>
          <w:sz w:val="6"/>
          <w:szCs w:val="6"/>
          <w:lang w:eastAsia="bg-BG"/>
        </w:rPr>
      </w:pPr>
    </w:p>
    <w:tbl>
      <w:tblPr>
        <w:tblW w:w="8642" w:type="dxa"/>
        <w:jc w:val="center"/>
        <w:tblInd w:w="-1068" w:type="dxa"/>
        <w:tblCellMar>
          <w:left w:w="70" w:type="dxa"/>
          <w:right w:w="70" w:type="dxa"/>
        </w:tblCellMar>
        <w:tblLook w:val="0000" w:firstRow="0" w:lastRow="0" w:firstColumn="0" w:lastColumn="0" w:noHBand="0" w:noVBand="0"/>
      </w:tblPr>
      <w:tblGrid>
        <w:gridCol w:w="4853"/>
        <w:gridCol w:w="1276"/>
        <w:gridCol w:w="1209"/>
        <w:gridCol w:w="1304"/>
      </w:tblGrid>
      <w:tr w:rsidR="00532E70" w:rsidRPr="00532E70" w:rsidTr="00F521AA">
        <w:trPr>
          <w:trHeight w:val="520"/>
          <w:jc w:val="center"/>
        </w:trPr>
        <w:tc>
          <w:tcPr>
            <w:tcW w:w="4853" w:type="dxa"/>
            <w:tcBorders>
              <w:top w:val="single" w:sz="8" w:space="0" w:color="auto"/>
              <w:left w:val="single" w:sz="8" w:space="0" w:color="auto"/>
              <w:bottom w:val="nil"/>
              <w:right w:val="single" w:sz="8" w:space="0" w:color="auto"/>
            </w:tcBorders>
            <w:shd w:val="clear" w:color="auto" w:fill="auto"/>
            <w:noWrap/>
            <w:vAlign w:val="center"/>
          </w:tcPr>
          <w:p w:rsidR="00532E70" w:rsidRPr="00532E70" w:rsidRDefault="00532E70" w:rsidP="00F521AA">
            <w:pPr>
              <w:jc w:val="center"/>
              <w:rPr>
                <w:b/>
                <w:bCs/>
                <w:sz w:val="18"/>
                <w:szCs w:val="18"/>
              </w:rPr>
            </w:pPr>
            <w:r w:rsidRPr="00532E70">
              <w:rPr>
                <w:b/>
                <w:bCs/>
                <w:sz w:val="18"/>
                <w:szCs w:val="18"/>
              </w:rPr>
              <w:t>ПОКАЗАТЕЛИ</w:t>
            </w:r>
          </w:p>
        </w:tc>
        <w:tc>
          <w:tcPr>
            <w:tcW w:w="1276" w:type="dxa"/>
            <w:tcBorders>
              <w:top w:val="single" w:sz="8" w:space="0" w:color="auto"/>
              <w:left w:val="nil"/>
              <w:bottom w:val="nil"/>
              <w:right w:val="nil"/>
            </w:tcBorders>
            <w:shd w:val="clear" w:color="auto" w:fill="auto"/>
            <w:vAlign w:val="center"/>
          </w:tcPr>
          <w:p w:rsidR="00532E70" w:rsidRPr="00532E70" w:rsidRDefault="00532E70" w:rsidP="00D32EAB">
            <w:pPr>
              <w:jc w:val="center"/>
              <w:rPr>
                <w:b/>
                <w:bCs/>
                <w:sz w:val="18"/>
                <w:szCs w:val="18"/>
              </w:rPr>
            </w:pPr>
            <w:r w:rsidRPr="00532E70">
              <w:rPr>
                <w:b/>
                <w:bCs/>
                <w:sz w:val="18"/>
                <w:szCs w:val="18"/>
              </w:rPr>
              <w:t>ЗДБРБ     2018 г.</w:t>
            </w:r>
            <w:r w:rsidRPr="00532E70">
              <w:rPr>
                <w:rStyle w:val="FootnoteReference"/>
                <w:b/>
                <w:bCs/>
                <w:sz w:val="20"/>
                <w:szCs w:val="20"/>
              </w:rPr>
              <w:t xml:space="preserve"> </w:t>
            </w:r>
          </w:p>
        </w:tc>
        <w:tc>
          <w:tcPr>
            <w:tcW w:w="1209" w:type="dxa"/>
            <w:tcBorders>
              <w:top w:val="single" w:sz="8" w:space="0" w:color="auto"/>
              <w:left w:val="nil"/>
              <w:bottom w:val="nil"/>
              <w:right w:val="nil"/>
            </w:tcBorders>
            <w:shd w:val="clear" w:color="auto" w:fill="auto"/>
            <w:vAlign w:val="center"/>
          </w:tcPr>
          <w:p w:rsidR="00532E70" w:rsidRPr="00532E70" w:rsidRDefault="00532E70" w:rsidP="00D32EAB">
            <w:pPr>
              <w:jc w:val="center"/>
              <w:rPr>
                <w:b/>
                <w:bCs/>
                <w:sz w:val="18"/>
                <w:szCs w:val="18"/>
              </w:rPr>
            </w:pPr>
            <w:r w:rsidRPr="00532E70">
              <w:rPr>
                <w:b/>
                <w:bCs/>
                <w:sz w:val="18"/>
                <w:szCs w:val="18"/>
              </w:rPr>
              <w:t xml:space="preserve">Отчет </w:t>
            </w:r>
          </w:p>
          <w:p w:rsidR="00532E70" w:rsidRPr="00532E70" w:rsidRDefault="00532E70" w:rsidP="00D32EAB">
            <w:pPr>
              <w:jc w:val="center"/>
              <w:rPr>
                <w:b/>
                <w:bCs/>
                <w:sz w:val="18"/>
                <w:szCs w:val="18"/>
              </w:rPr>
            </w:pPr>
            <w:r w:rsidRPr="00532E70">
              <w:rPr>
                <w:b/>
                <w:bCs/>
                <w:sz w:val="18"/>
                <w:szCs w:val="18"/>
              </w:rPr>
              <w:t>юни</w:t>
            </w:r>
          </w:p>
          <w:p w:rsidR="00532E70" w:rsidRPr="00532E70" w:rsidRDefault="00532E70" w:rsidP="00D32EAB">
            <w:pPr>
              <w:jc w:val="center"/>
              <w:rPr>
                <w:b/>
                <w:bCs/>
                <w:sz w:val="18"/>
                <w:szCs w:val="18"/>
              </w:rPr>
            </w:pPr>
            <w:r w:rsidRPr="00532E70">
              <w:rPr>
                <w:b/>
                <w:bCs/>
                <w:sz w:val="18"/>
                <w:szCs w:val="18"/>
              </w:rPr>
              <w:t xml:space="preserve"> 2018 г.</w:t>
            </w:r>
          </w:p>
        </w:tc>
        <w:tc>
          <w:tcPr>
            <w:tcW w:w="1304" w:type="dxa"/>
            <w:tcBorders>
              <w:top w:val="single" w:sz="8" w:space="0" w:color="auto"/>
              <w:left w:val="nil"/>
              <w:bottom w:val="nil"/>
              <w:right w:val="single" w:sz="8" w:space="0" w:color="auto"/>
            </w:tcBorders>
            <w:shd w:val="clear" w:color="auto" w:fill="auto"/>
            <w:vAlign w:val="center"/>
          </w:tcPr>
          <w:p w:rsidR="00532E70" w:rsidRPr="00532E70" w:rsidRDefault="00532E70" w:rsidP="00D32EAB">
            <w:pPr>
              <w:jc w:val="center"/>
              <w:rPr>
                <w:b/>
                <w:bCs/>
                <w:sz w:val="18"/>
                <w:szCs w:val="18"/>
              </w:rPr>
            </w:pPr>
            <w:r w:rsidRPr="00532E70">
              <w:rPr>
                <w:b/>
                <w:bCs/>
                <w:sz w:val="18"/>
                <w:szCs w:val="18"/>
              </w:rPr>
              <w:t>Изпълнение спрямо    закон 2018 г.</w:t>
            </w:r>
          </w:p>
        </w:tc>
      </w:tr>
      <w:tr w:rsidR="00532E70" w:rsidRPr="00532E70" w:rsidTr="00F521AA">
        <w:trPr>
          <w:trHeight w:val="92"/>
          <w:jc w:val="center"/>
        </w:trPr>
        <w:tc>
          <w:tcPr>
            <w:tcW w:w="4853" w:type="dxa"/>
            <w:tcBorders>
              <w:top w:val="single" w:sz="4" w:space="0" w:color="auto"/>
              <w:left w:val="single" w:sz="8" w:space="0" w:color="auto"/>
              <w:bottom w:val="single" w:sz="4" w:space="0" w:color="auto"/>
              <w:right w:val="single" w:sz="8" w:space="0" w:color="auto"/>
            </w:tcBorders>
            <w:shd w:val="clear" w:color="auto" w:fill="auto"/>
            <w:noWrap/>
            <w:vAlign w:val="bottom"/>
          </w:tcPr>
          <w:p w:rsidR="00532E70" w:rsidRPr="00532E70" w:rsidRDefault="00532E70" w:rsidP="00F521AA">
            <w:pPr>
              <w:rPr>
                <w:b/>
                <w:bCs/>
                <w:sz w:val="18"/>
                <w:szCs w:val="18"/>
              </w:rPr>
            </w:pPr>
            <w:r w:rsidRPr="00532E70">
              <w:rPr>
                <w:b/>
                <w:bCs/>
                <w:sz w:val="18"/>
                <w:szCs w:val="18"/>
              </w:rPr>
              <w:t>Общо приходи и помощи</w:t>
            </w:r>
          </w:p>
        </w:tc>
        <w:tc>
          <w:tcPr>
            <w:tcW w:w="1276" w:type="dxa"/>
            <w:tcBorders>
              <w:top w:val="single" w:sz="4" w:space="0" w:color="auto"/>
              <w:left w:val="nil"/>
              <w:bottom w:val="single" w:sz="8" w:space="0" w:color="auto"/>
              <w:right w:val="nil"/>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23 515,8</w:t>
            </w:r>
          </w:p>
        </w:tc>
        <w:tc>
          <w:tcPr>
            <w:tcW w:w="1209" w:type="dxa"/>
            <w:tcBorders>
              <w:top w:val="single" w:sz="4" w:space="0" w:color="auto"/>
              <w:left w:val="nil"/>
              <w:bottom w:val="single" w:sz="8" w:space="0" w:color="auto"/>
              <w:right w:val="nil"/>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11 965,0</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50,9%</w:t>
            </w:r>
          </w:p>
        </w:tc>
      </w:tr>
      <w:tr w:rsidR="00532E70" w:rsidRPr="00532E70" w:rsidTr="00F521AA">
        <w:trPr>
          <w:trHeight w:val="80"/>
          <w:jc w:val="center"/>
        </w:trPr>
        <w:tc>
          <w:tcPr>
            <w:tcW w:w="4853" w:type="dxa"/>
            <w:tcBorders>
              <w:top w:val="single" w:sz="4" w:space="0" w:color="auto"/>
              <w:left w:val="single" w:sz="8" w:space="0" w:color="auto"/>
              <w:bottom w:val="nil"/>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-Данъчни приходи</w:t>
            </w:r>
          </w:p>
        </w:tc>
        <w:tc>
          <w:tcPr>
            <w:tcW w:w="1276" w:type="dxa"/>
            <w:tcBorders>
              <w:top w:val="single" w:sz="8" w:space="0" w:color="auto"/>
              <w:left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21 040,6</w:t>
            </w:r>
          </w:p>
        </w:tc>
        <w:tc>
          <w:tcPr>
            <w:tcW w:w="1209" w:type="dxa"/>
            <w:tcBorders>
              <w:top w:val="single" w:sz="8" w:space="0" w:color="auto"/>
              <w:left w:val="nil"/>
              <w:right w:val="nil"/>
            </w:tcBorders>
            <w:shd w:val="clear" w:color="auto" w:fill="auto"/>
            <w:noWrap/>
            <w:vAlign w:val="bottom"/>
          </w:tcPr>
          <w:p w:rsidR="00532E70" w:rsidRPr="00532E70" w:rsidRDefault="00532E70" w:rsidP="00D32EAB">
            <w:pPr>
              <w:jc w:val="right"/>
              <w:rPr>
                <w:bCs/>
                <w:sz w:val="18"/>
                <w:szCs w:val="18"/>
              </w:rPr>
            </w:pPr>
            <w:r w:rsidRPr="00532E70">
              <w:rPr>
                <w:bCs/>
                <w:sz w:val="18"/>
                <w:szCs w:val="18"/>
              </w:rPr>
              <w:t>10 857,1</w:t>
            </w:r>
          </w:p>
        </w:tc>
        <w:tc>
          <w:tcPr>
            <w:tcW w:w="1304" w:type="dxa"/>
            <w:tcBorders>
              <w:top w:val="single" w:sz="8" w:space="0" w:color="auto"/>
              <w:left w:val="nil"/>
              <w:right w:val="single" w:sz="8" w:space="0" w:color="auto"/>
            </w:tcBorders>
            <w:shd w:val="clear" w:color="auto" w:fill="auto"/>
            <w:noWrap/>
            <w:vAlign w:val="bottom"/>
          </w:tcPr>
          <w:p w:rsidR="00532E70" w:rsidRPr="00532E70" w:rsidRDefault="00532E70" w:rsidP="00D32EAB">
            <w:pPr>
              <w:jc w:val="right"/>
              <w:rPr>
                <w:bCs/>
                <w:sz w:val="18"/>
                <w:szCs w:val="18"/>
              </w:rPr>
            </w:pPr>
            <w:r w:rsidRPr="00532E70">
              <w:rPr>
                <w:bCs/>
                <w:sz w:val="18"/>
                <w:szCs w:val="18"/>
              </w:rPr>
              <w:t>51,6%</w:t>
            </w:r>
          </w:p>
        </w:tc>
      </w:tr>
      <w:tr w:rsidR="00532E70" w:rsidRPr="00532E70" w:rsidTr="00F521AA">
        <w:trPr>
          <w:trHeight w:val="80"/>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Корпоративни данъци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2 364,0</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1 292,9</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54,7%</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ДДФЛ</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3 372,4</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1 810,7</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53,7%</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ДДС</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9 780,0</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5 101,5</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52,2%</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Акцизи </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5 150,0</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2 408,4</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46,8%</w:t>
            </w:r>
          </w:p>
        </w:tc>
      </w:tr>
      <w:tr w:rsidR="00532E70" w:rsidRPr="00532E70" w:rsidTr="00D32EAB">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Данък в/у застрахователните премии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36,3</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18,1</w:t>
            </w:r>
          </w:p>
        </w:tc>
        <w:tc>
          <w:tcPr>
            <w:tcW w:w="1304" w:type="dxa"/>
            <w:tcBorders>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49,9%</w:t>
            </w:r>
          </w:p>
        </w:tc>
      </w:tr>
      <w:tr w:rsidR="00532E70" w:rsidRPr="00532E70" w:rsidTr="00D32EAB">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Мита и митнически такси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190,1</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118,2</w:t>
            </w:r>
          </w:p>
        </w:tc>
        <w:tc>
          <w:tcPr>
            <w:tcW w:w="1304" w:type="dxa"/>
            <w:tcBorders>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62,2%</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Други данъци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147,8</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107,3</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72,6%</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-Неданъчни приходи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2 475,2</w:t>
            </w:r>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1 102,1</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44,5%</w:t>
            </w:r>
          </w:p>
        </w:tc>
      </w:tr>
      <w:tr w:rsidR="00532E70" w:rsidRPr="00532E70" w:rsidTr="00F521AA">
        <w:trPr>
          <w:trHeight w:val="165"/>
          <w:jc w:val="center"/>
        </w:trPr>
        <w:tc>
          <w:tcPr>
            <w:tcW w:w="4853" w:type="dxa"/>
            <w:tcBorders>
              <w:left w:val="single" w:sz="8" w:space="0" w:color="auto"/>
              <w:right w:val="single" w:sz="8"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-Помощи</w:t>
            </w:r>
          </w:p>
        </w:tc>
        <w:tc>
          <w:tcPr>
            <w:tcW w:w="1276"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0,</w:t>
            </w:r>
            <w:proofErr w:type="spellStart"/>
            <w:r w:rsidRPr="00532E70">
              <w:rPr>
                <w:sz w:val="18"/>
                <w:szCs w:val="18"/>
              </w:rPr>
              <w:t>0</w:t>
            </w:r>
            <w:proofErr w:type="spellEnd"/>
          </w:p>
        </w:tc>
        <w:tc>
          <w:tcPr>
            <w:tcW w:w="1209" w:type="dxa"/>
            <w:tcBorders>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5,8</w:t>
            </w:r>
          </w:p>
        </w:tc>
        <w:tc>
          <w:tcPr>
            <w:tcW w:w="1304" w:type="dxa"/>
            <w:tcBorders>
              <w:left w:val="nil"/>
              <w:bottom w:val="nil"/>
              <w:right w:val="single" w:sz="8" w:space="0" w:color="auto"/>
            </w:tcBorders>
            <w:shd w:val="clear" w:color="auto" w:fill="auto"/>
            <w:noWrap/>
            <w:vAlign w:val="bottom"/>
          </w:tcPr>
          <w:p w:rsidR="00532E70" w:rsidRPr="00532E70" w:rsidRDefault="00532E70" w:rsidP="00D32EAB">
            <w:pPr>
              <w:rPr>
                <w:sz w:val="18"/>
                <w:szCs w:val="18"/>
              </w:rPr>
            </w:pPr>
            <w:r w:rsidRPr="00532E70">
              <w:rPr>
                <w:sz w:val="18"/>
                <w:szCs w:val="18"/>
              </w:rPr>
              <w:t> </w:t>
            </w:r>
          </w:p>
        </w:tc>
      </w:tr>
      <w:tr w:rsidR="00532E70" w:rsidRPr="00532E70" w:rsidTr="00D32EAB">
        <w:trPr>
          <w:trHeight w:val="199"/>
          <w:jc w:val="center"/>
        </w:trPr>
        <w:tc>
          <w:tcPr>
            <w:tcW w:w="4853" w:type="dxa"/>
            <w:tcBorders>
              <w:top w:val="single" w:sz="4" w:space="0" w:color="auto"/>
              <w:left w:val="single" w:sz="4" w:space="0" w:color="auto"/>
              <w:bottom w:val="nil"/>
              <w:right w:val="single" w:sz="4" w:space="0" w:color="auto"/>
            </w:tcBorders>
            <w:shd w:val="clear" w:color="auto" w:fill="auto"/>
            <w:noWrap/>
            <w:vAlign w:val="bottom"/>
          </w:tcPr>
          <w:p w:rsidR="00532E70" w:rsidRPr="00532E70" w:rsidRDefault="00532E70" w:rsidP="00F521AA">
            <w:pPr>
              <w:rPr>
                <w:b/>
                <w:bCs/>
                <w:sz w:val="18"/>
                <w:szCs w:val="18"/>
              </w:rPr>
            </w:pPr>
            <w:r w:rsidRPr="00532E70">
              <w:rPr>
                <w:b/>
                <w:bCs/>
                <w:sz w:val="18"/>
                <w:szCs w:val="18"/>
              </w:rPr>
              <w:t xml:space="preserve"> Разходи,трансфери и вноска в бюджета на ЕС</w:t>
            </w:r>
          </w:p>
        </w:tc>
        <w:tc>
          <w:tcPr>
            <w:tcW w:w="1276" w:type="dxa"/>
            <w:tcBorders>
              <w:top w:val="single" w:sz="4" w:space="0" w:color="auto"/>
              <w:left w:val="nil"/>
              <w:bottom w:val="nil"/>
              <w:right w:val="nil"/>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24 139,3</w:t>
            </w:r>
          </w:p>
        </w:tc>
        <w:tc>
          <w:tcPr>
            <w:tcW w:w="1209" w:type="dxa"/>
            <w:tcBorders>
              <w:top w:val="single" w:sz="4" w:space="0" w:color="auto"/>
              <w:left w:val="nil"/>
              <w:bottom w:val="nil"/>
              <w:right w:val="nil"/>
            </w:tcBorders>
            <w:shd w:val="clear" w:color="auto" w:fill="auto"/>
            <w:noWrap/>
          </w:tcPr>
          <w:p w:rsidR="00532E70" w:rsidRPr="00532E70" w:rsidRDefault="00532E70" w:rsidP="00D32EAB">
            <w:pPr>
              <w:jc w:val="right"/>
              <w:rPr>
                <w:b/>
                <w:bCs/>
                <w:sz w:val="18"/>
                <w:szCs w:val="18"/>
              </w:rPr>
            </w:pPr>
            <w:r w:rsidRPr="00532E70">
              <w:rPr>
                <w:b/>
                <w:bCs/>
                <w:sz w:val="18"/>
                <w:szCs w:val="18"/>
              </w:rPr>
              <w:t>10 485,1</w:t>
            </w:r>
          </w:p>
        </w:tc>
        <w:tc>
          <w:tcPr>
            <w:tcW w:w="1304" w:type="dxa"/>
            <w:tcBorders>
              <w:top w:val="single" w:sz="4" w:space="0" w:color="auto"/>
              <w:left w:val="nil"/>
              <w:bottom w:val="nil"/>
              <w:right w:val="single" w:sz="8" w:space="0" w:color="auto"/>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43,4%</w:t>
            </w:r>
          </w:p>
        </w:tc>
      </w:tr>
      <w:tr w:rsidR="00532E70" w:rsidRPr="00532E70" w:rsidTr="00D32EAB">
        <w:trPr>
          <w:trHeight w:val="101"/>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b/>
                <w:i/>
                <w:sz w:val="18"/>
                <w:szCs w:val="18"/>
              </w:rPr>
            </w:pPr>
            <w:r w:rsidRPr="00532E70">
              <w:rPr>
                <w:b/>
                <w:i/>
                <w:sz w:val="18"/>
                <w:szCs w:val="18"/>
              </w:rPr>
              <w:t xml:space="preserve">   -Нелихвени разходи</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11 167,9</w:t>
            </w:r>
          </w:p>
        </w:tc>
        <w:tc>
          <w:tcPr>
            <w:tcW w:w="1209" w:type="dxa"/>
            <w:tcBorders>
              <w:top w:val="nil"/>
              <w:left w:val="nil"/>
              <w:bottom w:val="nil"/>
              <w:right w:val="nil"/>
            </w:tcBorders>
            <w:shd w:val="clear" w:color="auto" w:fill="auto"/>
            <w:noWrap/>
          </w:tcPr>
          <w:p w:rsidR="00532E70" w:rsidRPr="00532E70" w:rsidRDefault="00532E70" w:rsidP="00D32EAB">
            <w:pPr>
              <w:jc w:val="right"/>
              <w:rPr>
                <w:bCs/>
                <w:sz w:val="18"/>
                <w:szCs w:val="18"/>
              </w:rPr>
            </w:pPr>
            <w:r w:rsidRPr="00532E70">
              <w:rPr>
                <w:bCs/>
                <w:sz w:val="18"/>
                <w:szCs w:val="18"/>
              </w:rPr>
              <w:t>4 268,9</w:t>
            </w:r>
          </w:p>
        </w:tc>
        <w:tc>
          <w:tcPr>
            <w:tcW w:w="1304" w:type="dxa"/>
            <w:tcBorders>
              <w:top w:val="nil"/>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38,2%</w:t>
            </w:r>
          </w:p>
        </w:tc>
      </w:tr>
      <w:tr w:rsidR="00532E70" w:rsidRPr="00532E70" w:rsidTr="00D32EAB">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Текущи </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8 774,1</w:t>
            </w:r>
          </w:p>
        </w:tc>
        <w:tc>
          <w:tcPr>
            <w:tcW w:w="1209" w:type="dxa"/>
            <w:tcBorders>
              <w:top w:val="nil"/>
              <w:left w:val="nil"/>
              <w:bottom w:val="nil"/>
              <w:right w:val="nil"/>
            </w:tcBorders>
            <w:shd w:val="clear" w:color="auto" w:fill="auto"/>
            <w:noWrap/>
          </w:tcPr>
          <w:p w:rsidR="00532E70" w:rsidRPr="00532E70" w:rsidRDefault="00532E70" w:rsidP="00D32EAB">
            <w:pPr>
              <w:jc w:val="right"/>
              <w:rPr>
                <w:bCs/>
                <w:sz w:val="18"/>
                <w:szCs w:val="18"/>
              </w:rPr>
            </w:pPr>
            <w:r w:rsidRPr="00532E70">
              <w:rPr>
                <w:bCs/>
                <w:sz w:val="18"/>
                <w:szCs w:val="18"/>
              </w:rPr>
              <w:t>3 963,3</w:t>
            </w:r>
          </w:p>
        </w:tc>
        <w:tc>
          <w:tcPr>
            <w:tcW w:w="1304" w:type="dxa"/>
            <w:tcBorders>
              <w:top w:val="nil"/>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45,2%</w:t>
            </w:r>
          </w:p>
        </w:tc>
      </w:tr>
      <w:tr w:rsidR="00532E70" w:rsidRPr="00532E70" w:rsidTr="00D32EAB">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Предоставени </w:t>
            </w:r>
            <w:proofErr w:type="spellStart"/>
            <w:r w:rsidRPr="00532E70">
              <w:rPr>
                <w:sz w:val="18"/>
                <w:szCs w:val="18"/>
              </w:rPr>
              <w:t>тек</w:t>
            </w:r>
            <w:proofErr w:type="spellEnd"/>
            <w:r w:rsidRPr="00532E70">
              <w:rPr>
                <w:sz w:val="18"/>
                <w:szCs w:val="18"/>
              </w:rPr>
              <w:t xml:space="preserve">. и </w:t>
            </w:r>
            <w:proofErr w:type="spellStart"/>
            <w:r w:rsidRPr="00532E70">
              <w:rPr>
                <w:sz w:val="18"/>
                <w:szCs w:val="18"/>
              </w:rPr>
              <w:t>капит</w:t>
            </w:r>
            <w:proofErr w:type="spellEnd"/>
            <w:r w:rsidRPr="00532E70">
              <w:rPr>
                <w:sz w:val="18"/>
                <w:szCs w:val="18"/>
              </w:rPr>
              <w:t>. трансфери за чужбина</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14,4</w:t>
            </w:r>
          </w:p>
        </w:tc>
        <w:tc>
          <w:tcPr>
            <w:tcW w:w="1209" w:type="dxa"/>
            <w:tcBorders>
              <w:top w:val="nil"/>
              <w:left w:val="nil"/>
              <w:bottom w:val="nil"/>
              <w:right w:val="nil"/>
            </w:tcBorders>
            <w:shd w:val="clear" w:color="auto" w:fill="auto"/>
            <w:noWrap/>
          </w:tcPr>
          <w:p w:rsidR="00532E70" w:rsidRPr="00532E70" w:rsidRDefault="00532E70" w:rsidP="00D32EAB">
            <w:pPr>
              <w:jc w:val="right"/>
              <w:rPr>
                <w:bCs/>
                <w:sz w:val="18"/>
                <w:szCs w:val="18"/>
              </w:rPr>
            </w:pPr>
            <w:r w:rsidRPr="00532E70">
              <w:rPr>
                <w:bCs/>
                <w:sz w:val="18"/>
                <w:szCs w:val="18"/>
              </w:rPr>
              <w:t>5,0</w:t>
            </w:r>
          </w:p>
        </w:tc>
        <w:tc>
          <w:tcPr>
            <w:tcW w:w="1304" w:type="dxa"/>
            <w:tcBorders>
              <w:top w:val="nil"/>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34,7%</w:t>
            </w:r>
          </w:p>
        </w:tc>
      </w:tr>
      <w:tr w:rsidR="00532E70" w:rsidRPr="00532E70" w:rsidTr="00D32EAB">
        <w:trPr>
          <w:trHeight w:val="179"/>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Капиталови</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2 379,5</w:t>
            </w:r>
          </w:p>
        </w:tc>
        <w:tc>
          <w:tcPr>
            <w:tcW w:w="1209" w:type="dxa"/>
            <w:tcBorders>
              <w:top w:val="nil"/>
              <w:left w:val="nil"/>
              <w:bottom w:val="nil"/>
              <w:right w:val="nil"/>
            </w:tcBorders>
            <w:shd w:val="clear" w:color="auto" w:fill="auto"/>
            <w:noWrap/>
          </w:tcPr>
          <w:p w:rsidR="00532E70" w:rsidRPr="00532E70" w:rsidRDefault="00532E70" w:rsidP="00D32EAB">
            <w:pPr>
              <w:jc w:val="right"/>
              <w:rPr>
                <w:bCs/>
                <w:sz w:val="18"/>
                <w:szCs w:val="18"/>
              </w:rPr>
            </w:pPr>
            <w:r w:rsidRPr="00532E70">
              <w:rPr>
                <w:bCs/>
                <w:sz w:val="18"/>
                <w:szCs w:val="18"/>
              </w:rPr>
              <w:t>300,7</w:t>
            </w:r>
          </w:p>
        </w:tc>
        <w:tc>
          <w:tcPr>
            <w:tcW w:w="1304" w:type="dxa"/>
            <w:tcBorders>
              <w:top w:val="nil"/>
              <w:left w:val="nil"/>
              <w:bottom w:val="nil"/>
              <w:right w:val="single" w:sz="8" w:space="0" w:color="auto"/>
            </w:tcBorders>
            <w:shd w:val="clear" w:color="auto" w:fill="auto"/>
            <w:noWrap/>
            <w:vAlign w:val="bottom"/>
          </w:tcPr>
          <w:p w:rsidR="00532E70" w:rsidRPr="00532E70" w:rsidRDefault="00532E70" w:rsidP="00D32EAB">
            <w:pPr>
              <w:jc w:val="right"/>
              <w:rPr>
                <w:sz w:val="18"/>
                <w:szCs w:val="18"/>
              </w:rPr>
            </w:pPr>
            <w:r w:rsidRPr="00532E70">
              <w:rPr>
                <w:sz w:val="18"/>
                <w:szCs w:val="18"/>
              </w:rPr>
              <w:t>12,6%</w:t>
            </w:r>
          </w:p>
        </w:tc>
      </w:tr>
      <w:tr w:rsidR="00532E70" w:rsidRPr="00532E70" w:rsidTr="00D32EAB">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b/>
                <w:i/>
                <w:sz w:val="18"/>
                <w:szCs w:val="18"/>
              </w:rPr>
            </w:pPr>
            <w:r w:rsidRPr="00532E70">
              <w:rPr>
                <w:b/>
                <w:i/>
                <w:sz w:val="18"/>
                <w:szCs w:val="18"/>
              </w:rPr>
              <w:t xml:space="preserve">   -Лихви</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684,3</w:t>
            </w:r>
          </w:p>
        </w:tc>
        <w:tc>
          <w:tcPr>
            <w:tcW w:w="1209" w:type="dxa"/>
            <w:tcBorders>
              <w:top w:val="nil"/>
              <w:left w:val="nil"/>
              <w:bottom w:val="nil"/>
              <w:right w:val="nil"/>
            </w:tcBorders>
            <w:shd w:val="clear" w:color="auto" w:fill="auto"/>
            <w:noWrap/>
          </w:tcPr>
          <w:p w:rsidR="00532E70" w:rsidRPr="00532E70" w:rsidRDefault="00532E70" w:rsidP="00D32EAB">
            <w:pPr>
              <w:jc w:val="right"/>
              <w:rPr>
                <w:sz w:val="18"/>
                <w:szCs w:val="18"/>
              </w:rPr>
            </w:pPr>
            <w:r w:rsidRPr="00532E70">
              <w:rPr>
                <w:sz w:val="18"/>
                <w:szCs w:val="18"/>
              </w:rPr>
              <w:t>406,6</w:t>
            </w:r>
          </w:p>
        </w:tc>
        <w:tc>
          <w:tcPr>
            <w:tcW w:w="1304" w:type="dxa"/>
            <w:tcBorders>
              <w:top w:val="nil"/>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59,4%</w:t>
            </w:r>
          </w:p>
        </w:tc>
      </w:tr>
      <w:tr w:rsidR="00532E70" w:rsidRPr="00532E70" w:rsidTr="00D32EAB">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По външни заеми</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445,4</w:t>
            </w:r>
          </w:p>
        </w:tc>
        <w:tc>
          <w:tcPr>
            <w:tcW w:w="1209" w:type="dxa"/>
            <w:tcBorders>
              <w:top w:val="nil"/>
              <w:left w:val="nil"/>
              <w:bottom w:val="nil"/>
              <w:right w:val="nil"/>
            </w:tcBorders>
            <w:shd w:val="clear" w:color="auto" w:fill="auto"/>
            <w:noWrap/>
          </w:tcPr>
          <w:p w:rsidR="00532E70" w:rsidRPr="00532E70" w:rsidRDefault="00532E70" w:rsidP="00D32EAB">
            <w:pPr>
              <w:jc w:val="right"/>
              <w:rPr>
                <w:sz w:val="18"/>
                <w:szCs w:val="18"/>
              </w:rPr>
            </w:pPr>
            <w:r w:rsidRPr="00532E70">
              <w:rPr>
                <w:sz w:val="18"/>
                <w:szCs w:val="18"/>
              </w:rPr>
              <w:t>283,1</w:t>
            </w:r>
          </w:p>
        </w:tc>
        <w:tc>
          <w:tcPr>
            <w:tcW w:w="1304" w:type="dxa"/>
            <w:tcBorders>
              <w:top w:val="nil"/>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63,6%</w:t>
            </w:r>
          </w:p>
        </w:tc>
      </w:tr>
      <w:tr w:rsidR="00532E70" w:rsidRPr="00532E70" w:rsidTr="00D32EAB">
        <w:trPr>
          <w:trHeight w:val="80"/>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sz w:val="18"/>
                <w:szCs w:val="18"/>
              </w:rPr>
            </w:pPr>
            <w:r w:rsidRPr="00532E70">
              <w:rPr>
                <w:sz w:val="18"/>
                <w:szCs w:val="18"/>
              </w:rPr>
              <w:t xml:space="preserve">      По вътрешни заеми</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238,9</w:t>
            </w:r>
          </w:p>
        </w:tc>
        <w:tc>
          <w:tcPr>
            <w:tcW w:w="1209" w:type="dxa"/>
            <w:tcBorders>
              <w:top w:val="nil"/>
              <w:left w:val="nil"/>
              <w:bottom w:val="nil"/>
              <w:right w:val="nil"/>
            </w:tcBorders>
            <w:shd w:val="clear" w:color="auto" w:fill="auto"/>
            <w:noWrap/>
          </w:tcPr>
          <w:p w:rsidR="00532E70" w:rsidRPr="00532E70" w:rsidRDefault="00532E70" w:rsidP="00D32EAB">
            <w:pPr>
              <w:jc w:val="right"/>
              <w:rPr>
                <w:sz w:val="18"/>
                <w:szCs w:val="18"/>
              </w:rPr>
            </w:pPr>
            <w:r w:rsidRPr="00532E70">
              <w:rPr>
                <w:sz w:val="18"/>
                <w:szCs w:val="18"/>
              </w:rPr>
              <w:t>123,6</w:t>
            </w:r>
          </w:p>
        </w:tc>
        <w:tc>
          <w:tcPr>
            <w:tcW w:w="1304" w:type="dxa"/>
            <w:tcBorders>
              <w:top w:val="nil"/>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51,7%</w:t>
            </w:r>
          </w:p>
        </w:tc>
      </w:tr>
      <w:tr w:rsidR="00532E70" w:rsidRPr="00532E70" w:rsidTr="00D32EAB">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b/>
                <w:i/>
                <w:sz w:val="18"/>
                <w:szCs w:val="18"/>
              </w:rPr>
            </w:pPr>
            <w:r w:rsidRPr="00532E70">
              <w:rPr>
                <w:b/>
                <w:i/>
                <w:sz w:val="18"/>
                <w:szCs w:val="18"/>
              </w:rPr>
              <w:t xml:space="preserve"> - Резерв за непредвидени и неотложни разходи</w:t>
            </w:r>
            <w:r w:rsidRPr="00532E70">
              <w:rPr>
                <w:rStyle w:val="FootnoteReference"/>
                <w:b/>
                <w:bCs/>
                <w:sz w:val="20"/>
                <w:szCs w:val="20"/>
              </w:rPr>
              <w:footnoteReference w:id="7"/>
            </w:r>
            <w:r w:rsidRPr="00532E70">
              <w:rPr>
                <w:b/>
                <w:i/>
                <w:sz w:val="18"/>
                <w:szCs w:val="18"/>
              </w:rPr>
              <w:tab/>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71,1</w:t>
            </w:r>
          </w:p>
        </w:tc>
        <w:tc>
          <w:tcPr>
            <w:tcW w:w="1209" w:type="dxa"/>
            <w:tcBorders>
              <w:top w:val="nil"/>
              <w:left w:val="nil"/>
              <w:bottom w:val="nil"/>
              <w:right w:val="nil"/>
            </w:tcBorders>
            <w:shd w:val="clear" w:color="auto" w:fill="auto"/>
            <w:noWrap/>
          </w:tcPr>
          <w:p w:rsidR="00532E70" w:rsidRPr="00532E70" w:rsidRDefault="00532E70" w:rsidP="00D32EAB">
            <w:pPr>
              <w:jc w:val="right"/>
              <w:rPr>
                <w:sz w:val="18"/>
                <w:szCs w:val="18"/>
              </w:rPr>
            </w:pPr>
          </w:p>
        </w:tc>
        <w:tc>
          <w:tcPr>
            <w:tcW w:w="1304" w:type="dxa"/>
            <w:tcBorders>
              <w:top w:val="nil"/>
              <w:left w:val="nil"/>
              <w:bottom w:val="nil"/>
              <w:right w:val="single" w:sz="8" w:space="0" w:color="auto"/>
            </w:tcBorders>
            <w:shd w:val="clear" w:color="auto" w:fill="auto"/>
            <w:noWrap/>
          </w:tcPr>
          <w:p w:rsidR="00532E70" w:rsidRPr="00532E70" w:rsidRDefault="00532E70" w:rsidP="00D32EAB">
            <w:pPr>
              <w:jc w:val="right"/>
              <w:rPr>
                <w:sz w:val="18"/>
                <w:szCs w:val="18"/>
              </w:rPr>
            </w:pPr>
          </w:p>
        </w:tc>
      </w:tr>
      <w:tr w:rsidR="00532E70" w:rsidRPr="00532E70" w:rsidTr="00D32EAB">
        <w:trPr>
          <w:trHeight w:val="85"/>
          <w:jc w:val="center"/>
        </w:trPr>
        <w:tc>
          <w:tcPr>
            <w:tcW w:w="4853" w:type="dxa"/>
            <w:tcBorders>
              <w:top w:val="nil"/>
              <w:left w:val="single" w:sz="4" w:space="0" w:color="auto"/>
              <w:bottom w:val="nil"/>
              <w:right w:val="single" w:sz="4" w:space="0" w:color="auto"/>
            </w:tcBorders>
            <w:shd w:val="clear" w:color="auto" w:fill="auto"/>
            <w:noWrap/>
            <w:vAlign w:val="bottom"/>
          </w:tcPr>
          <w:p w:rsidR="00532E70" w:rsidRPr="00532E70" w:rsidRDefault="00532E70" w:rsidP="00F521AA">
            <w:pPr>
              <w:rPr>
                <w:b/>
                <w:i/>
                <w:sz w:val="18"/>
                <w:szCs w:val="18"/>
              </w:rPr>
            </w:pPr>
            <w:r w:rsidRPr="00532E70">
              <w:rPr>
                <w:b/>
                <w:i/>
                <w:sz w:val="18"/>
                <w:szCs w:val="18"/>
              </w:rPr>
              <w:t xml:space="preserve"> -Трансфери за  др. бюджети - нето</w:t>
            </w:r>
          </w:p>
        </w:tc>
        <w:tc>
          <w:tcPr>
            <w:tcW w:w="1276" w:type="dxa"/>
            <w:tcBorders>
              <w:top w:val="nil"/>
              <w:left w:val="nil"/>
              <w:bottom w:val="nil"/>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11 082,1</w:t>
            </w:r>
          </w:p>
        </w:tc>
        <w:tc>
          <w:tcPr>
            <w:tcW w:w="1209" w:type="dxa"/>
            <w:tcBorders>
              <w:top w:val="nil"/>
              <w:left w:val="nil"/>
              <w:bottom w:val="nil"/>
              <w:right w:val="nil"/>
            </w:tcBorders>
            <w:shd w:val="clear" w:color="auto" w:fill="auto"/>
            <w:noWrap/>
          </w:tcPr>
          <w:p w:rsidR="00532E70" w:rsidRPr="00532E70" w:rsidRDefault="00532E70" w:rsidP="00D32EAB">
            <w:pPr>
              <w:jc w:val="right"/>
              <w:rPr>
                <w:sz w:val="18"/>
                <w:szCs w:val="18"/>
              </w:rPr>
            </w:pPr>
            <w:r w:rsidRPr="00532E70">
              <w:rPr>
                <w:sz w:val="18"/>
                <w:szCs w:val="18"/>
              </w:rPr>
              <w:t>5 233,2</w:t>
            </w:r>
          </w:p>
        </w:tc>
        <w:tc>
          <w:tcPr>
            <w:tcW w:w="1304" w:type="dxa"/>
            <w:tcBorders>
              <w:top w:val="nil"/>
              <w:left w:val="nil"/>
              <w:bottom w:val="nil"/>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47,2%</w:t>
            </w:r>
          </w:p>
        </w:tc>
      </w:tr>
      <w:tr w:rsidR="00532E70" w:rsidRPr="00532E70" w:rsidTr="00D32EAB">
        <w:trPr>
          <w:trHeight w:val="80"/>
          <w:jc w:val="center"/>
        </w:trPr>
        <w:tc>
          <w:tcPr>
            <w:tcW w:w="4853" w:type="dxa"/>
            <w:tcBorders>
              <w:top w:val="nil"/>
              <w:left w:val="single" w:sz="4" w:space="0" w:color="auto"/>
              <w:bottom w:val="single" w:sz="4" w:space="0" w:color="auto"/>
              <w:right w:val="single" w:sz="4" w:space="0" w:color="auto"/>
            </w:tcBorders>
            <w:shd w:val="clear" w:color="auto" w:fill="auto"/>
            <w:noWrap/>
            <w:vAlign w:val="bottom"/>
          </w:tcPr>
          <w:p w:rsidR="00532E70" w:rsidRPr="00532E70" w:rsidRDefault="00532E70" w:rsidP="00F521AA">
            <w:pPr>
              <w:rPr>
                <w:b/>
                <w:bCs/>
                <w:i/>
                <w:sz w:val="18"/>
                <w:szCs w:val="18"/>
              </w:rPr>
            </w:pPr>
            <w:r w:rsidRPr="00532E70">
              <w:rPr>
                <w:b/>
                <w:bCs/>
                <w:i/>
                <w:sz w:val="18"/>
                <w:szCs w:val="18"/>
              </w:rPr>
              <w:t xml:space="preserve"> - Вноска в бюджета на ЕС</w:t>
            </w:r>
          </w:p>
        </w:tc>
        <w:tc>
          <w:tcPr>
            <w:tcW w:w="1276" w:type="dxa"/>
            <w:tcBorders>
              <w:top w:val="nil"/>
              <w:left w:val="nil"/>
              <w:bottom w:val="single" w:sz="4" w:space="0" w:color="auto"/>
              <w:right w:val="nil"/>
            </w:tcBorders>
            <w:shd w:val="clear" w:color="auto" w:fill="auto"/>
            <w:noWrap/>
            <w:vAlign w:val="bottom"/>
          </w:tcPr>
          <w:p w:rsidR="00532E70" w:rsidRPr="00532E70" w:rsidRDefault="00532E70" w:rsidP="00D32EAB">
            <w:pPr>
              <w:jc w:val="right"/>
              <w:rPr>
                <w:sz w:val="18"/>
                <w:szCs w:val="18"/>
              </w:rPr>
            </w:pPr>
            <w:r w:rsidRPr="00532E70">
              <w:rPr>
                <w:sz w:val="18"/>
                <w:szCs w:val="18"/>
              </w:rPr>
              <w:t>1 133,9</w:t>
            </w:r>
          </w:p>
        </w:tc>
        <w:tc>
          <w:tcPr>
            <w:tcW w:w="1209" w:type="dxa"/>
            <w:tcBorders>
              <w:top w:val="nil"/>
              <w:left w:val="nil"/>
              <w:bottom w:val="single" w:sz="4" w:space="0" w:color="auto"/>
              <w:right w:val="nil"/>
            </w:tcBorders>
            <w:shd w:val="clear" w:color="auto" w:fill="auto"/>
            <w:noWrap/>
          </w:tcPr>
          <w:p w:rsidR="00532E70" w:rsidRPr="00532E70" w:rsidRDefault="00532E70" w:rsidP="00D32EAB">
            <w:pPr>
              <w:jc w:val="right"/>
              <w:rPr>
                <w:sz w:val="18"/>
                <w:szCs w:val="18"/>
              </w:rPr>
            </w:pPr>
            <w:r w:rsidRPr="00532E70">
              <w:rPr>
                <w:sz w:val="18"/>
                <w:szCs w:val="18"/>
              </w:rPr>
              <w:t>576,3</w:t>
            </w:r>
          </w:p>
        </w:tc>
        <w:tc>
          <w:tcPr>
            <w:tcW w:w="1304" w:type="dxa"/>
            <w:tcBorders>
              <w:top w:val="nil"/>
              <w:left w:val="nil"/>
              <w:bottom w:val="single" w:sz="4" w:space="0" w:color="auto"/>
              <w:right w:val="single" w:sz="8" w:space="0" w:color="auto"/>
            </w:tcBorders>
            <w:shd w:val="clear" w:color="auto" w:fill="auto"/>
            <w:noWrap/>
          </w:tcPr>
          <w:p w:rsidR="00532E70" w:rsidRPr="00532E70" w:rsidRDefault="00532E70" w:rsidP="00D32EAB">
            <w:pPr>
              <w:jc w:val="right"/>
              <w:rPr>
                <w:sz w:val="18"/>
                <w:szCs w:val="18"/>
              </w:rPr>
            </w:pPr>
            <w:r w:rsidRPr="00532E70">
              <w:rPr>
                <w:sz w:val="18"/>
                <w:szCs w:val="18"/>
              </w:rPr>
              <w:t>50,8%</w:t>
            </w:r>
          </w:p>
        </w:tc>
      </w:tr>
      <w:tr w:rsidR="00532E70" w:rsidRPr="00532E70" w:rsidTr="00D32EAB">
        <w:trPr>
          <w:trHeight w:val="70"/>
          <w:jc w:val="center"/>
        </w:trPr>
        <w:tc>
          <w:tcPr>
            <w:tcW w:w="4853" w:type="dxa"/>
            <w:tcBorders>
              <w:top w:val="single" w:sz="4" w:space="0" w:color="auto"/>
              <w:left w:val="single" w:sz="4" w:space="0" w:color="auto"/>
              <w:bottom w:val="single" w:sz="4" w:space="0" w:color="auto"/>
              <w:right w:val="single" w:sz="4" w:space="0" w:color="auto"/>
            </w:tcBorders>
            <w:shd w:val="clear" w:color="auto" w:fill="auto"/>
            <w:noWrap/>
            <w:vAlign w:val="bottom"/>
          </w:tcPr>
          <w:p w:rsidR="00532E70" w:rsidRPr="00532E70" w:rsidRDefault="00532E70" w:rsidP="00F521AA">
            <w:pPr>
              <w:rPr>
                <w:b/>
                <w:bCs/>
                <w:sz w:val="18"/>
                <w:szCs w:val="18"/>
              </w:rPr>
            </w:pPr>
            <w:r w:rsidRPr="00532E70">
              <w:rPr>
                <w:b/>
                <w:bCs/>
                <w:sz w:val="18"/>
                <w:szCs w:val="18"/>
              </w:rPr>
              <w:t>Бюджетен баланс</w:t>
            </w:r>
          </w:p>
        </w:tc>
        <w:tc>
          <w:tcPr>
            <w:tcW w:w="1276" w:type="dxa"/>
            <w:tcBorders>
              <w:top w:val="single" w:sz="4" w:space="0" w:color="auto"/>
              <w:left w:val="nil"/>
              <w:bottom w:val="single" w:sz="8" w:space="0" w:color="auto"/>
              <w:right w:val="nil"/>
            </w:tcBorders>
            <w:shd w:val="clear" w:color="auto" w:fill="auto"/>
            <w:noWrap/>
            <w:vAlign w:val="bottom"/>
          </w:tcPr>
          <w:p w:rsidR="00532E70" w:rsidRPr="00532E70" w:rsidRDefault="00532E70" w:rsidP="00D32EAB">
            <w:pPr>
              <w:jc w:val="right"/>
              <w:rPr>
                <w:b/>
                <w:bCs/>
                <w:sz w:val="18"/>
                <w:szCs w:val="18"/>
              </w:rPr>
            </w:pPr>
            <w:r w:rsidRPr="00532E70">
              <w:rPr>
                <w:b/>
                <w:bCs/>
                <w:sz w:val="18"/>
                <w:szCs w:val="18"/>
              </w:rPr>
              <w:t>-623,5</w:t>
            </w:r>
          </w:p>
        </w:tc>
        <w:tc>
          <w:tcPr>
            <w:tcW w:w="1209" w:type="dxa"/>
            <w:tcBorders>
              <w:top w:val="single" w:sz="4" w:space="0" w:color="auto"/>
              <w:left w:val="nil"/>
              <w:bottom w:val="single" w:sz="8" w:space="0" w:color="auto"/>
              <w:right w:val="nil"/>
            </w:tcBorders>
            <w:shd w:val="clear" w:color="auto" w:fill="auto"/>
            <w:noWrap/>
          </w:tcPr>
          <w:p w:rsidR="00532E70" w:rsidRPr="00532E70" w:rsidRDefault="00532E70" w:rsidP="00D32EAB">
            <w:pPr>
              <w:jc w:val="right"/>
            </w:pPr>
            <w:r w:rsidRPr="00532E70">
              <w:rPr>
                <w:b/>
                <w:bCs/>
                <w:sz w:val="18"/>
                <w:szCs w:val="18"/>
              </w:rPr>
              <w:t>1 479,9</w:t>
            </w:r>
          </w:p>
        </w:tc>
        <w:tc>
          <w:tcPr>
            <w:tcW w:w="1304" w:type="dxa"/>
            <w:tcBorders>
              <w:top w:val="single" w:sz="4" w:space="0" w:color="auto"/>
              <w:left w:val="nil"/>
              <w:bottom w:val="single" w:sz="8" w:space="0" w:color="auto"/>
              <w:right w:val="single" w:sz="8" w:space="0" w:color="auto"/>
            </w:tcBorders>
            <w:shd w:val="clear" w:color="auto" w:fill="auto"/>
            <w:noWrap/>
            <w:vAlign w:val="bottom"/>
          </w:tcPr>
          <w:p w:rsidR="00532E70" w:rsidRPr="00532E70" w:rsidRDefault="00532E70" w:rsidP="00D32EAB">
            <w:pPr>
              <w:jc w:val="right"/>
              <w:rPr>
                <w:b/>
                <w:bCs/>
                <w:sz w:val="18"/>
                <w:szCs w:val="18"/>
              </w:rPr>
            </w:pPr>
          </w:p>
        </w:tc>
      </w:tr>
    </w:tbl>
    <w:p w:rsidR="004B5DC2" w:rsidRDefault="004B5DC2" w:rsidP="004B5DC2">
      <w:pPr>
        <w:spacing w:after="120"/>
        <w:ind w:left="360"/>
        <w:jc w:val="both"/>
        <w:rPr>
          <w:b/>
          <w:color w:val="0070C0"/>
          <w:sz w:val="6"/>
          <w:lang w:val="en-US"/>
        </w:rPr>
      </w:pPr>
    </w:p>
    <w:p w:rsidR="004C6EDF" w:rsidRPr="004C6EDF" w:rsidRDefault="004C6EDF" w:rsidP="004B5DC2">
      <w:pPr>
        <w:spacing w:after="120"/>
        <w:ind w:left="360"/>
        <w:jc w:val="both"/>
        <w:rPr>
          <w:b/>
          <w:color w:val="0070C0"/>
          <w:sz w:val="6"/>
          <w:lang w:val="en-US"/>
        </w:rPr>
      </w:pPr>
    </w:p>
    <w:p w:rsidR="00FA3509" w:rsidRPr="00C74192" w:rsidRDefault="00FA3509" w:rsidP="00FA3509">
      <w:pPr>
        <w:pStyle w:val="BodyTextIndent"/>
        <w:numPr>
          <w:ilvl w:val="0"/>
          <w:numId w:val="2"/>
        </w:numPr>
        <w:ind w:firstLine="0"/>
        <w:jc w:val="both"/>
        <w:rPr>
          <w:b/>
        </w:rPr>
      </w:pPr>
      <w:r w:rsidRPr="00C74192">
        <w:rPr>
          <w:b/>
          <w:bCs/>
        </w:rPr>
        <w:t xml:space="preserve">Приходи по държавния бюджет </w:t>
      </w:r>
    </w:p>
    <w:p w:rsidR="00FA3509" w:rsidRPr="00C74192" w:rsidRDefault="00FA3509" w:rsidP="00FA3509">
      <w:pPr>
        <w:spacing w:after="120"/>
        <w:jc w:val="both"/>
        <w:rPr>
          <w:bCs/>
        </w:rPr>
      </w:pPr>
      <w:r w:rsidRPr="00C74192">
        <w:rPr>
          <w:b/>
          <w:bCs/>
        </w:rPr>
        <w:t>Общият размер на приходите и помощите по държавния бюджет</w:t>
      </w:r>
      <w:r w:rsidRPr="00C74192">
        <w:rPr>
          <w:bCs/>
        </w:rPr>
        <w:t xml:space="preserve"> към юни 2018 г. е</w:t>
      </w:r>
      <w:r w:rsidRPr="00C74192">
        <w:rPr>
          <w:b/>
          <w:bCs/>
        </w:rPr>
        <w:t xml:space="preserve"> 11</w:t>
      </w:r>
      <w:r w:rsidRPr="00C74192">
        <w:rPr>
          <w:b/>
        </w:rPr>
        <w:t> </w:t>
      </w:r>
      <w:r w:rsidRPr="00C74192">
        <w:rPr>
          <w:b/>
          <w:bCs/>
        </w:rPr>
        <w:t>965,0 млн. лв.</w:t>
      </w:r>
      <w:r w:rsidRPr="00C74192">
        <w:rPr>
          <w:bCs/>
        </w:rPr>
        <w:t>, което представлява 50,9 % изпълнение на разчетите по ЗДБРБ за 2018 година.</w:t>
      </w:r>
    </w:p>
    <w:p w:rsidR="00FA3509" w:rsidRPr="0078160A" w:rsidRDefault="00FA3509" w:rsidP="00FA3509">
      <w:pPr>
        <w:numPr>
          <w:ilvl w:val="0"/>
          <w:numId w:val="3"/>
        </w:numPr>
        <w:tabs>
          <w:tab w:val="num" w:pos="720"/>
        </w:tabs>
        <w:ind w:left="0" w:firstLine="180"/>
        <w:jc w:val="both"/>
        <w:rPr>
          <w:b/>
          <w:bCs/>
        </w:rPr>
      </w:pPr>
      <w:r w:rsidRPr="0078160A">
        <w:rPr>
          <w:bCs/>
        </w:rPr>
        <w:t xml:space="preserve"> </w:t>
      </w:r>
      <w:r w:rsidRPr="0078160A">
        <w:rPr>
          <w:b/>
          <w:bCs/>
        </w:rPr>
        <w:t>Данъчни приходи</w:t>
      </w:r>
    </w:p>
    <w:p w:rsidR="00FA3509" w:rsidRPr="0078160A" w:rsidRDefault="00FA3509" w:rsidP="00FA3509">
      <w:pPr>
        <w:jc w:val="both"/>
        <w:rPr>
          <w:bCs/>
          <w:sz w:val="4"/>
          <w:szCs w:val="4"/>
        </w:rPr>
      </w:pPr>
    </w:p>
    <w:p w:rsidR="00FA3509" w:rsidRPr="0078160A" w:rsidRDefault="00FA3509" w:rsidP="00FA3509">
      <w:pPr>
        <w:jc w:val="both"/>
      </w:pPr>
      <w:r w:rsidRPr="0078160A">
        <w:rPr>
          <w:b/>
          <w:bCs/>
        </w:rPr>
        <w:t>Размерът на данъчните постъпления по държавния бюджет</w:t>
      </w:r>
      <w:r w:rsidRPr="0078160A">
        <w:rPr>
          <w:bCs/>
        </w:rPr>
        <w:t xml:space="preserve"> към юни 2018 г. </w:t>
      </w:r>
      <w:r w:rsidRPr="0078160A">
        <w:t xml:space="preserve">е </w:t>
      </w:r>
      <w:r w:rsidRPr="0078160A">
        <w:rPr>
          <w:b/>
        </w:rPr>
        <w:t>10 857,1 млн. лв</w:t>
      </w:r>
      <w:r w:rsidRPr="0078160A">
        <w:t>., което представлява 51,6 % изпълнение на годишните разчети</w:t>
      </w:r>
      <w:r w:rsidRPr="0078160A">
        <w:rPr>
          <w:b/>
          <w:bCs/>
        </w:rPr>
        <w:t xml:space="preserve"> </w:t>
      </w:r>
      <w:r w:rsidRPr="0078160A">
        <w:t xml:space="preserve">и номинален ръст от 886,2 млн. лв. </w:t>
      </w:r>
      <w:r w:rsidRPr="0078160A">
        <w:rPr>
          <w:lang w:val="en-US"/>
        </w:rPr>
        <w:t>(</w:t>
      </w:r>
      <w:r w:rsidRPr="0078160A">
        <w:t>8</w:t>
      </w:r>
      <w:proofErr w:type="gramStart"/>
      <w:r w:rsidRPr="0078160A">
        <w:t>,9</w:t>
      </w:r>
      <w:proofErr w:type="gramEnd"/>
      <w:r w:rsidRPr="0078160A">
        <w:t xml:space="preserve"> %) спрямо постъпленията за същия период на</w:t>
      </w:r>
      <w:r w:rsidRPr="0078160A">
        <w:rPr>
          <w:bCs/>
        </w:rPr>
        <w:t xml:space="preserve"> </w:t>
      </w:r>
      <w:r w:rsidRPr="0078160A">
        <w:t xml:space="preserve">2017 </w:t>
      </w:r>
      <w:r w:rsidRPr="0078160A">
        <w:rPr>
          <w:bCs/>
        </w:rPr>
        <w:t>година</w:t>
      </w:r>
      <w:r w:rsidRPr="0078160A">
        <w:t xml:space="preserve">. </w:t>
      </w:r>
    </w:p>
    <w:p w:rsidR="00FA3509" w:rsidRPr="00D6693B" w:rsidRDefault="00FA3509" w:rsidP="00FA3509">
      <w:pPr>
        <w:jc w:val="both"/>
        <w:rPr>
          <w:color w:val="0070C0"/>
          <w:sz w:val="8"/>
          <w:szCs w:val="8"/>
        </w:rPr>
      </w:pPr>
      <w:r w:rsidRPr="00D6693B">
        <w:rPr>
          <w:color w:val="0070C0"/>
          <w:sz w:val="8"/>
          <w:szCs w:val="8"/>
        </w:rPr>
        <w:t xml:space="preserve"> </w:t>
      </w:r>
    </w:p>
    <w:p w:rsidR="00FA3509" w:rsidRPr="00665D3D" w:rsidRDefault="00FA3509" w:rsidP="00FA3509">
      <w:pPr>
        <w:numPr>
          <w:ilvl w:val="0"/>
          <w:numId w:val="4"/>
        </w:numPr>
        <w:tabs>
          <w:tab w:val="clear" w:pos="1440"/>
          <w:tab w:val="num" w:pos="540"/>
        </w:tabs>
        <w:spacing w:after="120"/>
        <w:ind w:left="0" w:firstLine="181"/>
        <w:jc w:val="both"/>
        <w:rPr>
          <w:b/>
          <w:bCs/>
        </w:rPr>
      </w:pPr>
      <w:r w:rsidRPr="00665D3D">
        <w:rPr>
          <w:b/>
          <w:bCs/>
        </w:rPr>
        <w:t>Преки данъци</w:t>
      </w:r>
    </w:p>
    <w:p w:rsidR="00FA3509" w:rsidRPr="00665D3D" w:rsidRDefault="00FA3509" w:rsidP="00FA3509">
      <w:pPr>
        <w:spacing w:after="120"/>
        <w:jc w:val="both"/>
      </w:pPr>
      <w:r w:rsidRPr="00665D3D">
        <w:t>Приходите в групата на</w:t>
      </w:r>
      <w:r w:rsidRPr="00665D3D">
        <w:rPr>
          <w:b/>
        </w:rPr>
        <w:t xml:space="preserve"> преките данъци</w:t>
      </w:r>
      <w:r w:rsidRPr="00665D3D">
        <w:t xml:space="preserve"> са в размер на</w:t>
      </w:r>
      <w:r w:rsidRPr="00665D3D">
        <w:rPr>
          <w:b/>
        </w:rPr>
        <w:t> 3 103,6 млн. лв</w:t>
      </w:r>
      <w:r w:rsidRPr="00665D3D">
        <w:t xml:space="preserve">. или 54,1 % от планираните за годината, като съпоставени с данните за месец юни 2017 г. нарастват с 343,7 млн. лева (12,5 %). </w:t>
      </w:r>
    </w:p>
    <w:p w:rsidR="00FA3509" w:rsidRPr="00E97F4C" w:rsidRDefault="00FA3509" w:rsidP="00FA3509">
      <w:pPr>
        <w:spacing w:after="120"/>
        <w:jc w:val="both"/>
      </w:pPr>
      <w:r w:rsidRPr="00E97F4C">
        <w:t>Приходите от</w:t>
      </w:r>
      <w:r w:rsidRPr="00E97F4C">
        <w:rPr>
          <w:b/>
        </w:rPr>
        <w:t xml:space="preserve"> </w:t>
      </w:r>
      <w:r w:rsidRPr="00E97F4C">
        <w:rPr>
          <w:b/>
          <w:bCs/>
        </w:rPr>
        <w:t>корпоративни данъци</w:t>
      </w:r>
      <w:r w:rsidRPr="00E97F4C">
        <w:t xml:space="preserve"> </w:t>
      </w:r>
      <w:r w:rsidRPr="00E97F4C">
        <w:rPr>
          <w:bCs/>
        </w:rPr>
        <w:t xml:space="preserve">към юни </w:t>
      </w:r>
      <w:r w:rsidRPr="00E97F4C">
        <w:t xml:space="preserve">2018 г. са в размер на </w:t>
      </w:r>
      <w:r w:rsidRPr="00E97F4C">
        <w:rPr>
          <w:b/>
        </w:rPr>
        <w:t>1 292,9 млн. лв.</w:t>
      </w:r>
      <w:r w:rsidRPr="00E97F4C">
        <w:t xml:space="preserve"> или 54,7 % от годишния план. Съпоставено с юни 2017 г. приходите от корпоративни данъци </w:t>
      </w:r>
      <w:r w:rsidRPr="00E97F4C">
        <w:lastRenderedPageBreak/>
        <w:t>нарастват със 104,9 млн. лева (8,</w:t>
      </w:r>
      <w:proofErr w:type="spellStart"/>
      <w:r w:rsidRPr="00E97F4C">
        <w:t>8</w:t>
      </w:r>
      <w:proofErr w:type="spellEnd"/>
      <w:r w:rsidRPr="00E97F4C">
        <w:t> %)</w:t>
      </w:r>
      <w:r w:rsidRPr="00E97F4C">
        <w:rPr>
          <w:lang w:val="en-US"/>
        </w:rPr>
        <w:t>.</w:t>
      </w:r>
      <w:r w:rsidRPr="00E97F4C">
        <w:t xml:space="preserve"> Приходите от </w:t>
      </w:r>
      <w:r w:rsidRPr="00E97F4C">
        <w:rPr>
          <w:b/>
          <w:i/>
        </w:rPr>
        <w:t>нефинансови предприятия</w:t>
      </w:r>
      <w:r w:rsidRPr="00E97F4C">
        <w:t xml:space="preserve"> формират основната част от постъпленията от корпоративен данък.</w:t>
      </w:r>
      <w:r w:rsidRPr="00E97F4C">
        <w:rPr>
          <w:lang w:val="en-US"/>
        </w:rPr>
        <w:t xml:space="preserve"> </w:t>
      </w:r>
    </w:p>
    <w:p w:rsidR="00FA3509" w:rsidRPr="008C7CF2" w:rsidRDefault="00FA3509" w:rsidP="00FA3509">
      <w:pPr>
        <w:spacing w:after="120"/>
        <w:jc w:val="both"/>
      </w:pPr>
      <w:r w:rsidRPr="0047739F">
        <w:t>Приходите от</w:t>
      </w:r>
      <w:r w:rsidRPr="0047739F">
        <w:rPr>
          <w:b/>
        </w:rPr>
        <w:t xml:space="preserve"> данъци върху доходите на физически лица </w:t>
      </w:r>
      <w:r w:rsidRPr="0047739F">
        <w:t xml:space="preserve">са в размер на </w:t>
      </w:r>
      <w:r w:rsidRPr="0047739F">
        <w:rPr>
          <w:b/>
        </w:rPr>
        <w:t>1 810,7 млн. лв.</w:t>
      </w:r>
      <w:r w:rsidRPr="0047739F">
        <w:t xml:space="preserve"> или 53,7 % от заложените в разчета за годината и нарастват с 238,8 млн. лв. (15,2 %) спрямо същия </w:t>
      </w:r>
      <w:r w:rsidRPr="008C7CF2">
        <w:t xml:space="preserve">период на 2017 година. Върху размера на данъчните постъпления от ДДФЛ основно влияние имат развитието на параметрите на пазара на труда и предприетите законодателни и административни мерки в областта на трудовото, социалното и данъчното законодателство. За повишаване на приходите от ДДФЛ влияние оказват и предприетите мерки за намаляване на недекларирания труд, мерките за повишаване на събираемостта на задължения за минали периоди и информационните кампании, провеждани от НАП.           </w:t>
      </w:r>
    </w:p>
    <w:p w:rsidR="00FA3509" w:rsidRPr="000E4C66" w:rsidRDefault="00FA3509" w:rsidP="00FA3509">
      <w:pPr>
        <w:spacing w:after="120"/>
        <w:jc w:val="both"/>
      </w:pPr>
      <w:r w:rsidRPr="005A3995">
        <w:rPr>
          <w:i/>
        </w:rPr>
        <w:t>По трудови правоотношения</w:t>
      </w:r>
      <w:r w:rsidRPr="005A3995">
        <w:t xml:space="preserve"> приходите от данъка </w:t>
      </w:r>
      <w:r w:rsidRPr="005A3995">
        <w:rPr>
          <w:bCs/>
        </w:rPr>
        <w:t xml:space="preserve">към юни </w:t>
      </w:r>
      <w:r w:rsidRPr="005A3995">
        <w:t>2018 г. са 1 407,7 млн. лв., 50,6 % от годишните разчети. Върху размера на постъпленията през периода оказват влияние</w:t>
      </w:r>
      <w:r w:rsidRPr="005A3995">
        <w:rPr>
          <w:lang w:val="en-US"/>
        </w:rPr>
        <w:t xml:space="preserve">: </w:t>
      </w:r>
      <w:r w:rsidRPr="005A3995">
        <w:t>увеличението на минималната работна заплата за страната от 01.</w:t>
      </w:r>
      <w:proofErr w:type="spellStart"/>
      <w:r w:rsidRPr="005A3995">
        <w:t>01</w:t>
      </w:r>
      <w:proofErr w:type="spellEnd"/>
      <w:r w:rsidRPr="005A3995">
        <w:t>.2018 г.</w:t>
      </w:r>
      <w:r w:rsidRPr="005A3995">
        <w:rPr>
          <w:lang w:val="en-US"/>
        </w:rPr>
        <w:t xml:space="preserve">; </w:t>
      </w:r>
      <w:r w:rsidRPr="005A3995">
        <w:t>увеличението на минималните осигурителни прагове за 2018 г.</w:t>
      </w:r>
      <w:r w:rsidRPr="005A3995">
        <w:rPr>
          <w:lang w:val="en-US"/>
        </w:rPr>
        <w:t xml:space="preserve">; </w:t>
      </w:r>
      <w:r w:rsidRPr="005A3995">
        <w:t>увеличението на осигурителната вноска за фонд „Пенсии“</w:t>
      </w:r>
      <w:r w:rsidRPr="005A3995">
        <w:rPr>
          <w:lang w:val="en-US"/>
        </w:rPr>
        <w:t xml:space="preserve">; </w:t>
      </w:r>
      <w:r w:rsidRPr="005A3995">
        <w:t xml:space="preserve">промените в броя на наетите лица и заплащането </w:t>
      </w:r>
      <w:r w:rsidRPr="000E4C66">
        <w:t>на труда,</w:t>
      </w:r>
      <w:r w:rsidRPr="000E4C66">
        <w:rPr>
          <w:lang w:val="en-US"/>
        </w:rPr>
        <w:t xml:space="preserve"> </w:t>
      </w:r>
      <w:r w:rsidRPr="000E4C66">
        <w:t>и промените в нивото на безработица.</w:t>
      </w:r>
    </w:p>
    <w:p w:rsidR="00FA3509" w:rsidRPr="000E4C66" w:rsidRDefault="00FA3509" w:rsidP="00FA3509">
      <w:pPr>
        <w:spacing w:after="120"/>
        <w:jc w:val="both"/>
      </w:pPr>
      <w:r w:rsidRPr="000E4C66">
        <w:rPr>
          <w:i/>
        </w:rPr>
        <w:t xml:space="preserve">По </w:t>
      </w:r>
      <w:proofErr w:type="spellStart"/>
      <w:r w:rsidRPr="000E4C66">
        <w:rPr>
          <w:i/>
        </w:rPr>
        <w:t>извънтрудови</w:t>
      </w:r>
      <w:proofErr w:type="spellEnd"/>
      <w:r w:rsidRPr="000E4C66">
        <w:rPr>
          <w:i/>
        </w:rPr>
        <w:t xml:space="preserve"> правоотношения (свободни професии, граждански договори и др.)</w:t>
      </w:r>
      <w:r w:rsidRPr="000E4C66">
        <w:t xml:space="preserve"> приходите от данъка </w:t>
      </w:r>
      <w:r w:rsidRPr="000E4C66">
        <w:rPr>
          <w:bCs/>
        </w:rPr>
        <w:t xml:space="preserve">към юни </w:t>
      </w:r>
      <w:r w:rsidRPr="000E4C66">
        <w:t xml:space="preserve">2018 г. са в размер на 218,0 млн. лв., което е 63,7 % от годишния разчет. Основно влияние върху тези приходи оказват резултатите от годишните данъчни декларации по чл. 50 от ЗДДФЛ (дължим данък за довнасяне или надвнесен данък) и дължимите авансови вноски. Значителен принос за данъчните приходи от </w:t>
      </w:r>
      <w:proofErr w:type="spellStart"/>
      <w:r w:rsidRPr="000E4C66">
        <w:t>извънтрудови</w:t>
      </w:r>
      <w:proofErr w:type="spellEnd"/>
      <w:r w:rsidRPr="000E4C66">
        <w:t xml:space="preserve"> правоотношения имат и плащанията за минали години, които нарастват с 21,5 % на годишна основа.</w:t>
      </w:r>
    </w:p>
    <w:p w:rsidR="00FA3509" w:rsidRPr="005E3690" w:rsidRDefault="00FA3509" w:rsidP="00FA3509">
      <w:pPr>
        <w:spacing w:after="120"/>
        <w:jc w:val="both"/>
      </w:pPr>
      <w:r w:rsidRPr="005E3690">
        <w:rPr>
          <w:i/>
        </w:rPr>
        <w:t xml:space="preserve">Окончателен данък на местните и чуждестранни физически лица по чл. 37 и 38 от ЗДДФЛ </w:t>
      </w:r>
      <w:r w:rsidRPr="005E3690">
        <w:t xml:space="preserve">и </w:t>
      </w:r>
      <w:r w:rsidRPr="005E3690">
        <w:rPr>
          <w:i/>
        </w:rPr>
        <w:t>данък върху дивидентите и ликвидационните дялове на физически лица</w:t>
      </w:r>
      <w:r w:rsidRPr="005E3690">
        <w:t xml:space="preserve"> - постъпленията от тези данъци са в размер на 178,0 млн. лв., 79,0 % от годишния разчет. Съпоставени със същия период на предходната година постъпленията от данъка са нараснали със 75,1 млн. лв. Освен от благоприятната икономическа ситуация, приходите от данъка върху дивидентите и ликвидационните дялове на местни и чуждестранни физически лица са повлияни положително и от проведените действия от страна на НАП за проверка на декларираните касови наличности от дружествата в годишните данъчни декларации по ЗКПО за 2016 година. Ефектът от тази мярка продължава да се отчита и в началото на 2018 година.</w:t>
      </w:r>
    </w:p>
    <w:p w:rsidR="00FA3509" w:rsidRPr="007119BE" w:rsidRDefault="00FA3509" w:rsidP="00FA3509">
      <w:pPr>
        <w:spacing w:after="120"/>
        <w:jc w:val="both"/>
      </w:pPr>
      <w:r w:rsidRPr="007119BE">
        <w:t xml:space="preserve"> Постъпленията от </w:t>
      </w:r>
      <w:r w:rsidRPr="007119BE">
        <w:rPr>
          <w:i/>
        </w:rPr>
        <w:t xml:space="preserve">окончателния данък върху приходите от лихви от депозити на физическите лица </w:t>
      </w:r>
      <w:r w:rsidRPr="007119BE">
        <w:t>са в размер на 6,9 млн. лв., 28,9 % от годишния разчет.</w:t>
      </w:r>
    </w:p>
    <w:p w:rsidR="00FA3509" w:rsidRPr="00193DDD" w:rsidRDefault="00FA3509" w:rsidP="00FA3509">
      <w:pPr>
        <w:jc w:val="both"/>
        <w:rPr>
          <w:sz w:val="8"/>
          <w:szCs w:val="8"/>
        </w:rPr>
      </w:pPr>
    </w:p>
    <w:p w:rsidR="00FA3509" w:rsidRPr="00193DDD" w:rsidRDefault="00FA3509" w:rsidP="00FA3509">
      <w:pPr>
        <w:numPr>
          <w:ilvl w:val="0"/>
          <w:numId w:val="4"/>
        </w:numPr>
        <w:tabs>
          <w:tab w:val="clear" w:pos="1440"/>
          <w:tab w:val="num" w:pos="540"/>
        </w:tabs>
        <w:ind w:left="0" w:firstLine="180"/>
        <w:jc w:val="both"/>
        <w:rPr>
          <w:b/>
          <w:bCs/>
        </w:rPr>
      </w:pPr>
      <w:r w:rsidRPr="00193DDD">
        <w:rPr>
          <w:b/>
          <w:bCs/>
        </w:rPr>
        <w:t>Косвени данъци</w:t>
      </w:r>
    </w:p>
    <w:p w:rsidR="00FA3509" w:rsidRPr="00193DDD" w:rsidRDefault="00FA3509" w:rsidP="00FA3509">
      <w:pPr>
        <w:jc w:val="both"/>
        <w:rPr>
          <w:b/>
          <w:bCs/>
          <w:sz w:val="4"/>
          <w:szCs w:val="4"/>
        </w:rPr>
      </w:pPr>
    </w:p>
    <w:p w:rsidR="00FA3509" w:rsidRPr="00193DDD" w:rsidRDefault="00FA3509" w:rsidP="00FA3509">
      <w:pPr>
        <w:spacing w:after="120"/>
        <w:jc w:val="both"/>
      </w:pPr>
      <w:r w:rsidRPr="00193DDD">
        <w:t xml:space="preserve">Приходите от </w:t>
      </w:r>
      <w:r w:rsidRPr="00193DDD">
        <w:rPr>
          <w:b/>
        </w:rPr>
        <w:t>косвени данъци</w:t>
      </w:r>
      <w:r w:rsidRPr="00193DDD">
        <w:t xml:space="preserve"> </w:t>
      </w:r>
      <w:r w:rsidRPr="00193DDD">
        <w:rPr>
          <w:bCs/>
        </w:rPr>
        <w:t xml:space="preserve">към юни </w:t>
      </w:r>
      <w:r w:rsidRPr="00193DDD">
        <w:t xml:space="preserve">2018 г. са в размер на </w:t>
      </w:r>
      <w:r w:rsidRPr="00193DDD">
        <w:rPr>
          <w:b/>
        </w:rPr>
        <w:t>7 646,2 млн. лв</w:t>
      </w:r>
      <w:r w:rsidRPr="00193DDD">
        <w:t>. или 50,4 % от годишния разчет и номинален ръст от 536,0 млн. лв. (7,5 %) спрямо постъпленията за същия период на</w:t>
      </w:r>
      <w:r w:rsidRPr="00193DDD">
        <w:rPr>
          <w:bCs/>
        </w:rPr>
        <w:t xml:space="preserve"> </w:t>
      </w:r>
      <w:r w:rsidRPr="00193DDD">
        <w:t xml:space="preserve">2017 </w:t>
      </w:r>
      <w:r w:rsidRPr="00193DDD">
        <w:rPr>
          <w:bCs/>
        </w:rPr>
        <w:t>година</w:t>
      </w:r>
      <w:r w:rsidRPr="00193DDD">
        <w:t>.</w:t>
      </w:r>
    </w:p>
    <w:p w:rsidR="00FA3509" w:rsidRPr="0093268B" w:rsidRDefault="00FA3509" w:rsidP="00FA3509">
      <w:pPr>
        <w:spacing w:after="120"/>
        <w:jc w:val="both"/>
        <w:rPr>
          <w:lang w:val="en-US"/>
        </w:rPr>
      </w:pPr>
      <w:r w:rsidRPr="0093268B">
        <w:rPr>
          <w:b/>
        </w:rPr>
        <w:t>Приходите от ДДС</w:t>
      </w:r>
      <w:r w:rsidRPr="0093268B">
        <w:t xml:space="preserve"> са в размер на </w:t>
      </w:r>
      <w:r w:rsidRPr="0093268B">
        <w:rPr>
          <w:b/>
        </w:rPr>
        <w:t>5 101,5</w:t>
      </w:r>
      <w:r w:rsidRPr="0093268B">
        <w:t xml:space="preserve"> </w:t>
      </w:r>
      <w:r w:rsidRPr="0093268B">
        <w:rPr>
          <w:b/>
        </w:rPr>
        <w:t>млн. лв.,</w:t>
      </w:r>
      <w:r w:rsidRPr="0093268B">
        <w:t xml:space="preserve"> което представлява 52,2 % от планираните със ЗДБРБ за 2018 година. Постъпленията от ДДС нарастват номинално с 370,5 млн. лв. (7,8 %) спрямо отчетените за същия период на предходната година и формират 47,0 % от данъчните приходи по държавния бюджет. </w:t>
      </w:r>
    </w:p>
    <w:p w:rsidR="00FA3509" w:rsidRPr="00AC373E" w:rsidRDefault="00FA3509" w:rsidP="00FA3509">
      <w:pPr>
        <w:spacing w:after="120"/>
        <w:jc w:val="both"/>
      </w:pPr>
      <w:r w:rsidRPr="00AC373E">
        <w:t xml:space="preserve">Нетният размер на приходите от </w:t>
      </w:r>
      <w:r w:rsidRPr="00AC373E">
        <w:rPr>
          <w:i/>
        </w:rPr>
        <w:t>ДДС от внос</w:t>
      </w:r>
      <w:r w:rsidRPr="00AC373E">
        <w:t xml:space="preserve"> </w:t>
      </w:r>
      <w:r w:rsidRPr="00AC373E">
        <w:rPr>
          <w:bCs/>
        </w:rPr>
        <w:t xml:space="preserve">към юни </w:t>
      </w:r>
      <w:r w:rsidRPr="00AC373E">
        <w:t>2018 г. е 2 069,6 млн. лева. Влияние върху постъпленията от ДДС от внос оказват цената на суровия петрол, количествата на внасяните стоки за междинно потребление (черни, цветни метали и др.), курса на щатския долар спрямо еврото и други.</w:t>
      </w:r>
    </w:p>
    <w:p w:rsidR="00FA3509" w:rsidRPr="003A019E" w:rsidRDefault="00FA3509" w:rsidP="00FA3509">
      <w:pPr>
        <w:spacing w:after="120"/>
        <w:jc w:val="both"/>
        <w:rPr>
          <w:b/>
        </w:rPr>
      </w:pPr>
      <w:r w:rsidRPr="003A019E">
        <w:t>Постъпленията от</w:t>
      </w:r>
      <w:r w:rsidRPr="003A019E">
        <w:rPr>
          <w:i/>
        </w:rPr>
        <w:t xml:space="preserve"> ДДС при сделки в страната (нето)</w:t>
      </w:r>
      <w:r w:rsidRPr="003A019E">
        <w:t xml:space="preserve"> </w:t>
      </w:r>
      <w:r w:rsidRPr="003A019E">
        <w:rPr>
          <w:bCs/>
        </w:rPr>
        <w:t xml:space="preserve">към юни </w:t>
      </w:r>
      <w:r w:rsidRPr="003A019E">
        <w:t xml:space="preserve">2018 г.  възлизат на 3 031,9 млн. лева. </w:t>
      </w:r>
      <w:r w:rsidRPr="003A019E">
        <w:rPr>
          <w:bCs/>
        </w:rPr>
        <w:t>Невъзстановеният данъчен кредит на фирми към 30.06.2018 г. е в размер на 61,1 млн. лева.</w:t>
      </w:r>
    </w:p>
    <w:p w:rsidR="00FA3509" w:rsidRPr="00231C7E" w:rsidRDefault="00FA3509" w:rsidP="00FA3509">
      <w:pPr>
        <w:spacing w:after="120"/>
        <w:jc w:val="both"/>
        <w:rPr>
          <w:rStyle w:val="Strong"/>
          <w:b w:val="0"/>
        </w:rPr>
      </w:pPr>
      <w:r w:rsidRPr="00231C7E">
        <w:rPr>
          <w:b/>
        </w:rPr>
        <w:lastRenderedPageBreak/>
        <w:t xml:space="preserve">Приходите от акцизи (нето) </w:t>
      </w:r>
      <w:r w:rsidRPr="00231C7E">
        <w:t xml:space="preserve">от внос, вътрешно производство и въведени в страната от други държави-членки на ЕС акцизни стоки са в размер на </w:t>
      </w:r>
      <w:r w:rsidRPr="00231C7E">
        <w:rPr>
          <w:b/>
        </w:rPr>
        <w:t>2 408,4 млн. лв</w:t>
      </w:r>
      <w:r w:rsidRPr="00231C7E">
        <w:t>., което е 46,8 % от планираните със ЗДБРБ за 2018 г. Съпоставено със същия период на 2017 г. постъпленията нарастват със 138,6 млн. лв., което представлява ръст от 6,1 %.</w:t>
      </w:r>
    </w:p>
    <w:p w:rsidR="00FA3509" w:rsidRPr="00DF3B82" w:rsidRDefault="00FA3509" w:rsidP="00FA3509">
      <w:pPr>
        <w:spacing w:after="120"/>
        <w:jc w:val="both"/>
        <w:rPr>
          <w:lang w:val="en-US"/>
        </w:rPr>
      </w:pPr>
      <w:r w:rsidRPr="00DF3B82">
        <w:t>Нетните постъпления от акциз са от следните основни стокови групи: тютюневи изделия (48,4 %);</w:t>
      </w:r>
      <w:r w:rsidRPr="00DF3B82">
        <w:rPr>
          <w:lang w:val="en-US"/>
        </w:rPr>
        <w:t xml:space="preserve"> </w:t>
      </w:r>
      <w:r w:rsidRPr="00DF3B82">
        <w:t>горива (44,8 %); алкохолни напитки и пиво (5,9 %) и други акцизни стоки – електрическа енергия, въглища и кокс (0,9 %). Постъпления от акциз към юни 2018 г. по основни стокови групи, са както следва:</w:t>
      </w:r>
    </w:p>
    <w:p w:rsidR="00FA3509" w:rsidRPr="007665D2" w:rsidRDefault="00FA3509" w:rsidP="00FA3509">
      <w:pPr>
        <w:numPr>
          <w:ilvl w:val="0"/>
          <w:numId w:val="19"/>
        </w:numPr>
        <w:jc w:val="both"/>
      </w:pPr>
      <w:r w:rsidRPr="007665D2">
        <w:rPr>
          <w:i/>
        </w:rPr>
        <w:t>Акцизите от тютюневи изделия</w:t>
      </w:r>
      <w:r w:rsidRPr="007665D2">
        <w:t xml:space="preserve">  възлизат на 1 164,6 млн. лева; </w:t>
      </w:r>
    </w:p>
    <w:p w:rsidR="00FA3509" w:rsidRPr="007665D2" w:rsidRDefault="00FA3509" w:rsidP="00FA3509">
      <w:pPr>
        <w:numPr>
          <w:ilvl w:val="0"/>
          <w:numId w:val="19"/>
        </w:numPr>
        <w:jc w:val="both"/>
      </w:pPr>
      <w:r w:rsidRPr="007665D2">
        <w:rPr>
          <w:i/>
        </w:rPr>
        <w:t>Акцизите от горив</w:t>
      </w:r>
      <w:r w:rsidRPr="007665D2">
        <w:t xml:space="preserve">а са в размер на 1 079,3 млн. лева; </w:t>
      </w:r>
    </w:p>
    <w:p w:rsidR="00FA3509" w:rsidRPr="007665D2" w:rsidRDefault="00FA3509" w:rsidP="00FA3509">
      <w:pPr>
        <w:numPr>
          <w:ilvl w:val="0"/>
          <w:numId w:val="19"/>
        </w:numPr>
        <w:jc w:val="both"/>
      </w:pPr>
      <w:r w:rsidRPr="007665D2">
        <w:rPr>
          <w:i/>
        </w:rPr>
        <w:t xml:space="preserve">Акцизите от алкохолни напитки и пиво </w:t>
      </w:r>
      <w:r w:rsidRPr="007665D2">
        <w:t xml:space="preserve"> възлизат на 143,2 млн. лева; </w:t>
      </w:r>
    </w:p>
    <w:p w:rsidR="00FA3509" w:rsidRPr="007665D2" w:rsidRDefault="00FA3509" w:rsidP="00FA3509">
      <w:pPr>
        <w:numPr>
          <w:ilvl w:val="0"/>
          <w:numId w:val="19"/>
        </w:numPr>
        <w:jc w:val="both"/>
      </w:pPr>
      <w:r w:rsidRPr="007665D2">
        <w:rPr>
          <w:i/>
        </w:rPr>
        <w:t xml:space="preserve">Приходите от други акцизни стоки - електрическа енергия, въглища и кокс </w:t>
      </w:r>
      <w:r w:rsidRPr="007665D2">
        <w:t>– възлизат на 21,3 млн. лева.</w:t>
      </w:r>
    </w:p>
    <w:p w:rsidR="00FA3509" w:rsidRPr="00D6693B" w:rsidRDefault="00FA3509" w:rsidP="00FA3509">
      <w:pPr>
        <w:ind w:left="360"/>
        <w:jc w:val="both"/>
        <w:rPr>
          <w:color w:val="0070C0"/>
          <w:sz w:val="8"/>
          <w:szCs w:val="8"/>
        </w:rPr>
      </w:pPr>
    </w:p>
    <w:p w:rsidR="00FA3509" w:rsidRPr="0063741A" w:rsidRDefault="00FA3509" w:rsidP="00FA3509">
      <w:pPr>
        <w:spacing w:after="120"/>
        <w:jc w:val="both"/>
      </w:pPr>
      <w:r w:rsidRPr="0063741A">
        <w:rPr>
          <w:b/>
        </w:rPr>
        <w:t>Приходите от данък върху застрахователните премии</w:t>
      </w:r>
      <w:r w:rsidRPr="0063741A">
        <w:t xml:space="preserve"> по облагаеми застрахователни договори (рисковете, по които са поети от застрахователи) са в размер на </w:t>
      </w:r>
      <w:r w:rsidRPr="0063741A">
        <w:rPr>
          <w:b/>
        </w:rPr>
        <w:t>18,1 млн. лв</w:t>
      </w:r>
      <w:r w:rsidRPr="0063741A">
        <w:t>., при планирани за годината 36,3 млн. лева.</w:t>
      </w:r>
    </w:p>
    <w:p w:rsidR="00FA3509" w:rsidRPr="003476F0" w:rsidRDefault="00FA3509" w:rsidP="00FA3509">
      <w:pPr>
        <w:tabs>
          <w:tab w:val="right" w:pos="9072"/>
        </w:tabs>
        <w:ind w:right="-2"/>
        <w:jc w:val="both"/>
      </w:pPr>
      <w:r w:rsidRPr="000F01A8">
        <w:rPr>
          <w:b/>
        </w:rPr>
        <w:t>Постъпленията от</w:t>
      </w:r>
      <w:r w:rsidRPr="000F01A8">
        <w:t xml:space="preserve"> </w:t>
      </w:r>
      <w:r w:rsidRPr="000F01A8">
        <w:rPr>
          <w:b/>
          <w:bCs/>
        </w:rPr>
        <w:t xml:space="preserve">мита </w:t>
      </w:r>
      <w:r w:rsidRPr="000F01A8">
        <w:t xml:space="preserve">възлизат на </w:t>
      </w:r>
      <w:r w:rsidRPr="000F01A8">
        <w:rPr>
          <w:b/>
        </w:rPr>
        <w:t>118,2 млн. лв</w:t>
      </w:r>
      <w:r w:rsidRPr="000F01A8">
        <w:t>. или 62,2 % от планираните със ЗДБРБ за 2018 г., като заемат 1,</w:t>
      </w:r>
      <w:proofErr w:type="spellStart"/>
      <w:r w:rsidRPr="000F01A8">
        <w:t>1</w:t>
      </w:r>
      <w:proofErr w:type="spellEnd"/>
      <w:r w:rsidRPr="000F01A8">
        <w:t xml:space="preserve"> % относителен дял в общия размер на данъчните приходи по държавния </w:t>
      </w:r>
      <w:r w:rsidRPr="003670BE">
        <w:t xml:space="preserve">бюджет. В сравнение с края на месец юни 2017 г. събраните мита са с 25,0 млн. лв. (26,9 %) повече. </w:t>
      </w:r>
      <w:r w:rsidRPr="00A371A8">
        <w:t>По-високите постъпленията от мита за отчетния период, спрямо предходната година са следствие от ръста в приходите при следните стокови групи: „Различни видове продукти на химическата промишленост“ – постъпленията към края на юни 2018 г. възлизат на 10,9 млн. лв., като нарастват с 9,4 млн. лв. на годишна база. Основна роля за това нарастване имат завишените приходи от мита при внос на стоки от вид „</w:t>
      </w:r>
      <w:proofErr w:type="spellStart"/>
      <w:r w:rsidRPr="00A371A8">
        <w:t>Биодизел</w:t>
      </w:r>
      <w:proofErr w:type="spellEnd"/>
      <w:r w:rsidRPr="00A371A8">
        <w:t xml:space="preserve"> и сме</w:t>
      </w:r>
      <w:r w:rsidRPr="00CC6820">
        <w:t xml:space="preserve">си от </w:t>
      </w:r>
      <w:proofErr w:type="spellStart"/>
      <w:r w:rsidRPr="00CC6820">
        <w:t>биодизел</w:t>
      </w:r>
      <w:proofErr w:type="spellEnd"/>
      <w:r w:rsidRPr="00CC6820">
        <w:t>“</w:t>
      </w:r>
      <w:r w:rsidRPr="00CC6820">
        <w:rPr>
          <w:lang w:val="en-US"/>
        </w:rPr>
        <w:t>;</w:t>
      </w:r>
      <w:r w:rsidRPr="00CC6820">
        <w:t xml:space="preserve"> „Пластмаси и пластмасови изделия“ – към края на юни 2018 г. постъпленията са в размер на 8,</w:t>
      </w:r>
      <w:proofErr w:type="spellStart"/>
      <w:r w:rsidRPr="00CC6820">
        <w:t>8</w:t>
      </w:r>
      <w:proofErr w:type="spellEnd"/>
      <w:r w:rsidRPr="00CC6820">
        <w:t xml:space="preserve"> млн. лева и са с 2,8 млн. лева (48,5 %) повече спрямо първите шест месеца на 2017 г</w:t>
      </w:r>
      <w:r w:rsidRPr="00B244FC">
        <w:t>.</w:t>
      </w:r>
      <w:r w:rsidRPr="00B244FC">
        <w:rPr>
          <w:lang w:val="en-US"/>
        </w:rPr>
        <w:t>;</w:t>
      </w:r>
      <w:r w:rsidRPr="00B244FC">
        <w:t xml:space="preserve"> „Електрически машини и апарати, електроматериали и техните части“ - постъпленията към 30.06.2018 г. възлизат на 9,7 млн. лв. и са </w:t>
      </w:r>
      <w:r w:rsidRPr="006763A8">
        <w:t>с 1,9 млн. лв. (24,4 %) повече спрямо същия период  на 2017 г.</w:t>
      </w:r>
      <w:r w:rsidRPr="006763A8">
        <w:rPr>
          <w:lang w:val="en-US"/>
        </w:rPr>
        <w:t>;</w:t>
      </w:r>
      <w:r w:rsidRPr="006763A8">
        <w:t xml:space="preserve"> „Неблагородни метали и изделия от тези метали“ – постъпленията са в размер на 1,2 млн. лв. и са с 1,0 млн. лв. повече спрямо юни</w:t>
      </w:r>
      <w:r>
        <w:t xml:space="preserve"> 2017 г</w:t>
      </w:r>
      <w:r w:rsidRPr="006763A8">
        <w:t>.</w:t>
      </w:r>
      <w:r w:rsidRPr="00C0149F">
        <w:rPr>
          <w:lang w:val="en-US"/>
        </w:rPr>
        <w:t xml:space="preserve"> </w:t>
      </w:r>
      <w:r w:rsidRPr="00B244FC">
        <w:rPr>
          <w:lang w:val="en-US"/>
        </w:rPr>
        <w:t>;</w:t>
      </w:r>
      <w:r w:rsidRPr="006763A8">
        <w:rPr>
          <w:lang w:val="en-US"/>
        </w:rPr>
        <w:t xml:space="preserve"> </w:t>
      </w:r>
      <w:r w:rsidRPr="00FD5DF2">
        <w:t>„Автомобилни превозни средства, трактори, мотоциклети и велосипеди, и други сухопътни превозни средства, техните части и принадлежности“– 9</w:t>
      </w:r>
      <w:proofErr w:type="gramStart"/>
      <w:r w:rsidRPr="00FD5DF2">
        <w:t>,</w:t>
      </w:r>
      <w:proofErr w:type="spellStart"/>
      <w:r w:rsidRPr="00FD5DF2">
        <w:t>9</w:t>
      </w:r>
      <w:proofErr w:type="spellEnd"/>
      <w:proofErr w:type="gramEnd"/>
      <w:r w:rsidRPr="00FD5DF2">
        <w:t xml:space="preserve"> млн. лв., с 1,0 млн. лв. (11,1%) повече от тези за същия период на 2017 г.; „Тютюн и обработени заместители на тютюн“ – 1,6 млн. лв., с 0,9 млн. лв. повече спрямо приходите за същия период на 2017 г. Най-сериозен</w:t>
      </w:r>
      <w:r w:rsidRPr="00420A57">
        <w:t xml:space="preserve"> спад в приходите от мита през първите шест месеца на 2018 г. се наблюдава при вноса на стоки от глава „Ядрени реактори, котли, машини, </w:t>
      </w:r>
      <w:r w:rsidRPr="00152F61">
        <w:t>апарати и механизми; части за тези машини или апарати“, като намалението е в размер на 2,1 млн. лв. (17,1 %). Понижение на постъпленията от мита се отчита и при вноса на стоки по глава „Оръжия, муниции и техните части, и принадлежности“ – спад с 0,8 млн. лв.</w:t>
      </w:r>
      <w:r w:rsidRPr="00152F61">
        <w:rPr>
          <w:lang w:val="en-US"/>
        </w:rPr>
        <w:t xml:space="preserve"> (</w:t>
      </w:r>
      <w:r w:rsidRPr="00152F61">
        <w:t>67</w:t>
      </w:r>
      <w:proofErr w:type="gramStart"/>
      <w:r w:rsidRPr="00152F61">
        <w:t>,5</w:t>
      </w:r>
      <w:proofErr w:type="gramEnd"/>
      <w:r w:rsidRPr="00152F61">
        <w:rPr>
          <w:b/>
        </w:rPr>
        <w:t> </w:t>
      </w:r>
      <w:r w:rsidRPr="00152F61">
        <w:t>%</w:t>
      </w:r>
      <w:r w:rsidRPr="00152F61">
        <w:rPr>
          <w:lang w:val="en-US"/>
        </w:rPr>
        <w:t>)</w:t>
      </w:r>
      <w:r w:rsidRPr="00152F61">
        <w:t xml:space="preserve"> и при вноса на стоки по </w:t>
      </w:r>
      <w:r w:rsidRPr="0045740C">
        <w:t xml:space="preserve">глава „Изделия от чугун, желязо или стомана“ - намаление с </w:t>
      </w:r>
      <w:r w:rsidRPr="0045740C">
        <w:rPr>
          <w:lang w:val="en-US"/>
        </w:rPr>
        <w:t>0</w:t>
      </w:r>
      <w:r w:rsidRPr="0045740C">
        <w:t>,</w:t>
      </w:r>
      <w:r w:rsidRPr="0045740C">
        <w:rPr>
          <w:lang w:val="en-US"/>
        </w:rPr>
        <w:t>4</w:t>
      </w:r>
      <w:r w:rsidRPr="0045740C">
        <w:t xml:space="preserve"> млн. лв. (</w:t>
      </w:r>
      <w:r w:rsidRPr="0045740C">
        <w:rPr>
          <w:lang w:val="en-US"/>
        </w:rPr>
        <w:t>10</w:t>
      </w:r>
      <w:r>
        <w:t>,</w:t>
      </w:r>
      <w:r w:rsidRPr="0045740C">
        <w:rPr>
          <w:lang w:val="en-US"/>
        </w:rPr>
        <w:t>8</w:t>
      </w:r>
      <w:r w:rsidRPr="0045740C">
        <w:t xml:space="preserve"> %) на годишна база. В зависимост от произхода на внасяните стоки, най-голям е делът на приходите от мита при внос на стоки от Китай, като към края на юни 2018</w:t>
      </w:r>
      <w:r w:rsidRPr="00152F61">
        <w:t> </w:t>
      </w:r>
      <w:r w:rsidRPr="0045740C">
        <w:t xml:space="preserve">г. </w:t>
      </w:r>
      <w:r w:rsidRPr="00B6330A">
        <w:t xml:space="preserve">постъпленията възлизат на </w:t>
      </w:r>
      <w:r w:rsidRPr="00B6330A">
        <w:rPr>
          <w:lang w:val="en-US"/>
        </w:rPr>
        <w:t>47</w:t>
      </w:r>
      <w:r w:rsidRPr="00B6330A">
        <w:t>,</w:t>
      </w:r>
      <w:r w:rsidRPr="00B6330A">
        <w:rPr>
          <w:lang w:val="en-US"/>
        </w:rPr>
        <w:t>6</w:t>
      </w:r>
      <w:r w:rsidRPr="00B6330A">
        <w:t xml:space="preserve"> млн. лв. и са със </w:t>
      </w:r>
      <w:r w:rsidRPr="00B6330A">
        <w:rPr>
          <w:lang w:val="en-US"/>
        </w:rPr>
        <w:t>17</w:t>
      </w:r>
      <w:r w:rsidRPr="00B6330A">
        <w:t>,</w:t>
      </w:r>
      <w:r w:rsidRPr="00B6330A">
        <w:rPr>
          <w:lang w:val="en-US"/>
        </w:rPr>
        <w:t>3</w:t>
      </w:r>
      <w:r w:rsidRPr="00B6330A">
        <w:t xml:space="preserve"> % повече спрямо първите шест месеца на 2017 година. Те формират 42,</w:t>
      </w:r>
      <w:r w:rsidRPr="00B6330A">
        <w:rPr>
          <w:lang w:val="en-US"/>
        </w:rPr>
        <w:t>0</w:t>
      </w:r>
      <w:r w:rsidRPr="00B6330A">
        <w:t xml:space="preserve"> % от общия обем на митата за периода. </w:t>
      </w:r>
      <w:r w:rsidRPr="005C7488">
        <w:rPr>
          <w:color w:val="000000"/>
        </w:rPr>
        <w:t>На второ място са приходите от мита за внос на стоки с произход Русия</w:t>
      </w:r>
      <w:r w:rsidRPr="00F21ABB">
        <w:t xml:space="preserve">, които са в размер на </w:t>
      </w:r>
      <w:r w:rsidRPr="005C7488">
        <w:rPr>
          <w:color w:val="000000"/>
        </w:rPr>
        <w:t>10</w:t>
      </w:r>
      <w:r>
        <w:rPr>
          <w:color w:val="000000"/>
        </w:rPr>
        <w:t>,</w:t>
      </w:r>
      <w:r w:rsidRPr="005C7488">
        <w:rPr>
          <w:color w:val="000000"/>
        </w:rPr>
        <w:t>6</w:t>
      </w:r>
      <w:r w:rsidRPr="00152F61">
        <w:rPr>
          <w:b/>
        </w:rPr>
        <w:t> </w:t>
      </w:r>
      <w:r w:rsidRPr="00462A32">
        <w:t xml:space="preserve">млн. лв., 9,4 % относителен дял за периода и спад от 25,7 % на годишна база. Следват приходите от мита за стоки, </w:t>
      </w:r>
      <w:r w:rsidRPr="00B25F72">
        <w:t>внесени от Аржентина,</w:t>
      </w:r>
      <w:r w:rsidRPr="00462A32">
        <w:t xml:space="preserve"> които са в размер на 9,6 млн. лв. и </w:t>
      </w:r>
      <w:r>
        <w:t xml:space="preserve">имат </w:t>
      </w:r>
      <w:r w:rsidRPr="00462A32">
        <w:t>относителен дял от 8,4</w:t>
      </w:r>
      <w:r w:rsidRPr="00462A32">
        <w:rPr>
          <w:lang w:val="ru-RU"/>
        </w:rPr>
        <w:t xml:space="preserve"> </w:t>
      </w:r>
      <w:r w:rsidRPr="00462A32">
        <w:t xml:space="preserve">% от всички </w:t>
      </w:r>
      <w:r w:rsidRPr="007D2E87">
        <w:t xml:space="preserve">мита. Приходите от мита за стоки от Япония са в размер на 6,4 млн. лв., като се повишават с 29,5 % спрямо същия период на предходната година и формират 5,7 % от </w:t>
      </w:r>
      <w:r w:rsidRPr="003476F0">
        <w:t>всички мита. Постъпленията от внос на стоки с произход САЩ възлизат на 4,8 млн. лв., като отчитат ръст с</w:t>
      </w:r>
      <w:r>
        <w:t>ъс</w:t>
      </w:r>
      <w:r w:rsidRPr="003476F0">
        <w:t xml:space="preserve"> 17,0 % и представляват 4,2 % от всички мита. </w:t>
      </w:r>
    </w:p>
    <w:p w:rsidR="00FA3509" w:rsidRPr="00D6693B" w:rsidRDefault="00FA3509" w:rsidP="00FA3509">
      <w:pPr>
        <w:shd w:val="clear" w:color="auto" w:fill="FFFFFF"/>
        <w:ind w:right="113"/>
        <w:jc w:val="both"/>
        <w:rPr>
          <w:i/>
          <w:color w:val="0070C0"/>
          <w:sz w:val="8"/>
          <w:szCs w:val="8"/>
        </w:rPr>
      </w:pPr>
    </w:p>
    <w:p w:rsidR="00FA3509" w:rsidRPr="001E1757" w:rsidRDefault="00FA3509" w:rsidP="00FA3509">
      <w:pPr>
        <w:numPr>
          <w:ilvl w:val="0"/>
          <w:numId w:val="4"/>
        </w:numPr>
        <w:tabs>
          <w:tab w:val="clear" w:pos="1440"/>
          <w:tab w:val="num" w:pos="540"/>
        </w:tabs>
        <w:ind w:left="0" w:firstLine="180"/>
        <w:jc w:val="both"/>
        <w:rPr>
          <w:b/>
          <w:bCs/>
        </w:rPr>
      </w:pPr>
      <w:r w:rsidRPr="001E1757">
        <w:rPr>
          <w:b/>
          <w:bCs/>
        </w:rPr>
        <w:lastRenderedPageBreak/>
        <w:t>Други данъци</w:t>
      </w:r>
    </w:p>
    <w:p w:rsidR="00FA3509" w:rsidRPr="00397211" w:rsidRDefault="00FA3509" w:rsidP="00FA3509">
      <w:pPr>
        <w:spacing w:after="120"/>
        <w:ind w:right="-110"/>
        <w:jc w:val="both"/>
      </w:pPr>
      <w:r w:rsidRPr="00397211">
        <w:t xml:space="preserve">Постъпленията от </w:t>
      </w:r>
      <w:r w:rsidRPr="00397211">
        <w:rPr>
          <w:b/>
        </w:rPr>
        <w:t>други данъци</w:t>
      </w:r>
      <w:r w:rsidRPr="00397211">
        <w:t xml:space="preserve"> по държавния бюджет </w:t>
      </w:r>
      <w:r w:rsidRPr="00397211">
        <w:rPr>
          <w:bCs/>
        </w:rPr>
        <w:t xml:space="preserve">към юни </w:t>
      </w:r>
      <w:r w:rsidRPr="00397211">
        <w:t xml:space="preserve">2018 г. са в размер на </w:t>
      </w:r>
      <w:r w:rsidRPr="00397211">
        <w:rPr>
          <w:b/>
        </w:rPr>
        <w:t xml:space="preserve">107,3 млн. лв. </w:t>
      </w:r>
      <w:r w:rsidRPr="00397211">
        <w:t xml:space="preserve">или 72,6 % от планираните със ЗДБРБ за 2018 година. </w:t>
      </w:r>
    </w:p>
    <w:p w:rsidR="00FA3509" w:rsidRPr="003068CF" w:rsidRDefault="00FA3509" w:rsidP="00FA3509">
      <w:pPr>
        <w:numPr>
          <w:ilvl w:val="0"/>
          <w:numId w:val="3"/>
        </w:numPr>
        <w:tabs>
          <w:tab w:val="num" w:pos="720"/>
        </w:tabs>
        <w:ind w:left="0" w:firstLine="180"/>
        <w:jc w:val="both"/>
      </w:pPr>
      <w:r w:rsidRPr="003068CF">
        <w:rPr>
          <w:b/>
          <w:bCs/>
        </w:rPr>
        <w:t>Неданъчни приходи</w:t>
      </w:r>
    </w:p>
    <w:p w:rsidR="00FA3509" w:rsidRPr="00B35A91" w:rsidRDefault="00FA3509" w:rsidP="00FA3509">
      <w:pPr>
        <w:tabs>
          <w:tab w:val="left" w:pos="900"/>
        </w:tabs>
        <w:spacing w:after="120"/>
        <w:jc w:val="both"/>
        <w:rPr>
          <w:lang w:val="en-US"/>
        </w:rPr>
      </w:pPr>
      <w:r w:rsidRPr="00B35A91">
        <w:t>Отчетените</w:t>
      </w:r>
      <w:r w:rsidRPr="00B35A91">
        <w:rPr>
          <w:b/>
          <w:bCs/>
        </w:rPr>
        <w:t xml:space="preserve"> неданъчни приходи</w:t>
      </w:r>
      <w:r w:rsidRPr="00B35A91">
        <w:t xml:space="preserve"> по държавния бюджет </w:t>
      </w:r>
      <w:r w:rsidRPr="00B35A91">
        <w:rPr>
          <w:bCs/>
        </w:rPr>
        <w:t xml:space="preserve">към юни </w:t>
      </w:r>
      <w:r w:rsidRPr="00B35A91">
        <w:t xml:space="preserve">2018 г. са в размер на </w:t>
      </w:r>
      <w:r w:rsidRPr="00B35A91">
        <w:rPr>
          <w:b/>
        </w:rPr>
        <w:t>1 102,1 млн. лв</w:t>
      </w:r>
      <w:r w:rsidRPr="00B35A91">
        <w:t xml:space="preserve">. и се формират основно от приходи от държавни такси, приходи и доходи от собственост, приходи от концесии и други. </w:t>
      </w:r>
    </w:p>
    <w:p w:rsidR="00FA3509" w:rsidRPr="00C24CB7" w:rsidRDefault="00FA3509" w:rsidP="00012533">
      <w:pPr>
        <w:numPr>
          <w:ilvl w:val="0"/>
          <w:numId w:val="3"/>
        </w:numPr>
        <w:tabs>
          <w:tab w:val="num" w:pos="720"/>
        </w:tabs>
        <w:ind w:left="0" w:firstLine="180"/>
        <w:jc w:val="both"/>
        <w:rPr>
          <w:b/>
          <w:bCs/>
        </w:rPr>
      </w:pPr>
      <w:r w:rsidRPr="00C24CB7">
        <w:rPr>
          <w:b/>
          <w:bCs/>
        </w:rPr>
        <w:t xml:space="preserve">Помощи </w:t>
      </w:r>
    </w:p>
    <w:p w:rsidR="00FA3509" w:rsidRPr="00C24CB7" w:rsidRDefault="00FA3509" w:rsidP="00012533">
      <w:pPr>
        <w:jc w:val="both"/>
      </w:pPr>
      <w:r w:rsidRPr="00C24CB7">
        <w:t xml:space="preserve">Постъпилите </w:t>
      </w:r>
      <w:r w:rsidRPr="00C24CB7">
        <w:rPr>
          <w:b/>
        </w:rPr>
        <w:t>помощи</w:t>
      </w:r>
      <w:r w:rsidRPr="00C24CB7">
        <w:t xml:space="preserve"> по държавния бюджет към юни 2018 г. са в размер на </w:t>
      </w:r>
      <w:r>
        <w:rPr>
          <w:b/>
        </w:rPr>
        <w:t>5</w:t>
      </w:r>
      <w:r w:rsidRPr="00C24CB7">
        <w:rPr>
          <w:b/>
        </w:rPr>
        <w:t>,8 млн. лв.</w:t>
      </w:r>
      <w:r w:rsidRPr="00C24CB7">
        <w:t xml:space="preserve"> и са по бюджетите на министерствата и ведомствата.</w:t>
      </w:r>
    </w:p>
    <w:p w:rsidR="00FA3509" w:rsidRPr="007F1448" w:rsidRDefault="00FA3509" w:rsidP="00FA3509">
      <w:pPr>
        <w:numPr>
          <w:ilvl w:val="0"/>
          <w:numId w:val="6"/>
        </w:numPr>
        <w:tabs>
          <w:tab w:val="clear" w:pos="700"/>
          <w:tab w:val="num" w:pos="786"/>
        </w:tabs>
        <w:spacing w:before="240"/>
        <w:ind w:left="0" w:firstLine="0"/>
        <w:jc w:val="both"/>
        <w:rPr>
          <w:b/>
          <w:bCs/>
        </w:rPr>
      </w:pPr>
      <w:r w:rsidRPr="007F1448">
        <w:rPr>
          <w:b/>
          <w:bCs/>
        </w:rPr>
        <w:t>Разходи по държавния бюджет</w:t>
      </w:r>
    </w:p>
    <w:p w:rsidR="00FA3509" w:rsidRPr="007F1448" w:rsidRDefault="00FA3509" w:rsidP="00FA3509">
      <w:pPr>
        <w:jc w:val="both"/>
        <w:rPr>
          <w:b/>
          <w:bCs/>
          <w:sz w:val="4"/>
          <w:szCs w:val="4"/>
        </w:rPr>
      </w:pPr>
    </w:p>
    <w:p w:rsidR="00FA3509" w:rsidRPr="007F1448" w:rsidRDefault="00FA3509" w:rsidP="00FA3509">
      <w:pPr>
        <w:pStyle w:val="BodyTextIndent"/>
        <w:spacing w:after="0"/>
        <w:ind w:left="0"/>
        <w:jc w:val="both"/>
        <w:rPr>
          <w:sz w:val="8"/>
          <w:szCs w:val="8"/>
        </w:rPr>
      </w:pPr>
    </w:p>
    <w:p w:rsidR="00FA3509" w:rsidRPr="00B25F72" w:rsidRDefault="00FA3509" w:rsidP="00FA3509">
      <w:pPr>
        <w:pStyle w:val="BodyTextIndent"/>
        <w:ind w:left="0"/>
        <w:jc w:val="both"/>
      </w:pPr>
      <w:r w:rsidRPr="007F1448">
        <w:t xml:space="preserve">Общият размер на </w:t>
      </w:r>
      <w:r w:rsidRPr="007F1448">
        <w:rPr>
          <w:b/>
        </w:rPr>
        <w:t>разходите по държавния бюджет</w:t>
      </w:r>
      <w:r w:rsidRPr="007F1448">
        <w:t xml:space="preserve"> (вкл. трансферите за др. бюджети и </w:t>
      </w:r>
      <w:r w:rsidRPr="00B25F72">
        <w:t xml:space="preserve">вноската в бюджета на ЕС) </w:t>
      </w:r>
      <w:r w:rsidRPr="00B25F72">
        <w:rPr>
          <w:bCs/>
        </w:rPr>
        <w:t xml:space="preserve">към юни </w:t>
      </w:r>
      <w:r w:rsidRPr="00B25F72">
        <w:t xml:space="preserve">2018 г. е </w:t>
      </w:r>
      <w:r w:rsidRPr="00B25F72">
        <w:rPr>
          <w:b/>
        </w:rPr>
        <w:t>10 485,1 млн. лв</w:t>
      </w:r>
      <w:r w:rsidRPr="00B25F72">
        <w:t>. или 43,4 % от предвидените със ЗДБРБ за 2018 година.</w:t>
      </w:r>
    </w:p>
    <w:p w:rsidR="00FA3509" w:rsidRPr="00B25F72" w:rsidRDefault="00FA3509" w:rsidP="00FA3509">
      <w:pPr>
        <w:pStyle w:val="BodyTextIndent"/>
        <w:spacing w:after="0"/>
        <w:ind w:left="0"/>
        <w:jc w:val="center"/>
        <w:rPr>
          <w:b/>
          <w:sz w:val="4"/>
          <w:szCs w:val="4"/>
          <w:u w:val="single"/>
        </w:rPr>
      </w:pPr>
    </w:p>
    <w:p w:rsidR="00FA3509" w:rsidRPr="00B25F72" w:rsidRDefault="00FA3509" w:rsidP="00FA3509">
      <w:pPr>
        <w:pStyle w:val="BodyTextIndent"/>
        <w:spacing w:after="0"/>
        <w:ind w:left="0"/>
        <w:jc w:val="center"/>
        <w:rPr>
          <w:b/>
          <w:u w:val="single"/>
        </w:rPr>
      </w:pPr>
      <w:r w:rsidRPr="00B25F72">
        <w:rPr>
          <w:b/>
          <w:u w:val="single"/>
        </w:rPr>
        <w:t xml:space="preserve">Разходи, трансфери за други бюджети и вноска в бюджета на ЕС </w:t>
      </w:r>
    </w:p>
    <w:p w:rsidR="00FA3509" w:rsidRPr="00B25F72" w:rsidRDefault="00FA3509" w:rsidP="00FA3509">
      <w:pPr>
        <w:pStyle w:val="BodyTextIndent"/>
        <w:spacing w:after="0"/>
        <w:ind w:left="0"/>
        <w:jc w:val="center"/>
        <w:rPr>
          <w:b/>
          <w:u w:val="single"/>
        </w:rPr>
      </w:pPr>
      <w:r w:rsidRPr="00B25F72">
        <w:rPr>
          <w:b/>
          <w:u w:val="single"/>
        </w:rPr>
        <w:t>към юни 2017 г. и 2018 г.</w:t>
      </w:r>
    </w:p>
    <w:p w:rsidR="00FA3509" w:rsidRPr="00D6693B" w:rsidRDefault="00FA3509" w:rsidP="00FA3509">
      <w:pPr>
        <w:pStyle w:val="BodyTextIndent"/>
        <w:spacing w:after="0"/>
        <w:ind w:left="0"/>
        <w:jc w:val="center"/>
        <w:rPr>
          <w:b/>
          <w:color w:val="0070C0"/>
          <w:sz w:val="8"/>
          <w:szCs w:val="8"/>
          <w:u w:val="single"/>
        </w:rPr>
      </w:pPr>
    </w:p>
    <w:p w:rsidR="00FA3509" w:rsidRPr="00D6693B" w:rsidRDefault="00FA3509" w:rsidP="00FA3509">
      <w:pPr>
        <w:pStyle w:val="BodyTextIndent"/>
        <w:spacing w:after="0"/>
        <w:ind w:left="0"/>
        <w:jc w:val="center"/>
        <w:rPr>
          <w:b/>
          <w:color w:val="0070C0"/>
          <w:u w:val="single"/>
        </w:rPr>
      </w:pPr>
      <w:bookmarkStart w:id="1" w:name="_MON_1562146415"/>
      <w:bookmarkStart w:id="2" w:name="_MON_1562146493"/>
      <w:bookmarkStart w:id="3" w:name="_MON_1562146700"/>
      <w:bookmarkStart w:id="4" w:name="_MON_1562146782"/>
      <w:bookmarkStart w:id="5" w:name="_MON_1562146967"/>
      <w:bookmarkStart w:id="6" w:name="_MON_1562147372"/>
      <w:bookmarkStart w:id="7" w:name="_MON_1562147473"/>
      <w:bookmarkStart w:id="8" w:name="_MON_1562147677"/>
      <w:bookmarkStart w:id="9" w:name="_MON_1562147743"/>
      <w:bookmarkStart w:id="10" w:name="_MON_1562147867"/>
      <w:bookmarkStart w:id="11" w:name="_MON_1562147934"/>
      <w:bookmarkStart w:id="12" w:name="_MON_1562148056"/>
      <w:bookmarkStart w:id="13" w:name="_MON_1562148171"/>
      <w:bookmarkStart w:id="14" w:name="_MON_1562148229"/>
      <w:bookmarkStart w:id="15" w:name="_MON_1562148307"/>
      <w:bookmarkStart w:id="16" w:name="_MON_1562148447"/>
      <w:bookmarkStart w:id="17" w:name="_MON_1562148558"/>
      <w:bookmarkStart w:id="18" w:name="_MON_1562152805"/>
      <w:bookmarkStart w:id="19" w:name="_MON_1562152984"/>
      <w:bookmarkStart w:id="20" w:name="_MON_1562153459"/>
      <w:bookmarkStart w:id="21" w:name="_MON_1562153503"/>
      <w:bookmarkStart w:id="22" w:name="_MON_1562153559"/>
      <w:bookmarkStart w:id="23" w:name="_MON_1562153646"/>
      <w:bookmarkStart w:id="24" w:name="_MON_1562153939"/>
      <w:bookmarkStart w:id="25" w:name="_MON_1562154053"/>
      <w:bookmarkStart w:id="26" w:name="_MON_1562154282"/>
      <w:bookmarkStart w:id="27" w:name="_MON_1562146286"/>
      <w:bookmarkStart w:id="28" w:name="_MON_1562154881"/>
      <w:bookmarkStart w:id="29" w:name="_MON_1562154973"/>
      <w:bookmarkStart w:id="30" w:name="_MON_1562155194"/>
      <w:bookmarkStart w:id="31" w:name="_MON_1562155231"/>
      <w:bookmarkStart w:id="32" w:name="_MON_1562155321"/>
      <w:bookmarkStart w:id="33" w:name="_MON_156215539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r w:rsidRPr="00D6693B">
        <w:rPr>
          <w:noProof/>
          <w:color w:val="0070C0"/>
          <w:lang w:eastAsia="bg-BG"/>
        </w:rPr>
        <w:drawing>
          <wp:inline distT="0" distB="0" distL="0" distR="0" wp14:anchorId="728FEB82" wp14:editId="164AD509">
            <wp:extent cx="5745480" cy="2933700"/>
            <wp:effectExtent l="0" t="0" r="26670" b="19050"/>
            <wp:docPr id="2" name="Objec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3509" w:rsidRPr="00D6693B" w:rsidRDefault="00FA3509" w:rsidP="00FA3509">
      <w:pPr>
        <w:ind w:firstLine="360"/>
        <w:rPr>
          <w:color w:val="0070C0"/>
          <w:sz w:val="6"/>
          <w:szCs w:val="18"/>
        </w:rPr>
      </w:pPr>
    </w:p>
    <w:p w:rsidR="00FA3509" w:rsidRPr="00B25F72" w:rsidRDefault="00FA3509" w:rsidP="00FA3509">
      <w:pPr>
        <w:ind w:firstLine="360"/>
        <w:rPr>
          <w:sz w:val="18"/>
          <w:szCs w:val="18"/>
        </w:rPr>
      </w:pPr>
      <w:r w:rsidRPr="00B25F72">
        <w:rPr>
          <w:sz w:val="18"/>
          <w:szCs w:val="18"/>
        </w:rPr>
        <w:t>*</w:t>
      </w:r>
      <w:r w:rsidRPr="00B25F72">
        <w:t xml:space="preserve"> </w:t>
      </w:r>
      <w:r w:rsidRPr="00B25F72">
        <w:rPr>
          <w:sz w:val="18"/>
          <w:szCs w:val="18"/>
        </w:rPr>
        <w:t>Вкл. нетния прираст на държавния резерв</w:t>
      </w:r>
    </w:p>
    <w:p w:rsidR="00FA3509" w:rsidRPr="00012533" w:rsidRDefault="00FA3509" w:rsidP="00FA3509">
      <w:pPr>
        <w:rPr>
          <w:b/>
          <w:color w:val="0070C0"/>
          <w:sz w:val="2"/>
          <w:szCs w:val="8"/>
          <w:u w:val="single"/>
        </w:rPr>
      </w:pPr>
    </w:p>
    <w:p w:rsidR="00FA3509" w:rsidRPr="007F1448" w:rsidRDefault="00FA3509" w:rsidP="00FA3509">
      <w:pPr>
        <w:pStyle w:val="BodyTextIndent"/>
        <w:numPr>
          <w:ilvl w:val="0"/>
          <w:numId w:val="22"/>
        </w:numPr>
        <w:spacing w:before="120" w:after="0"/>
        <w:jc w:val="both"/>
        <w:rPr>
          <w:b/>
          <w:bCs/>
        </w:rPr>
      </w:pPr>
      <w:r w:rsidRPr="007F1448">
        <w:rPr>
          <w:b/>
          <w:bCs/>
        </w:rPr>
        <w:t>Нелихвени разходи</w:t>
      </w:r>
    </w:p>
    <w:p w:rsidR="00FA3509" w:rsidRPr="00435B23" w:rsidRDefault="00FA3509" w:rsidP="00FA3509">
      <w:pPr>
        <w:spacing w:before="120"/>
        <w:jc w:val="both"/>
        <w:rPr>
          <w:bCs/>
        </w:rPr>
      </w:pPr>
      <w:r w:rsidRPr="00435B23">
        <w:rPr>
          <w:b/>
          <w:bCs/>
        </w:rPr>
        <w:t>Нелихвените разходи</w:t>
      </w:r>
      <w:r w:rsidRPr="00435B23">
        <w:rPr>
          <w:bCs/>
        </w:rPr>
        <w:t xml:space="preserve"> по държавния бюджет (без трансферите за др. бюджети) към юни </w:t>
      </w:r>
      <w:r w:rsidRPr="00435B23">
        <w:t>2018</w:t>
      </w:r>
      <w:r w:rsidR="00FD5DF2">
        <w:t> </w:t>
      </w:r>
      <w:r w:rsidRPr="00435B23">
        <w:t xml:space="preserve">г. </w:t>
      </w:r>
      <w:r w:rsidRPr="00435B23">
        <w:rPr>
          <w:bCs/>
        </w:rPr>
        <w:t xml:space="preserve">са в размер на </w:t>
      </w:r>
      <w:r w:rsidRPr="00435B23">
        <w:rPr>
          <w:b/>
          <w:bCs/>
        </w:rPr>
        <w:t>4 268,9 млн. лв</w:t>
      </w:r>
      <w:r w:rsidRPr="00435B23">
        <w:rPr>
          <w:bCs/>
        </w:rPr>
        <w:t xml:space="preserve">., което представлява 38,2 % от годишния разчет. Съпоставени с данните към юни 2017 г., нелихвените разходи нарастват с 450,1 млн. лв. </w:t>
      </w:r>
      <w:r w:rsidRPr="00435B23">
        <w:rPr>
          <w:bCs/>
          <w:lang w:val="en-US"/>
        </w:rPr>
        <w:t>(</w:t>
      </w:r>
      <w:r w:rsidRPr="00435B23">
        <w:rPr>
          <w:bCs/>
        </w:rPr>
        <w:t>11</w:t>
      </w:r>
      <w:proofErr w:type="gramStart"/>
      <w:r w:rsidRPr="00435B23">
        <w:rPr>
          <w:bCs/>
        </w:rPr>
        <w:t>,8</w:t>
      </w:r>
      <w:proofErr w:type="gramEnd"/>
      <w:r w:rsidR="00FD5DF2">
        <w:rPr>
          <w:bCs/>
        </w:rPr>
        <w:t> </w:t>
      </w:r>
      <w:r w:rsidRPr="00435B23">
        <w:rPr>
          <w:bCs/>
          <w:lang w:val="en-US"/>
        </w:rPr>
        <w:t>%)</w:t>
      </w:r>
      <w:r w:rsidRPr="00435B23">
        <w:rPr>
          <w:bCs/>
        </w:rPr>
        <w:t xml:space="preserve">. </w:t>
      </w:r>
    </w:p>
    <w:p w:rsidR="00FA3509" w:rsidRPr="002C63A9" w:rsidRDefault="00FA3509" w:rsidP="00FA3509">
      <w:pPr>
        <w:spacing w:after="120"/>
        <w:jc w:val="both"/>
        <w:rPr>
          <w:bCs/>
        </w:rPr>
      </w:pPr>
      <w:r w:rsidRPr="00445C74">
        <w:rPr>
          <w:bCs/>
        </w:rPr>
        <w:t xml:space="preserve">Разходите за персонал (заплати и </w:t>
      </w:r>
      <w:r w:rsidRPr="00445C74">
        <w:rPr>
          <w:bCs/>
          <w:noProof/>
        </w:rPr>
        <w:t>възнаграждения</w:t>
      </w:r>
      <w:r w:rsidRPr="00445C74">
        <w:rPr>
          <w:bCs/>
        </w:rPr>
        <w:t xml:space="preserve">, други възнаграждения и плащания за персонала и осигурителни вноски) са в общ размер на 2 262,0 млн. лв. или 50,4 % от планираните </w:t>
      </w:r>
      <w:r w:rsidRPr="00445C74">
        <w:t xml:space="preserve">за 2018 </w:t>
      </w:r>
      <w:r w:rsidRPr="00445C74">
        <w:rPr>
          <w:bCs/>
        </w:rPr>
        <w:t xml:space="preserve">г. Разходите за издръжка (вкл. разходи за членски внос и участие в нетърговски организации и дейности и платени данъци, такси и административни санкции) са в размер на 785,2 млн. лв. или 35,3 % от планираните </w:t>
      </w:r>
      <w:r w:rsidRPr="00445C74">
        <w:t>за годината</w:t>
      </w:r>
      <w:r w:rsidRPr="00445C74">
        <w:rPr>
          <w:bCs/>
        </w:rPr>
        <w:t xml:space="preserve">. Социалните разходи (вкл. разходите за стипендии) са в размер на 423,9 млн. лв. или 37,3 % от предвидените </w:t>
      </w:r>
      <w:r w:rsidRPr="00445C74">
        <w:t>за годината</w:t>
      </w:r>
      <w:r w:rsidRPr="00445C74">
        <w:rPr>
          <w:bCs/>
        </w:rPr>
        <w:t xml:space="preserve"> и са основно разходи по бюджета на МТСП за помощи и добавки по Закона за социално подпомагане, Закона за интеграция на хората с увреждания, Закона за семейните помощи за деца и др. Предоставените текущи и капиталови трансфери за чужбина са в размер на 5,0 млн.</w:t>
      </w:r>
      <w:r w:rsidR="00FD5DF2">
        <w:rPr>
          <w:bCs/>
        </w:rPr>
        <w:t> </w:t>
      </w:r>
      <w:r w:rsidRPr="00445C74">
        <w:rPr>
          <w:bCs/>
        </w:rPr>
        <w:t>лв. или 34,</w:t>
      </w:r>
      <w:r w:rsidRPr="00B40D74">
        <w:rPr>
          <w:bCs/>
        </w:rPr>
        <w:t xml:space="preserve">7 % от планираните </w:t>
      </w:r>
      <w:r w:rsidRPr="00B40D74">
        <w:t>за годината.</w:t>
      </w:r>
      <w:r w:rsidRPr="00B40D74">
        <w:rPr>
          <w:bCs/>
        </w:rPr>
        <w:t xml:space="preserve"> Разходите за субсидии са в размер на 492,2 млн. лв. или 53,2 % от планираните за годината. От тях 87,3</w:t>
      </w:r>
      <w:r w:rsidRPr="00B40D74">
        <w:t xml:space="preserve"> </w:t>
      </w:r>
      <w:r w:rsidRPr="00B40D74">
        <w:rPr>
          <w:bCs/>
        </w:rPr>
        <w:t xml:space="preserve">млн. лв. са субсидиите за </w:t>
      </w:r>
      <w:r w:rsidRPr="00B40D74">
        <w:t xml:space="preserve">„БДЖ – </w:t>
      </w:r>
      <w:r w:rsidRPr="00B40D74">
        <w:lastRenderedPageBreak/>
        <w:t xml:space="preserve">Пътнически превози” ЕООД; 83,0 </w:t>
      </w:r>
      <w:r w:rsidRPr="00B40D74">
        <w:rPr>
          <w:bCs/>
        </w:rPr>
        <w:t xml:space="preserve">млн. лв. са субсидиите за </w:t>
      </w:r>
      <w:r w:rsidRPr="006333CF">
        <w:t>Национална компания „Железопътна инфраструктура”</w:t>
      </w:r>
      <w:r w:rsidRPr="006333CF">
        <w:rPr>
          <w:bCs/>
        </w:rPr>
        <w:t xml:space="preserve"> </w:t>
      </w:r>
      <w:r w:rsidRPr="006333CF">
        <w:t xml:space="preserve">и 14,6 млн. лв. за „Български пощи” ЕАД. Към края на месец юни </w:t>
      </w:r>
      <w:r w:rsidRPr="006333CF">
        <w:rPr>
          <w:bCs/>
        </w:rPr>
        <w:t xml:space="preserve">2018 г. ДФ „Земеделие“ e изплатил субсидии в общ размер на 165,7 млн. лв., от които 47,6 млн. лв. държавна помощ, 30,1 млн. лв. преходна национална </w:t>
      </w:r>
      <w:r w:rsidRPr="002C63A9">
        <w:rPr>
          <w:bCs/>
        </w:rPr>
        <w:t xml:space="preserve">помощ за сектор „Животновъдство“, 84,1 млн. лв. </w:t>
      </w:r>
      <w:r w:rsidRPr="002C63A9">
        <w:t xml:space="preserve">преходна национална помощ за тютюн </w:t>
      </w:r>
      <w:r w:rsidRPr="002C63A9">
        <w:rPr>
          <w:bCs/>
        </w:rPr>
        <w:t xml:space="preserve">и 3,2 млн. лв. средства за ДДС по схеми „Училищен плод“ и „Училищно мляко“. Капиталовите разходи </w:t>
      </w:r>
      <w:r w:rsidRPr="002C63A9">
        <w:t xml:space="preserve">(вкл. нетния прираст на държавния резерв) </w:t>
      </w:r>
      <w:r w:rsidRPr="002C63A9">
        <w:rPr>
          <w:bCs/>
        </w:rPr>
        <w:t xml:space="preserve">възлизат на 300,7 млн. </w:t>
      </w:r>
      <w:proofErr w:type="spellStart"/>
      <w:r w:rsidRPr="002C63A9">
        <w:rPr>
          <w:bCs/>
        </w:rPr>
        <w:t>лв</w:t>
      </w:r>
      <w:proofErr w:type="spellEnd"/>
      <w:r w:rsidRPr="002C63A9">
        <w:rPr>
          <w:bCs/>
          <w:lang w:val="en-US"/>
        </w:rPr>
        <w:t>.</w:t>
      </w:r>
      <w:r w:rsidRPr="002C63A9">
        <w:rPr>
          <w:bCs/>
        </w:rPr>
        <w:t xml:space="preserve"> или 12,6 % от планираните за 2018 година.</w:t>
      </w:r>
    </w:p>
    <w:p w:rsidR="00E918B7" w:rsidRPr="00C4277C" w:rsidRDefault="00E918B7" w:rsidP="00337CA7">
      <w:pPr>
        <w:pStyle w:val="BodyTextIndent"/>
        <w:numPr>
          <w:ilvl w:val="1"/>
          <w:numId w:val="14"/>
        </w:numPr>
        <w:tabs>
          <w:tab w:val="clear" w:pos="2160"/>
          <w:tab w:val="num" w:pos="720"/>
          <w:tab w:val="num" w:pos="900"/>
        </w:tabs>
        <w:spacing w:before="120" w:after="0"/>
        <w:ind w:left="720"/>
        <w:jc w:val="both"/>
        <w:rPr>
          <w:b/>
          <w:bCs/>
        </w:rPr>
      </w:pPr>
      <w:r w:rsidRPr="00C4277C">
        <w:rPr>
          <w:b/>
        </w:rPr>
        <w:t>Просрочени задължения</w:t>
      </w:r>
    </w:p>
    <w:p w:rsidR="009C721E" w:rsidRPr="00B9621C" w:rsidRDefault="009C721E" w:rsidP="002D2DC4">
      <w:pPr>
        <w:jc w:val="both"/>
      </w:pPr>
      <w:r w:rsidRPr="00C4277C">
        <w:t>Към 3</w:t>
      </w:r>
      <w:r w:rsidR="00C4277C" w:rsidRPr="00C4277C">
        <w:rPr>
          <w:lang w:val="en-US"/>
        </w:rPr>
        <w:t>0</w:t>
      </w:r>
      <w:r w:rsidRPr="00C4277C">
        <w:t>.0</w:t>
      </w:r>
      <w:r w:rsidR="00C4277C" w:rsidRPr="00C4277C">
        <w:rPr>
          <w:lang w:val="en-US"/>
        </w:rPr>
        <w:t>6</w:t>
      </w:r>
      <w:r w:rsidRPr="00C4277C">
        <w:t>.201</w:t>
      </w:r>
      <w:r w:rsidR="00552767" w:rsidRPr="00C4277C">
        <w:t>8</w:t>
      </w:r>
      <w:r w:rsidRPr="00C4277C">
        <w:t xml:space="preserve"> г. просрочените задължения на централно и местно правителство</w:t>
      </w:r>
      <w:r w:rsidR="00927E90" w:rsidRPr="00C4277C">
        <w:t xml:space="preserve"> и </w:t>
      </w:r>
      <w:proofErr w:type="spellStart"/>
      <w:r w:rsidR="00927E90" w:rsidRPr="00C4277C">
        <w:t>социалноосигурителните</w:t>
      </w:r>
      <w:proofErr w:type="spellEnd"/>
      <w:r w:rsidR="00927E90" w:rsidRPr="00C4277C">
        <w:t xml:space="preserve"> фондове</w:t>
      </w:r>
      <w:r w:rsidRPr="00C4277C">
        <w:t xml:space="preserve"> са в размер на </w:t>
      </w:r>
      <w:r w:rsidR="00A91A56" w:rsidRPr="00B9621C">
        <w:rPr>
          <w:b/>
        </w:rPr>
        <w:t>32</w:t>
      </w:r>
      <w:r w:rsidR="00B9621C" w:rsidRPr="00B9621C">
        <w:rPr>
          <w:b/>
        </w:rPr>
        <w:t>1</w:t>
      </w:r>
      <w:r w:rsidR="00967BB9" w:rsidRPr="00B9621C">
        <w:rPr>
          <w:b/>
        </w:rPr>
        <w:t>,</w:t>
      </w:r>
      <w:r w:rsidR="00B9621C" w:rsidRPr="00B9621C">
        <w:rPr>
          <w:b/>
        </w:rPr>
        <w:t>3</w:t>
      </w:r>
      <w:r w:rsidRPr="00B9621C">
        <w:rPr>
          <w:b/>
        </w:rPr>
        <w:t xml:space="preserve"> млн. лева.</w:t>
      </w:r>
      <w:r w:rsidRPr="00B9621C">
        <w:t xml:space="preserve"> </w:t>
      </w:r>
    </w:p>
    <w:p w:rsidR="009C721E" w:rsidRPr="00B9621C" w:rsidRDefault="009C721E" w:rsidP="00927E90">
      <w:pPr>
        <w:spacing w:before="120"/>
        <w:jc w:val="both"/>
        <w:rPr>
          <w:noProof/>
        </w:rPr>
      </w:pPr>
      <w:r w:rsidRPr="00F860D8">
        <w:t xml:space="preserve">Размерът на просрочените задължения на </w:t>
      </w:r>
      <w:r w:rsidRPr="00F860D8">
        <w:rPr>
          <w:b/>
        </w:rPr>
        <w:t>централно правителство</w:t>
      </w:r>
      <w:r w:rsidRPr="00F860D8">
        <w:t xml:space="preserve"> (министерства, ведомства и разпоредителите с бюджет по чл. 13, ал. 3 и ал. 4 на ЗПФ) е</w:t>
      </w:r>
      <w:r w:rsidRPr="00F860D8">
        <w:rPr>
          <w:b/>
        </w:rPr>
        <w:t xml:space="preserve"> </w:t>
      </w:r>
      <w:r w:rsidR="00F860D8" w:rsidRPr="00F860D8">
        <w:rPr>
          <w:b/>
        </w:rPr>
        <w:t>71</w:t>
      </w:r>
      <w:r w:rsidR="000320C8" w:rsidRPr="00F860D8">
        <w:rPr>
          <w:b/>
        </w:rPr>
        <w:t>,</w:t>
      </w:r>
      <w:r w:rsidR="00F860D8" w:rsidRPr="00F860D8">
        <w:rPr>
          <w:b/>
        </w:rPr>
        <w:t>9</w:t>
      </w:r>
      <w:r w:rsidRPr="00F860D8">
        <w:rPr>
          <w:b/>
        </w:rPr>
        <w:t xml:space="preserve"> млн. лв</w:t>
      </w:r>
      <w:r w:rsidR="00BA1E27" w:rsidRPr="00F860D8">
        <w:rPr>
          <w:b/>
        </w:rPr>
        <w:t>.</w:t>
      </w:r>
      <w:r w:rsidR="000320C8" w:rsidRPr="00F860D8">
        <w:rPr>
          <w:b/>
        </w:rPr>
        <w:t xml:space="preserve">, </w:t>
      </w:r>
      <w:r w:rsidR="000320C8" w:rsidRPr="00F860D8">
        <w:t>като</w:t>
      </w:r>
      <w:r w:rsidR="000320C8" w:rsidRPr="00F860D8">
        <w:rPr>
          <w:b/>
        </w:rPr>
        <w:t xml:space="preserve"> </w:t>
      </w:r>
      <w:r w:rsidR="00BA1E27" w:rsidRPr="00F860D8">
        <w:rPr>
          <w:b/>
        </w:rPr>
        <w:t xml:space="preserve"> </w:t>
      </w:r>
      <w:r w:rsidR="000320C8" w:rsidRPr="00F860D8">
        <w:t xml:space="preserve">спрямо отчетените в края на </w:t>
      </w:r>
      <w:r w:rsidR="00F860D8">
        <w:t xml:space="preserve">първото тримесечие на </w:t>
      </w:r>
      <w:r w:rsidR="000320C8" w:rsidRPr="00F860D8">
        <w:t>201</w:t>
      </w:r>
      <w:r w:rsidR="00F860D8">
        <w:t>8</w:t>
      </w:r>
      <w:r w:rsidR="000320C8" w:rsidRPr="00F860D8">
        <w:t xml:space="preserve"> г.</w:t>
      </w:r>
      <w:r w:rsidR="0072166A" w:rsidRPr="00F860D8">
        <w:t xml:space="preserve"> има</w:t>
      </w:r>
      <w:r w:rsidR="000320C8" w:rsidRPr="00F860D8">
        <w:t xml:space="preserve"> нарастване с </w:t>
      </w:r>
      <w:r w:rsidR="00F860D8">
        <w:t>6</w:t>
      </w:r>
      <w:r w:rsidR="000320C8" w:rsidRPr="00F860D8">
        <w:t>,</w:t>
      </w:r>
      <w:r w:rsidR="00F860D8">
        <w:t>8</w:t>
      </w:r>
      <w:r w:rsidR="000320C8" w:rsidRPr="00F860D8">
        <w:t xml:space="preserve"> млн. лева. </w:t>
      </w:r>
      <w:r w:rsidRPr="00F860D8">
        <w:t xml:space="preserve">В обхвата на държавния бюджет по-значими проблеми с наличие на просрочени задължения съществуват </w:t>
      </w:r>
      <w:r w:rsidRPr="00F860D8">
        <w:rPr>
          <w:bCs/>
        </w:rPr>
        <w:t>при няколко министерства, което изисква активни мерки от тези първостепенни разпоредители с бюджет за редуцирането им. С най-значими</w:t>
      </w:r>
      <w:r w:rsidRPr="00F860D8">
        <w:t xml:space="preserve"> просрочени задължения по държавния бюджет </w:t>
      </w:r>
      <w:r w:rsidR="0067642C" w:rsidRPr="00F860D8">
        <w:t>са</w:t>
      </w:r>
      <w:r w:rsidR="0067642C" w:rsidRPr="00F860D8">
        <w:rPr>
          <w:lang w:val="en-US"/>
        </w:rPr>
        <w:t xml:space="preserve">: </w:t>
      </w:r>
      <w:r w:rsidR="0090737E" w:rsidRPr="00B9621C">
        <w:t>Министерски съвет</w:t>
      </w:r>
      <w:r w:rsidRPr="00B9621C">
        <w:t xml:space="preserve"> - </w:t>
      </w:r>
      <w:r w:rsidRPr="00B9621C">
        <w:rPr>
          <w:bCs/>
          <w:noProof/>
        </w:rPr>
        <w:t xml:space="preserve">към края на </w:t>
      </w:r>
      <w:r w:rsidR="00F860D8" w:rsidRPr="00B9621C">
        <w:rPr>
          <w:bCs/>
          <w:noProof/>
        </w:rPr>
        <w:t>юни</w:t>
      </w:r>
      <w:r w:rsidRPr="00B9621C">
        <w:rPr>
          <w:bCs/>
          <w:noProof/>
        </w:rPr>
        <w:t xml:space="preserve"> 201</w:t>
      </w:r>
      <w:r w:rsidR="0090737E" w:rsidRPr="00B9621C">
        <w:rPr>
          <w:bCs/>
          <w:noProof/>
        </w:rPr>
        <w:t>8</w:t>
      </w:r>
      <w:r w:rsidRPr="00B9621C">
        <w:rPr>
          <w:bCs/>
          <w:noProof/>
        </w:rPr>
        <w:t xml:space="preserve"> г. просрочените задължения са в размер на </w:t>
      </w:r>
      <w:r w:rsidR="00F860D8" w:rsidRPr="00B9621C">
        <w:rPr>
          <w:bCs/>
          <w:noProof/>
        </w:rPr>
        <w:t>21</w:t>
      </w:r>
      <w:r w:rsidR="0090737E" w:rsidRPr="00B9621C">
        <w:rPr>
          <w:bCs/>
          <w:noProof/>
        </w:rPr>
        <w:t>,</w:t>
      </w:r>
      <w:r w:rsidR="00F860D8" w:rsidRPr="00B9621C">
        <w:rPr>
          <w:bCs/>
          <w:noProof/>
        </w:rPr>
        <w:t>0</w:t>
      </w:r>
      <w:r w:rsidRPr="00B9621C">
        <w:rPr>
          <w:noProof/>
        </w:rPr>
        <w:t xml:space="preserve"> млн. лв. (</w:t>
      </w:r>
      <w:r w:rsidR="0090737E" w:rsidRPr="00B9621C">
        <w:rPr>
          <w:noProof/>
        </w:rPr>
        <w:t>увеличение</w:t>
      </w:r>
      <w:r w:rsidRPr="00B9621C">
        <w:rPr>
          <w:noProof/>
        </w:rPr>
        <w:t xml:space="preserve"> с </w:t>
      </w:r>
      <w:r w:rsidR="00F860D8" w:rsidRPr="00B9621C">
        <w:rPr>
          <w:noProof/>
        </w:rPr>
        <w:t>3</w:t>
      </w:r>
      <w:r w:rsidR="0090737E" w:rsidRPr="00B9621C">
        <w:rPr>
          <w:noProof/>
        </w:rPr>
        <w:t>,</w:t>
      </w:r>
      <w:r w:rsidR="00F860D8" w:rsidRPr="00B9621C">
        <w:rPr>
          <w:noProof/>
        </w:rPr>
        <w:t>5</w:t>
      </w:r>
      <w:r w:rsidRPr="00B9621C">
        <w:rPr>
          <w:noProof/>
        </w:rPr>
        <w:t xml:space="preserve"> млн. лв. </w:t>
      </w:r>
      <w:r w:rsidRPr="00B9621C">
        <w:t xml:space="preserve">спрямо </w:t>
      </w:r>
      <w:r w:rsidR="0085580B" w:rsidRPr="00B9621C">
        <w:t xml:space="preserve">отчетените в края на </w:t>
      </w:r>
      <w:r w:rsidR="00F860D8" w:rsidRPr="00B9621C">
        <w:t xml:space="preserve">първо тримесечие на </w:t>
      </w:r>
      <w:r w:rsidRPr="00B9621C">
        <w:t>201</w:t>
      </w:r>
      <w:r w:rsidR="00F860D8" w:rsidRPr="00B9621C">
        <w:t>8</w:t>
      </w:r>
      <w:r w:rsidRPr="00B9621C">
        <w:t xml:space="preserve"> г.</w:t>
      </w:r>
      <w:r w:rsidR="0090737E" w:rsidRPr="00B9621C">
        <w:rPr>
          <w:noProof/>
        </w:rPr>
        <w:t>)</w:t>
      </w:r>
      <w:r w:rsidR="0067642C" w:rsidRPr="00B9621C">
        <w:rPr>
          <w:noProof/>
          <w:lang w:val="en-US"/>
        </w:rPr>
        <w:t xml:space="preserve">; </w:t>
      </w:r>
      <w:r w:rsidR="00B9621C" w:rsidRPr="00B9621C">
        <w:rPr>
          <w:noProof/>
        </w:rPr>
        <w:t xml:space="preserve">Министерството на вътрешните работи (просрочията са 14,8 млн. лв. и са увеличени с </w:t>
      </w:r>
      <w:r w:rsidR="008B07BC">
        <w:rPr>
          <w:noProof/>
          <w:lang w:val="en-US"/>
        </w:rPr>
        <w:t>1</w:t>
      </w:r>
      <w:r w:rsidR="008B07BC">
        <w:rPr>
          <w:noProof/>
        </w:rPr>
        <w:t>,6</w:t>
      </w:r>
      <w:r w:rsidR="00B9621C" w:rsidRPr="00B9621C">
        <w:rPr>
          <w:noProof/>
        </w:rPr>
        <w:t xml:space="preserve"> млн. лв. </w:t>
      </w:r>
      <w:r w:rsidR="00B9621C" w:rsidRPr="00B9621C">
        <w:t>спрямо отчетените в края на март 2018 г.</w:t>
      </w:r>
      <w:r w:rsidR="00B9621C" w:rsidRPr="00B9621C">
        <w:rPr>
          <w:noProof/>
        </w:rPr>
        <w:t xml:space="preserve">); </w:t>
      </w:r>
      <w:r w:rsidR="0067642C" w:rsidRPr="00B9621C">
        <w:rPr>
          <w:noProof/>
        </w:rPr>
        <w:t>Министерство на земеделието</w:t>
      </w:r>
      <w:r w:rsidR="00971C40" w:rsidRPr="00B9621C">
        <w:rPr>
          <w:noProof/>
        </w:rPr>
        <w:t xml:space="preserve">, </w:t>
      </w:r>
      <w:r w:rsidR="0067642C" w:rsidRPr="00B9621C">
        <w:rPr>
          <w:noProof/>
        </w:rPr>
        <w:t>храните</w:t>
      </w:r>
      <w:r w:rsidR="00971C40" w:rsidRPr="00B9621C">
        <w:rPr>
          <w:noProof/>
        </w:rPr>
        <w:t xml:space="preserve"> и горите</w:t>
      </w:r>
      <w:r w:rsidR="0067642C" w:rsidRPr="00B9621C">
        <w:rPr>
          <w:noProof/>
        </w:rPr>
        <w:t xml:space="preserve"> (просрочията са 1</w:t>
      </w:r>
      <w:r w:rsidR="00F860D8" w:rsidRPr="00B9621C">
        <w:rPr>
          <w:noProof/>
        </w:rPr>
        <w:t>1</w:t>
      </w:r>
      <w:r w:rsidR="0067642C" w:rsidRPr="00B9621C">
        <w:rPr>
          <w:noProof/>
        </w:rPr>
        <w:t>,</w:t>
      </w:r>
      <w:r w:rsidR="00F860D8" w:rsidRPr="00B9621C">
        <w:rPr>
          <w:noProof/>
        </w:rPr>
        <w:t>8</w:t>
      </w:r>
      <w:r w:rsidR="0067642C" w:rsidRPr="00B9621C">
        <w:rPr>
          <w:noProof/>
        </w:rPr>
        <w:t xml:space="preserve"> млн. лв. и са </w:t>
      </w:r>
      <w:r w:rsidR="00F860D8" w:rsidRPr="00B9621C">
        <w:rPr>
          <w:noProof/>
        </w:rPr>
        <w:t>намалени</w:t>
      </w:r>
      <w:r w:rsidR="0067642C" w:rsidRPr="00B9621C">
        <w:rPr>
          <w:noProof/>
        </w:rPr>
        <w:t xml:space="preserve"> с 2,</w:t>
      </w:r>
      <w:r w:rsidR="00F860D8" w:rsidRPr="00B9621C">
        <w:rPr>
          <w:noProof/>
        </w:rPr>
        <w:t>3</w:t>
      </w:r>
      <w:r w:rsidR="0067642C" w:rsidRPr="00B9621C">
        <w:rPr>
          <w:noProof/>
        </w:rPr>
        <w:t xml:space="preserve"> млн. лв. спрямо отчетените в края на </w:t>
      </w:r>
      <w:r w:rsidR="00B9621C" w:rsidRPr="00B9621C">
        <w:rPr>
          <w:noProof/>
        </w:rPr>
        <w:t>първо тримесечие на</w:t>
      </w:r>
      <w:r w:rsidR="00F860D8" w:rsidRPr="00B9621C">
        <w:rPr>
          <w:noProof/>
        </w:rPr>
        <w:t xml:space="preserve"> </w:t>
      </w:r>
      <w:r w:rsidR="0067642C" w:rsidRPr="00B9621C">
        <w:rPr>
          <w:noProof/>
        </w:rPr>
        <w:t>201</w:t>
      </w:r>
      <w:r w:rsidR="00F860D8" w:rsidRPr="00B9621C">
        <w:rPr>
          <w:noProof/>
        </w:rPr>
        <w:t>8</w:t>
      </w:r>
      <w:r w:rsidR="0067642C" w:rsidRPr="00B9621C">
        <w:rPr>
          <w:noProof/>
        </w:rPr>
        <w:t xml:space="preserve"> г.) </w:t>
      </w:r>
      <w:r w:rsidRPr="00B9621C">
        <w:rPr>
          <w:noProof/>
        </w:rPr>
        <w:t xml:space="preserve">и други. От разпоредителите с бюджет по чл. 13, ал. 3 на Закона за публичните финанси проблеми с наличието на просрочени задължения имат </w:t>
      </w:r>
      <w:r w:rsidR="003748CB" w:rsidRPr="00B9621C">
        <w:rPr>
          <w:noProof/>
        </w:rPr>
        <w:t xml:space="preserve">основно </w:t>
      </w:r>
      <w:r w:rsidR="0076230C" w:rsidRPr="00B9621C">
        <w:rPr>
          <w:noProof/>
        </w:rPr>
        <w:t>държавните висши училища (</w:t>
      </w:r>
      <w:r w:rsidR="00B9621C" w:rsidRPr="00B9621C">
        <w:rPr>
          <w:noProof/>
        </w:rPr>
        <w:t>8</w:t>
      </w:r>
      <w:r w:rsidR="0076230C" w:rsidRPr="00B9621C">
        <w:rPr>
          <w:noProof/>
        </w:rPr>
        <w:t>,</w:t>
      </w:r>
      <w:r w:rsidR="00B9621C" w:rsidRPr="00B9621C">
        <w:rPr>
          <w:noProof/>
        </w:rPr>
        <w:t>6</w:t>
      </w:r>
      <w:r w:rsidR="000215BD" w:rsidRPr="00B9621C">
        <w:rPr>
          <w:noProof/>
        </w:rPr>
        <w:t xml:space="preserve"> млн.</w:t>
      </w:r>
      <w:r w:rsidR="00C74DAC" w:rsidRPr="00B9621C">
        <w:rPr>
          <w:noProof/>
        </w:rPr>
        <w:t> </w:t>
      </w:r>
      <w:r w:rsidR="000215BD" w:rsidRPr="00B9621C">
        <w:rPr>
          <w:noProof/>
        </w:rPr>
        <w:t xml:space="preserve">лв.) и </w:t>
      </w:r>
      <w:r w:rsidR="00911B8C" w:rsidRPr="00B9621C">
        <w:rPr>
          <w:noProof/>
        </w:rPr>
        <w:t>Българската национална телевизия (</w:t>
      </w:r>
      <w:r w:rsidR="00B9621C" w:rsidRPr="00B9621C">
        <w:rPr>
          <w:noProof/>
        </w:rPr>
        <w:t>8</w:t>
      </w:r>
      <w:r w:rsidR="000215BD" w:rsidRPr="00B9621C">
        <w:rPr>
          <w:noProof/>
        </w:rPr>
        <w:t>,</w:t>
      </w:r>
      <w:r w:rsidR="00B9621C" w:rsidRPr="00B9621C">
        <w:rPr>
          <w:noProof/>
        </w:rPr>
        <w:t>4</w:t>
      </w:r>
      <w:r w:rsidR="00911B8C" w:rsidRPr="00B9621C">
        <w:rPr>
          <w:noProof/>
        </w:rPr>
        <w:t xml:space="preserve"> млн. лв.)</w:t>
      </w:r>
      <w:r w:rsidR="000215BD" w:rsidRPr="00B9621C">
        <w:rPr>
          <w:noProof/>
        </w:rPr>
        <w:t>.</w:t>
      </w:r>
    </w:p>
    <w:p w:rsidR="00927E90" w:rsidRPr="00367850" w:rsidRDefault="00927E90" w:rsidP="00927E90">
      <w:pPr>
        <w:spacing w:before="120"/>
        <w:jc w:val="both"/>
      </w:pPr>
      <w:r w:rsidRPr="00367850">
        <w:t xml:space="preserve">Просрочените задължения на </w:t>
      </w:r>
      <w:r w:rsidRPr="00367850">
        <w:rPr>
          <w:b/>
        </w:rPr>
        <w:t>НЗОК</w:t>
      </w:r>
      <w:r w:rsidRPr="00367850">
        <w:t xml:space="preserve"> </w:t>
      </w:r>
      <w:r w:rsidR="00F66A6E" w:rsidRPr="00367850">
        <w:t>към 3</w:t>
      </w:r>
      <w:r w:rsidR="00367850" w:rsidRPr="00367850">
        <w:rPr>
          <w:lang w:val="en-US"/>
        </w:rPr>
        <w:t>0</w:t>
      </w:r>
      <w:r w:rsidR="00F66A6E" w:rsidRPr="00367850">
        <w:t>.0</w:t>
      </w:r>
      <w:r w:rsidR="00367850" w:rsidRPr="00367850">
        <w:rPr>
          <w:lang w:val="en-US"/>
        </w:rPr>
        <w:t>6</w:t>
      </w:r>
      <w:r w:rsidR="00F66A6E" w:rsidRPr="00367850">
        <w:t>.</w:t>
      </w:r>
      <w:r w:rsidR="00D756D2" w:rsidRPr="00367850">
        <w:t xml:space="preserve">2018 г. </w:t>
      </w:r>
      <w:r w:rsidRPr="00367850">
        <w:t xml:space="preserve">са в размер на </w:t>
      </w:r>
      <w:r w:rsidR="00367850" w:rsidRPr="00367850">
        <w:rPr>
          <w:b/>
        </w:rPr>
        <w:t>12</w:t>
      </w:r>
      <w:r w:rsidR="00367850" w:rsidRPr="00367850">
        <w:rPr>
          <w:b/>
          <w:lang w:val="en-US"/>
        </w:rPr>
        <w:t>0</w:t>
      </w:r>
      <w:r w:rsidRPr="00367850">
        <w:rPr>
          <w:b/>
        </w:rPr>
        <w:t>,</w:t>
      </w:r>
      <w:r w:rsidR="00367850" w:rsidRPr="00367850">
        <w:rPr>
          <w:b/>
          <w:lang w:val="en-US"/>
        </w:rPr>
        <w:t>3</w:t>
      </w:r>
      <w:r w:rsidRPr="00367850">
        <w:rPr>
          <w:b/>
        </w:rPr>
        <w:t xml:space="preserve"> млн. лв.</w:t>
      </w:r>
      <w:r w:rsidRPr="00367850">
        <w:t xml:space="preserve">, като се отчита </w:t>
      </w:r>
      <w:r w:rsidR="00367850" w:rsidRPr="00367850">
        <w:t xml:space="preserve">минимално </w:t>
      </w:r>
      <w:r w:rsidRPr="00367850">
        <w:t xml:space="preserve">увеличение с </w:t>
      </w:r>
      <w:r w:rsidR="00367850" w:rsidRPr="00367850">
        <w:t>0</w:t>
      </w:r>
      <w:r w:rsidRPr="00367850">
        <w:t>,</w:t>
      </w:r>
      <w:r w:rsidR="00367850" w:rsidRPr="00367850">
        <w:t>8</w:t>
      </w:r>
      <w:r w:rsidRPr="00367850">
        <w:t xml:space="preserve"> млн. лв. спрямо края на 2017 година.</w:t>
      </w:r>
    </w:p>
    <w:p w:rsidR="009C721E" w:rsidRPr="00012533" w:rsidRDefault="009C721E" w:rsidP="009C721E">
      <w:pPr>
        <w:ind w:firstLine="567"/>
        <w:jc w:val="both"/>
        <w:rPr>
          <w:bCs/>
          <w:color w:val="0070C0"/>
          <w:sz w:val="6"/>
          <w:szCs w:val="12"/>
        </w:rPr>
      </w:pPr>
    </w:p>
    <w:p w:rsidR="00BB059C" w:rsidRPr="00C9048F" w:rsidRDefault="009C721E" w:rsidP="002D2DC4">
      <w:pPr>
        <w:spacing w:after="120"/>
        <w:jc w:val="both"/>
        <w:rPr>
          <w:noProof/>
        </w:rPr>
      </w:pPr>
      <w:r w:rsidRPr="00367850">
        <w:rPr>
          <w:noProof/>
          <w:lang w:val="en-US"/>
        </w:rPr>
        <w:t xml:space="preserve">Просрочените задължения по </w:t>
      </w:r>
      <w:r w:rsidRPr="00367850">
        <w:rPr>
          <w:b/>
          <w:noProof/>
        </w:rPr>
        <w:t>бюджетите на общините</w:t>
      </w:r>
      <w:r w:rsidRPr="00367850">
        <w:rPr>
          <w:noProof/>
          <w:lang w:val="en-US"/>
        </w:rPr>
        <w:t xml:space="preserve"> </w:t>
      </w:r>
      <w:r w:rsidR="007C1790" w:rsidRPr="00367850">
        <w:rPr>
          <w:noProof/>
        </w:rPr>
        <w:t>към 3</w:t>
      </w:r>
      <w:r w:rsidR="00367850" w:rsidRPr="00367850">
        <w:rPr>
          <w:noProof/>
        </w:rPr>
        <w:t>0</w:t>
      </w:r>
      <w:r w:rsidR="007C1790" w:rsidRPr="00367850">
        <w:rPr>
          <w:noProof/>
        </w:rPr>
        <w:t>.0</w:t>
      </w:r>
      <w:r w:rsidR="00367850" w:rsidRPr="00367850">
        <w:rPr>
          <w:noProof/>
        </w:rPr>
        <w:t>6</w:t>
      </w:r>
      <w:r w:rsidR="007C1790" w:rsidRPr="00367850">
        <w:rPr>
          <w:noProof/>
        </w:rPr>
        <w:t>.201</w:t>
      </w:r>
      <w:r w:rsidR="00B03D11" w:rsidRPr="00367850">
        <w:rPr>
          <w:noProof/>
        </w:rPr>
        <w:t>8</w:t>
      </w:r>
      <w:r w:rsidR="007C1790" w:rsidRPr="00367850">
        <w:rPr>
          <w:noProof/>
        </w:rPr>
        <w:t xml:space="preserve"> г. </w:t>
      </w:r>
      <w:r w:rsidRPr="00367850">
        <w:rPr>
          <w:noProof/>
          <w:lang w:val="en-US"/>
        </w:rPr>
        <w:t xml:space="preserve">са в размер на </w:t>
      </w:r>
      <w:r w:rsidR="00B03D11" w:rsidRPr="00367850">
        <w:rPr>
          <w:b/>
          <w:noProof/>
        </w:rPr>
        <w:t>1</w:t>
      </w:r>
      <w:r w:rsidR="00367850" w:rsidRPr="00367850">
        <w:rPr>
          <w:b/>
          <w:noProof/>
        </w:rPr>
        <w:t>29</w:t>
      </w:r>
      <w:r w:rsidR="00B03D11" w:rsidRPr="00367850">
        <w:rPr>
          <w:b/>
          <w:noProof/>
        </w:rPr>
        <w:t>,</w:t>
      </w:r>
      <w:r w:rsidR="00367850" w:rsidRPr="00367850">
        <w:rPr>
          <w:b/>
          <w:noProof/>
        </w:rPr>
        <w:t>1</w:t>
      </w:r>
      <w:r w:rsidRPr="00367850">
        <w:rPr>
          <w:b/>
          <w:noProof/>
          <w:lang w:val="en-US"/>
        </w:rPr>
        <w:t xml:space="preserve"> млн. лв.,</w:t>
      </w:r>
      <w:r w:rsidR="00BB059C" w:rsidRPr="00367850">
        <w:rPr>
          <w:noProof/>
          <w:lang w:val="en-US"/>
        </w:rPr>
        <w:t xml:space="preserve"> като спрямо </w:t>
      </w:r>
      <w:r w:rsidR="00E86555" w:rsidRPr="00367850">
        <w:rPr>
          <w:noProof/>
        </w:rPr>
        <w:t xml:space="preserve">края на </w:t>
      </w:r>
      <w:r w:rsidR="00BB059C" w:rsidRPr="00367850">
        <w:rPr>
          <w:noProof/>
          <w:lang w:val="en-US"/>
        </w:rPr>
        <w:t>201</w:t>
      </w:r>
      <w:r w:rsidR="00B03D11" w:rsidRPr="00367850">
        <w:rPr>
          <w:noProof/>
        </w:rPr>
        <w:t>7</w:t>
      </w:r>
      <w:r w:rsidR="00BB059C" w:rsidRPr="00367850">
        <w:rPr>
          <w:noProof/>
          <w:lang w:val="en-US"/>
        </w:rPr>
        <w:t xml:space="preserve"> г. се отчита </w:t>
      </w:r>
      <w:r w:rsidR="00753B48" w:rsidRPr="00367850">
        <w:rPr>
          <w:noProof/>
        </w:rPr>
        <w:t>намаление от</w:t>
      </w:r>
      <w:r w:rsidR="00BB059C" w:rsidRPr="00367850">
        <w:rPr>
          <w:noProof/>
          <w:lang w:val="en-US"/>
        </w:rPr>
        <w:t xml:space="preserve"> </w:t>
      </w:r>
      <w:r w:rsidR="00367850" w:rsidRPr="00367850">
        <w:rPr>
          <w:noProof/>
        </w:rPr>
        <w:t>1</w:t>
      </w:r>
      <w:r w:rsidR="002C2CAC" w:rsidRPr="00367850">
        <w:rPr>
          <w:noProof/>
          <w:lang w:val="en-US"/>
        </w:rPr>
        <w:t>7,</w:t>
      </w:r>
      <w:r w:rsidR="00367850" w:rsidRPr="00367850">
        <w:rPr>
          <w:noProof/>
        </w:rPr>
        <w:t>0</w:t>
      </w:r>
      <w:r w:rsidR="00BB059C" w:rsidRPr="00367850">
        <w:rPr>
          <w:noProof/>
          <w:lang w:val="en-US"/>
        </w:rPr>
        <w:t xml:space="preserve"> млн. лева. </w:t>
      </w:r>
      <w:r w:rsidR="00BB059C" w:rsidRPr="00C9048F">
        <w:rPr>
          <w:noProof/>
          <w:lang w:val="en-US"/>
        </w:rPr>
        <w:t xml:space="preserve">В делегираните от държавата дейности просрочените задължения са в размер на </w:t>
      </w:r>
      <w:r w:rsidR="005C3FEE" w:rsidRPr="00C9048F">
        <w:rPr>
          <w:noProof/>
        </w:rPr>
        <w:t>3,</w:t>
      </w:r>
      <w:r w:rsidR="00C9048F" w:rsidRPr="00C9048F">
        <w:rPr>
          <w:noProof/>
        </w:rPr>
        <w:t>0</w:t>
      </w:r>
      <w:r w:rsidR="00BB059C" w:rsidRPr="00C9048F">
        <w:rPr>
          <w:noProof/>
          <w:lang w:val="en-US"/>
        </w:rPr>
        <w:t xml:space="preserve"> млн. лева. С най-голям относителен дял в просрочените задължения по бюджета на общините са </w:t>
      </w:r>
      <w:r w:rsidR="00BB059C" w:rsidRPr="00C9048F">
        <w:rPr>
          <w:noProof/>
        </w:rPr>
        <w:t xml:space="preserve">просрочените задължения към доставчици, </w:t>
      </w:r>
      <w:r w:rsidR="00E86555" w:rsidRPr="00C9048F">
        <w:rPr>
          <w:noProof/>
        </w:rPr>
        <w:t xml:space="preserve">които са </w:t>
      </w:r>
      <w:r w:rsidR="00BB059C" w:rsidRPr="00C9048F">
        <w:rPr>
          <w:noProof/>
        </w:rPr>
        <w:t xml:space="preserve">в размер на </w:t>
      </w:r>
      <w:r w:rsidR="002C2CAC" w:rsidRPr="00C9048F">
        <w:rPr>
          <w:noProof/>
        </w:rPr>
        <w:t>1</w:t>
      </w:r>
      <w:r w:rsidR="00C9048F" w:rsidRPr="00C9048F">
        <w:rPr>
          <w:noProof/>
        </w:rPr>
        <w:t>07,3</w:t>
      </w:r>
      <w:r w:rsidR="00BB059C" w:rsidRPr="00C9048F">
        <w:rPr>
          <w:noProof/>
        </w:rPr>
        <w:t xml:space="preserve"> млн. лева.</w:t>
      </w:r>
    </w:p>
    <w:p w:rsidR="00D4646A" w:rsidRPr="000119C6" w:rsidRDefault="00D4646A" w:rsidP="00D4646A">
      <w:pPr>
        <w:spacing w:after="120"/>
        <w:jc w:val="both"/>
        <w:rPr>
          <w:noProof/>
          <w:color w:val="0070C0"/>
          <w:lang w:val="en-US"/>
        </w:rPr>
      </w:pPr>
      <w:r w:rsidRPr="00B9621C">
        <w:rPr>
          <w:noProof/>
        </w:rPr>
        <w:t>Извън обхвата на консолидираната фискална програма, сериозен продължава да бъде</w:t>
      </w:r>
      <w:r w:rsidRPr="00B9621C">
        <w:t xml:space="preserve"> проблемът с </w:t>
      </w:r>
      <w:proofErr w:type="spellStart"/>
      <w:r w:rsidRPr="00B9621C">
        <w:t>просрочията</w:t>
      </w:r>
      <w:proofErr w:type="spellEnd"/>
      <w:r w:rsidRPr="00B9621C">
        <w:t xml:space="preserve"> на лечебните заведения за болнична помощ (държавни и общински болници – търговски дружества). </w:t>
      </w:r>
      <w:r w:rsidR="004141EF" w:rsidRPr="002D5909">
        <w:t>Към 30.</w:t>
      </w:r>
      <w:r w:rsidR="004141EF" w:rsidRPr="002D5909">
        <w:rPr>
          <w:lang w:val="en-US"/>
        </w:rPr>
        <w:t>0</w:t>
      </w:r>
      <w:r w:rsidR="004141EF" w:rsidRPr="002D5909">
        <w:t>6.201</w:t>
      </w:r>
      <w:r w:rsidR="004141EF" w:rsidRPr="002D5909">
        <w:rPr>
          <w:lang w:val="en-US"/>
        </w:rPr>
        <w:t>8</w:t>
      </w:r>
      <w:r w:rsidR="004141EF" w:rsidRPr="002D5909">
        <w:t xml:space="preserve"> г. размер</w:t>
      </w:r>
      <w:r w:rsidR="004141EF">
        <w:t>ът на просрочените задължения е</w:t>
      </w:r>
      <w:r w:rsidR="004141EF" w:rsidRPr="002D5909">
        <w:t>, 191,3</w:t>
      </w:r>
      <w:r w:rsidR="004141EF" w:rsidRPr="002D5909">
        <w:rPr>
          <w:lang w:val="en-US"/>
        </w:rPr>
        <w:t xml:space="preserve"> </w:t>
      </w:r>
      <w:r w:rsidR="004141EF" w:rsidRPr="002D5909">
        <w:t>млн. лв., от които 148,0</w:t>
      </w:r>
      <w:r w:rsidR="004141EF" w:rsidRPr="002D5909">
        <w:rPr>
          <w:lang w:val="en-US"/>
        </w:rPr>
        <w:t xml:space="preserve"> </w:t>
      </w:r>
      <w:r w:rsidR="004141EF" w:rsidRPr="002D5909">
        <w:t>млн. лв. са на държавните болници и 43,3</w:t>
      </w:r>
      <w:r w:rsidR="004141EF" w:rsidRPr="002D5909">
        <w:rPr>
          <w:lang w:val="en-US"/>
        </w:rPr>
        <w:t xml:space="preserve"> </w:t>
      </w:r>
      <w:r w:rsidR="004141EF" w:rsidRPr="002D5909">
        <w:t>млн. лв. са на общинските болници. Спрямо отчетените просрочени задължения към 31.12.2017 г.</w:t>
      </w:r>
      <w:r w:rsidR="004141EF">
        <w:t xml:space="preserve"> се отчита</w:t>
      </w:r>
      <w:r w:rsidR="004141EF" w:rsidRPr="002D5909">
        <w:t xml:space="preserve"> намаление с</w:t>
      </w:r>
      <w:r w:rsidR="004141EF">
        <w:t>ъс</w:t>
      </w:r>
      <w:r w:rsidR="004141EF" w:rsidRPr="002D5909">
        <w:t xml:space="preserve"> 7,</w:t>
      </w:r>
      <w:proofErr w:type="spellStart"/>
      <w:r w:rsidR="004141EF" w:rsidRPr="002D5909">
        <w:t>7</w:t>
      </w:r>
      <w:proofErr w:type="spellEnd"/>
      <w:r w:rsidR="004141EF" w:rsidRPr="002D5909">
        <w:t xml:space="preserve"> млн. лв. (с 4 на сто).</w:t>
      </w:r>
    </w:p>
    <w:p w:rsidR="00BB059C" w:rsidRPr="00D013D9" w:rsidRDefault="00BB059C" w:rsidP="00BB059C">
      <w:pPr>
        <w:ind w:firstLine="567"/>
        <w:jc w:val="both"/>
        <w:rPr>
          <w:noProof/>
          <w:color w:val="0070C0"/>
          <w:sz w:val="2"/>
          <w:szCs w:val="12"/>
          <w:lang w:val="en-US"/>
        </w:rPr>
      </w:pPr>
    </w:p>
    <w:p w:rsidR="009C2594" w:rsidRPr="00C4277C" w:rsidRDefault="009C2594" w:rsidP="00337CA7">
      <w:pPr>
        <w:pStyle w:val="BodyTextIndent"/>
        <w:numPr>
          <w:ilvl w:val="1"/>
          <w:numId w:val="14"/>
        </w:numPr>
        <w:tabs>
          <w:tab w:val="clear" w:pos="2160"/>
          <w:tab w:val="num" w:pos="720"/>
          <w:tab w:val="num" w:pos="900"/>
        </w:tabs>
        <w:spacing w:before="120" w:after="0"/>
        <w:ind w:left="720"/>
        <w:jc w:val="both"/>
        <w:rPr>
          <w:b/>
          <w:bCs/>
        </w:rPr>
      </w:pPr>
      <w:r w:rsidRPr="00C4277C">
        <w:rPr>
          <w:b/>
          <w:bCs/>
        </w:rPr>
        <w:t xml:space="preserve">Разходи по </w:t>
      </w:r>
      <w:r w:rsidRPr="00C4277C">
        <w:rPr>
          <w:b/>
          <w:bCs/>
          <w:szCs w:val="26"/>
        </w:rPr>
        <w:t xml:space="preserve">централния бюджет </w:t>
      </w:r>
      <w:r w:rsidRPr="00C4277C">
        <w:rPr>
          <w:b/>
          <w:bCs/>
        </w:rPr>
        <w:t>за субсидии</w:t>
      </w:r>
      <w:r w:rsidR="00F202DD" w:rsidRPr="00C4277C">
        <w:rPr>
          <w:b/>
          <w:bCs/>
        </w:rPr>
        <w:t>,</w:t>
      </w:r>
      <w:r w:rsidR="0091667E" w:rsidRPr="00C4277C">
        <w:rPr>
          <w:b/>
          <w:bCs/>
        </w:rPr>
        <w:t xml:space="preserve"> </w:t>
      </w:r>
      <w:r w:rsidR="00F202DD" w:rsidRPr="00C4277C">
        <w:rPr>
          <w:b/>
          <w:bCs/>
        </w:rPr>
        <w:t xml:space="preserve">капиталови </w:t>
      </w:r>
      <w:r w:rsidR="00AF1CA0" w:rsidRPr="00C4277C">
        <w:rPr>
          <w:b/>
          <w:bCs/>
        </w:rPr>
        <w:t>трансфери</w:t>
      </w:r>
      <w:r w:rsidR="00AF1CA0" w:rsidRPr="00C4277C">
        <w:rPr>
          <w:bCs/>
        </w:rPr>
        <w:t xml:space="preserve"> </w:t>
      </w:r>
      <w:r w:rsidRPr="00C4277C">
        <w:rPr>
          <w:b/>
          <w:bCs/>
        </w:rPr>
        <w:t xml:space="preserve">и други разходи, свързани с дейността на реалния сектор </w:t>
      </w:r>
    </w:p>
    <w:p w:rsidR="009C2594" w:rsidRPr="000119C6" w:rsidRDefault="009C2594" w:rsidP="009C2594">
      <w:pPr>
        <w:pStyle w:val="Header"/>
        <w:jc w:val="both"/>
        <w:rPr>
          <w:color w:val="0070C0"/>
          <w:sz w:val="8"/>
          <w:szCs w:val="8"/>
        </w:rPr>
      </w:pPr>
    </w:p>
    <w:p w:rsidR="00157673" w:rsidRPr="00A700D2" w:rsidRDefault="009C2594" w:rsidP="009975EC">
      <w:pPr>
        <w:pStyle w:val="Header"/>
        <w:ind w:firstLine="567"/>
        <w:jc w:val="both"/>
      </w:pPr>
      <w:r w:rsidRPr="00A700D2">
        <w:t>Със ЗДБРБ за 201</w:t>
      </w:r>
      <w:r w:rsidR="00B95110" w:rsidRPr="00A700D2">
        <w:t>8</w:t>
      </w:r>
      <w:r w:rsidRPr="00A700D2">
        <w:t xml:space="preserve"> г. са утвърдени </w:t>
      </w:r>
      <w:r w:rsidR="00B95110" w:rsidRPr="00A700D2">
        <w:t>171,5</w:t>
      </w:r>
      <w:r w:rsidRPr="00A700D2">
        <w:t xml:space="preserve"> млн. лв</w:t>
      </w:r>
      <w:r w:rsidRPr="00A700D2">
        <w:rPr>
          <w:b/>
        </w:rPr>
        <w:t>.</w:t>
      </w:r>
      <w:r w:rsidRPr="00A700D2">
        <w:t xml:space="preserve"> </w:t>
      </w:r>
      <w:r w:rsidRPr="00A700D2">
        <w:rPr>
          <w:b/>
        </w:rPr>
        <w:t>субсидии</w:t>
      </w:r>
      <w:r w:rsidRPr="00A700D2">
        <w:t xml:space="preserve"> за нефинансови предприятия</w:t>
      </w:r>
      <w:r w:rsidR="00B34F16" w:rsidRPr="00A700D2">
        <w:t xml:space="preserve"> от централния бюджет.</w:t>
      </w:r>
    </w:p>
    <w:p w:rsidR="00B34F16" w:rsidRPr="000119C6" w:rsidRDefault="00B34F16" w:rsidP="009975EC">
      <w:pPr>
        <w:pStyle w:val="Header"/>
        <w:ind w:firstLine="567"/>
        <w:jc w:val="both"/>
        <w:rPr>
          <w:color w:val="0070C0"/>
          <w:sz w:val="4"/>
          <w:szCs w:val="4"/>
        </w:rPr>
      </w:pPr>
    </w:p>
    <w:p w:rsidR="008360FD" w:rsidRPr="00A700D2" w:rsidRDefault="008360FD" w:rsidP="008360FD">
      <w:pPr>
        <w:pStyle w:val="BodyText2"/>
        <w:spacing w:after="0" w:line="240" w:lineRule="auto"/>
        <w:ind w:firstLine="567"/>
        <w:jc w:val="both"/>
      </w:pPr>
      <w:r w:rsidRPr="00A700D2">
        <w:t xml:space="preserve">Средствата за </w:t>
      </w:r>
      <w:r w:rsidRPr="00A700D2">
        <w:rPr>
          <w:bCs/>
        </w:rPr>
        <w:t>субсидии</w:t>
      </w:r>
      <w:r w:rsidRPr="00A700D2">
        <w:t xml:space="preserve"> са предназначени за търговски дружества от различните видове транспорт – железопътни пътнически превози, автомобилни пътнически превози (вътрешноградски превози и междуселищни превози в планински и други райони), за текущо поддържане и експлоатация на железопътната инфраструктура и </w:t>
      </w:r>
      <w:r w:rsidR="00844985" w:rsidRPr="00A700D2">
        <w:t>др.</w:t>
      </w:r>
    </w:p>
    <w:p w:rsidR="008360FD" w:rsidRPr="000119C6" w:rsidRDefault="008360FD" w:rsidP="008360FD">
      <w:pPr>
        <w:pStyle w:val="BodyText2"/>
        <w:spacing w:after="0" w:line="240" w:lineRule="auto"/>
        <w:jc w:val="both"/>
        <w:rPr>
          <w:color w:val="0070C0"/>
          <w:sz w:val="12"/>
          <w:szCs w:val="12"/>
        </w:rPr>
      </w:pPr>
    </w:p>
    <w:p w:rsidR="008360FD" w:rsidRPr="00A700D2" w:rsidRDefault="008360FD" w:rsidP="008360FD">
      <w:pPr>
        <w:pStyle w:val="BodyTextIndent"/>
        <w:ind w:left="0" w:firstLine="357"/>
        <w:jc w:val="both"/>
      </w:pPr>
      <w:r w:rsidRPr="00A700D2">
        <w:t>- Със ЗДБРБ за 201</w:t>
      </w:r>
      <w:r w:rsidR="003C199E" w:rsidRPr="00A700D2">
        <w:t>8</w:t>
      </w:r>
      <w:r w:rsidRPr="00A700D2">
        <w:t xml:space="preserve"> г. за Национална компания </w:t>
      </w:r>
      <w:r w:rsidR="00D60B43" w:rsidRPr="00A700D2">
        <w:t>„</w:t>
      </w:r>
      <w:r w:rsidRPr="00A700D2">
        <w:t>Железопътна инфраструктура” са предвидени средства под формата на субсидии, предназначени за поддържане и експлоатация на железопътната инфраструктура, в размер на 1</w:t>
      </w:r>
      <w:r w:rsidR="003C199E" w:rsidRPr="00A700D2">
        <w:t>4</w:t>
      </w:r>
      <w:r w:rsidRPr="00A700D2">
        <w:t xml:space="preserve">5,0 млн. лева. </w:t>
      </w:r>
      <w:r w:rsidR="006C1B63" w:rsidRPr="00A700D2">
        <w:t xml:space="preserve">Усвоените средства за </w:t>
      </w:r>
      <w:r w:rsidR="006C1B63" w:rsidRPr="00A700D2">
        <w:lastRenderedPageBreak/>
        <w:t xml:space="preserve">първото </w:t>
      </w:r>
      <w:r w:rsidR="00A700D2" w:rsidRPr="00A700D2">
        <w:t>полугодие</w:t>
      </w:r>
      <w:r w:rsidR="006C1B63" w:rsidRPr="00A700D2">
        <w:t xml:space="preserve"> на 201</w:t>
      </w:r>
      <w:r w:rsidR="00DB7BF9" w:rsidRPr="00A700D2">
        <w:t>8</w:t>
      </w:r>
      <w:r w:rsidR="006C1B63" w:rsidRPr="00A700D2">
        <w:t xml:space="preserve"> г. са в размер на </w:t>
      </w:r>
      <w:r w:rsidR="00DB7BF9" w:rsidRPr="00A700D2">
        <w:t>8</w:t>
      </w:r>
      <w:r w:rsidR="00A700D2" w:rsidRPr="00A700D2">
        <w:t>3</w:t>
      </w:r>
      <w:r w:rsidR="00DB7BF9" w:rsidRPr="00A700D2">
        <w:t>,0</w:t>
      </w:r>
      <w:r w:rsidR="006C1B63" w:rsidRPr="00A700D2">
        <w:t xml:space="preserve"> млн. лв. или </w:t>
      </w:r>
      <w:r w:rsidR="00A700D2" w:rsidRPr="00A700D2">
        <w:t>57</w:t>
      </w:r>
      <w:r w:rsidR="00DB7BF9" w:rsidRPr="00A700D2">
        <w:t>,2</w:t>
      </w:r>
      <w:r w:rsidR="006C1B63" w:rsidRPr="00A700D2">
        <w:t xml:space="preserve"> на сто от уточнения годишен план. </w:t>
      </w:r>
      <w:r w:rsidR="005830F2" w:rsidRPr="00A700D2">
        <w:t>Същите са предоставени в съответствие с утвърдения от министъра на транспорта, информационните технологии и съобщенията График за превеждане на субсидиите, съобразен с необходимостта от средства за финансиране на текущите дейности на предприятието</w:t>
      </w:r>
      <w:r w:rsidR="006C1B63" w:rsidRPr="00A700D2">
        <w:t>.</w:t>
      </w:r>
    </w:p>
    <w:p w:rsidR="008360FD" w:rsidRPr="00A700D2" w:rsidRDefault="008360FD" w:rsidP="00C83494">
      <w:pPr>
        <w:pStyle w:val="BodyTextIndent2"/>
        <w:spacing w:line="240" w:lineRule="auto"/>
        <w:ind w:left="0" w:firstLine="357"/>
        <w:jc w:val="both"/>
        <w:rPr>
          <w:noProof/>
        </w:rPr>
      </w:pPr>
      <w:r w:rsidRPr="00A700D2">
        <w:t>- Предвидените със ЗДБРБ за 201</w:t>
      </w:r>
      <w:r w:rsidR="002A1277" w:rsidRPr="00A700D2">
        <w:t>8</w:t>
      </w:r>
      <w:r w:rsidRPr="00A700D2">
        <w:t xml:space="preserve"> г. средства за субсидиране на превоза на пътниците по нерентабилни линии във вътрешноградския транспорт и транспорт</w:t>
      </w:r>
      <w:r w:rsidR="00B77876" w:rsidRPr="00A700D2">
        <w:t>а</w:t>
      </w:r>
      <w:r w:rsidRPr="00A700D2">
        <w:t xml:space="preserve"> в планински и други райони са в размер на </w:t>
      </w:r>
      <w:r w:rsidR="002A1277" w:rsidRPr="00A700D2">
        <w:t>26,5</w:t>
      </w:r>
      <w:r w:rsidRPr="00A700D2">
        <w:t xml:space="preserve"> млн. лева. По своя характер те са обществени превозни услуги от общ икономически интерес</w:t>
      </w:r>
      <w:r w:rsidR="00352F76" w:rsidRPr="00A700D2">
        <w:t xml:space="preserve"> и</w:t>
      </w:r>
      <w:r w:rsidRPr="00A700D2">
        <w:t xml:space="preserve"> имат предимно социална насоченост – масови превози до и от работните места в рамките на града и превози до малки отдалечени селища, осигуря</w:t>
      </w:r>
      <w:r w:rsidR="003F1222" w:rsidRPr="00A700D2">
        <w:t xml:space="preserve">ващи връзка с общинския център. </w:t>
      </w:r>
      <w:r w:rsidR="008625C0" w:rsidRPr="00A700D2">
        <w:t>П</w:t>
      </w:r>
      <w:r w:rsidR="006C1B63" w:rsidRPr="00A700D2">
        <w:rPr>
          <w:noProof/>
        </w:rPr>
        <w:t xml:space="preserve">рез първото </w:t>
      </w:r>
      <w:r w:rsidR="00A700D2" w:rsidRPr="00A700D2">
        <w:rPr>
          <w:noProof/>
        </w:rPr>
        <w:t>полугодие</w:t>
      </w:r>
      <w:r w:rsidR="006C1B63" w:rsidRPr="00A700D2">
        <w:rPr>
          <w:noProof/>
        </w:rPr>
        <w:t xml:space="preserve"> на 201</w:t>
      </w:r>
      <w:r w:rsidR="003F1222" w:rsidRPr="00A700D2">
        <w:rPr>
          <w:noProof/>
        </w:rPr>
        <w:t>8</w:t>
      </w:r>
      <w:r w:rsidR="009B4DFD">
        <w:rPr>
          <w:noProof/>
        </w:rPr>
        <w:t xml:space="preserve"> г.</w:t>
      </w:r>
      <w:r w:rsidR="006C1B63" w:rsidRPr="00A700D2">
        <w:rPr>
          <w:noProof/>
        </w:rPr>
        <w:t xml:space="preserve"> усвоените средства са в размер на </w:t>
      </w:r>
      <w:r w:rsidR="00A700D2" w:rsidRPr="00A700D2">
        <w:rPr>
          <w:noProof/>
        </w:rPr>
        <w:t>12</w:t>
      </w:r>
      <w:r w:rsidR="003F1222" w:rsidRPr="00A700D2">
        <w:rPr>
          <w:noProof/>
        </w:rPr>
        <w:t>,0</w:t>
      </w:r>
      <w:r w:rsidR="006C1B63" w:rsidRPr="00A700D2">
        <w:rPr>
          <w:noProof/>
        </w:rPr>
        <w:t xml:space="preserve"> млн. лв. или </w:t>
      </w:r>
      <w:r w:rsidR="00A700D2" w:rsidRPr="00A700D2">
        <w:rPr>
          <w:noProof/>
        </w:rPr>
        <w:t>45</w:t>
      </w:r>
      <w:r w:rsidR="003F1222" w:rsidRPr="00A700D2">
        <w:rPr>
          <w:noProof/>
        </w:rPr>
        <w:t>,</w:t>
      </w:r>
      <w:r w:rsidR="00A700D2" w:rsidRPr="00A700D2">
        <w:rPr>
          <w:noProof/>
        </w:rPr>
        <w:t>2</w:t>
      </w:r>
      <w:r w:rsidR="006C1B63" w:rsidRPr="00A700D2">
        <w:rPr>
          <w:noProof/>
        </w:rPr>
        <w:t xml:space="preserve"> на сто от предвидените по годишния план.</w:t>
      </w:r>
      <w:r w:rsidRPr="00A700D2">
        <w:rPr>
          <w:noProof/>
        </w:rPr>
        <w:t xml:space="preserve"> </w:t>
      </w:r>
    </w:p>
    <w:p w:rsidR="008360FD" w:rsidRPr="00A700D2" w:rsidRDefault="008360FD" w:rsidP="008360FD">
      <w:pPr>
        <w:ind w:firstLine="567"/>
        <w:jc w:val="both"/>
        <w:rPr>
          <w:bCs/>
        </w:rPr>
      </w:pPr>
      <w:r w:rsidRPr="00A700D2">
        <w:rPr>
          <w:bCs/>
        </w:rPr>
        <w:t xml:space="preserve">За </w:t>
      </w:r>
      <w:r w:rsidRPr="00A700D2">
        <w:rPr>
          <w:b/>
          <w:bCs/>
        </w:rPr>
        <w:t xml:space="preserve">капиталови </w:t>
      </w:r>
      <w:r w:rsidR="000A301B" w:rsidRPr="00A700D2">
        <w:rPr>
          <w:b/>
          <w:bCs/>
        </w:rPr>
        <w:t xml:space="preserve">трансфери </w:t>
      </w:r>
      <w:r w:rsidRPr="00A700D2">
        <w:rPr>
          <w:bCs/>
        </w:rPr>
        <w:t>от централния бюджет за нефинансови предприятия със ЗДБРБ за 201</w:t>
      </w:r>
      <w:r w:rsidR="00810D7B" w:rsidRPr="00A700D2">
        <w:rPr>
          <w:bCs/>
        </w:rPr>
        <w:t>8</w:t>
      </w:r>
      <w:r w:rsidRPr="00A700D2">
        <w:rPr>
          <w:bCs/>
        </w:rPr>
        <w:t xml:space="preserve"> г. са предвидени </w:t>
      </w:r>
      <w:r w:rsidRPr="00A700D2">
        <w:rPr>
          <w:b/>
          <w:bCs/>
        </w:rPr>
        <w:t>1</w:t>
      </w:r>
      <w:r w:rsidR="00810D7B" w:rsidRPr="00A700D2">
        <w:rPr>
          <w:b/>
          <w:bCs/>
        </w:rPr>
        <w:t>6</w:t>
      </w:r>
      <w:r w:rsidR="00E5271E" w:rsidRPr="00A700D2">
        <w:rPr>
          <w:b/>
          <w:bCs/>
        </w:rPr>
        <w:t>6</w:t>
      </w:r>
      <w:r w:rsidRPr="00A700D2">
        <w:rPr>
          <w:b/>
          <w:bCs/>
        </w:rPr>
        <w:t>,0 млн. лева.</w:t>
      </w:r>
      <w:r w:rsidRPr="00A700D2">
        <w:rPr>
          <w:bCs/>
        </w:rPr>
        <w:t xml:space="preserve"> Преведените и усвоени средства </w:t>
      </w:r>
      <w:r w:rsidR="005061E5" w:rsidRPr="00A700D2">
        <w:rPr>
          <w:bCs/>
        </w:rPr>
        <w:t>към 3</w:t>
      </w:r>
      <w:r w:rsidR="00A700D2" w:rsidRPr="00A700D2">
        <w:rPr>
          <w:bCs/>
        </w:rPr>
        <w:t>0</w:t>
      </w:r>
      <w:r w:rsidR="005061E5" w:rsidRPr="00A700D2">
        <w:rPr>
          <w:bCs/>
        </w:rPr>
        <w:t>.0</w:t>
      </w:r>
      <w:r w:rsidR="00A700D2" w:rsidRPr="00A700D2">
        <w:rPr>
          <w:bCs/>
        </w:rPr>
        <w:t>6</w:t>
      </w:r>
      <w:r w:rsidR="005061E5" w:rsidRPr="00A700D2">
        <w:rPr>
          <w:bCs/>
        </w:rPr>
        <w:t>.201</w:t>
      </w:r>
      <w:r w:rsidR="00810D7B" w:rsidRPr="00A700D2">
        <w:rPr>
          <w:bCs/>
        </w:rPr>
        <w:t>8</w:t>
      </w:r>
      <w:r w:rsidR="005061E5" w:rsidRPr="00A700D2">
        <w:rPr>
          <w:bCs/>
        </w:rPr>
        <w:t xml:space="preserve"> г.</w:t>
      </w:r>
      <w:r w:rsidRPr="00A700D2">
        <w:rPr>
          <w:bCs/>
        </w:rPr>
        <w:t xml:space="preserve"> са в размер на </w:t>
      </w:r>
      <w:r w:rsidR="00A700D2" w:rsidRPr="00A700D2">
        <w:rPr>
          <w:b/>
          <w:bCs/>
        </w:rPr>
        <w:t>103</w:t>
      </w:r>
      <w:r w:rsidR="00810D7B" w:rsidRPr="00A700D2">
        <w:rPr>
          <w:b/>
          <w:bCs/>
        </w:rPr>
        <w:t>,</w:t>
      </w:r>
      <w:r w:rsidR="00A700D2" w:rsidRPr="00A700D2">
        <w:rPr>
          <w:b/>
          <w:bCs/>
        </w:rPr>
        <w:t>4</w:t>
      </w:r>
      <w:r w:rsidRPr="00A700D2">
        <w:rPr>
          <w:b/>
          <w:bCs/>
        </w:rPr>
        <w:t xml:space="preserve"> млн. лв.</w:t>
      </w:r>
      <w:r w:rsidRPr="00A700D2">
        <w:rPr>
          <w:bCs/>
        </w:rPr>
        <w:t xml:space="preserve"> или </w:t>
      </w:r>
      <w:r w:rsidR="00A700D2" w:rsidRPr="00A700D2">
        <w:rPr>
          <w:bCs/>
        </w:rPr>
        <w:t>62</w:t>
      </w:r>
      <w:r w:rsidR="00810D7B" w:rsidRPr="00A700D2">
        <w:rPr>
          <w:bCs/>
        </w:rPr>
        <w:t>,</w:t>
      </w:r>
      <w:r w:rsidR="00A700D2" w:rsidRPr="00A700D2">
        <w:rPr>
          <w:bCs/>
        </w:rPr>
        <w:t>3</w:t>
      </w:r>
      <w:r w:rsidRPr="00A700D2">
        <w:rPr>
          <w:bCs/>
        </w:rPr>
        <w:t xml:space="preserve"> % от годишния размер, както следва:</w:t>
      </w:r>
    </w:p>
    <w:p w:rsidR="008360FD" w:rsidRPr="00A700D2" w:rsidRDefault="008360FD" w:rsidP="00337CA7">
      <w:pPr>
        <w:numPr>
          <w:ilvl w:val="0"/>
          <w:numId w:val="5"/>
        </w:numPr>
        <w:tabs>
          <w:tab w:val="clear" w:pos="1440"/>
          <w:tab w:val="left" w:pos="851"/>
          <w:tab w:val="left" w:pos="1134"/>
        </w:tabs>
        <w:ind w:left="0" w:firstLine="567"/>
        <w:jc w:val="both"/>
        <w:rPr>
          <w:i/>
        </w:rPr>
      </w:pPr>
      <w:r w:rsidRPr="00A700D2">
        <w:rPr>
          <w:i/>
        </w:rPr>
        <w:t xml:space="preserve">капиталови трансфери за  Национална компания </w:t>
      </w:r>
      <w:r w:rsidR="00B77876" w:rsidRPr="00A700D2">
        <w:rPr>
          <w:i/>
        </w:rPr>
        <w:t>„</w:t>
      </w:r>
      <w:r w:rsidRPr="00A700D2">
        <w:rPr>
          <w:i/>
        </w:rPr>
        <w:t>Железопътна инфраструктура</w:t>
      </w:r>
      <w:r w:rsidRPr="00A700D2">
        <w:t xml:space="preserve">” - </w:t>
      </w:r>
      <w:r w:rsidR="003D664F" w:rsidRPr="00A700D2">
        <w:t>ф</w:t>
      </w:r>
      <w:r w:rsidRPr="00A700D2">
        <w:rPr>
          <w:noProof/>
        </w:rPr>
        <w:t>инансовото подпомагане от страна на държавата за изграждане и развитие на железопътната инфраструктура е насочено към повишаване на качеството и нивото на безопасност на транспортните услуги, ускоряване реализацията на проекти, свързани с европейските транспортни оси и коридори на територията на страната, ремонт и рехабилитация на железопътната мрежа</w:t>
      </w:r>
      <w:r w:rsidRPr="00A700D2">
        <w:t xml:space="preserve">. </w:t>
      </w:r>
      <w:r w:rsidRPr="00A700D2">
        <w:rPr>
          <w:noProof/>
        </w:rPr>
        <w:t>За 201</w:t>
      </w:r>
      <w:r w:rsidR="00D508E4" w:rsidRPr="00A700D2">
        <w:rPr>
          <w:noProof/>
        </w:rPr>
        <w:t>8</w:t>
      </w:r>
      <w:r w:rsidRPr="00A700D2">
        <w:rPr>
          <w:noProof/>
        </w:rPr>
        <w:t xml:space="preserve"> г. от държавния бюджет за компанията е предвиден капиталов трансфер в размер на 1</w:t>
      </w:r>
      <w:r w:rsidR="00D508E4" w:rsidRPr="00A700D2">
        <w:rPr>
          <w:noProof/>
        </w:rPr>
        <w:t>1</w:t>
      </w:r>
      <w:r w:rsidRPr="00A700D2">
        <w:rPr>
          <w:noProof/>
        </w:rPr>
        <w:t xml:space="preserve">5,0 млн. лева. </w:t>
      </w:r>
      <w:r w:rsidR="00E5271E" w:rsidRPr="00A700D2">
        <w:rPr>
          <w:noProof/>
        </w:rPr>
        <w:t xml:space="preserve">Усвоените средства за първото </w:t>
      </w:r>
      <w:r w:rsidR="00A700D2" w:rsidRPr="00A700D2">
        <w:rPr>
          <w:noProof/>
        </w:rPr>
        <w:t>шест месеца</w:t>
      </w:r>
      <w:r w:rsidR="00E5271E" w:rsidRPr="00A700D2">
        <w:rPr>
          <w:noProof/>
        </w:rPr>
        <w:t xml:space="preserve"> на 201</w:t>
      </w:r>
      <w:r w:rsidR="00F939B6" w:rsidRPr="00A700D2">
        <w:rPr>
          <w:noProof/>
        </w:rPr>
        <w:t>8</w:t>
      </w:r>
      <w:r w:rsidR="00E5271E" w:rsidRPr="00A700D2">
        <w:rPr>
          <w:noProof/>
        </w:rPr>
        <w:t xml:space="preserve"> г. са в размер на </w:t>
      </w:r>
      <w:r w:rsidR="00A700D2" w:rsidRPr="00A700D2">
        <w:rPr>
          <w:noProof/>
        </w:rPr>
        <w:t>69</w:t>
      </w:r>
      <w:r w:rsidR="00F939B6" w:rsidRPr="00A700D2">
        <w:rPr>
          <w:noProof/>
        </w:rPr>
        <w:t>,2</w:t>
      </w:r>
      <w:r w:rsidR="00E5271E" w:rsidRPr="00A700D2">
        <w:rPr>
          <w:noProof/>
        </w:rPr>
        <w:t xml:space="preserve"> млн. лв. или </w:t>
      </w:r>
      <w:r w:rsidR="00A700D2" w:rsidRPr="00A700D2">
        <w:rPr>
          <w:noProof/>
        </w:rPr>
        <w:t>60</w:t>
      </w:r>
      <w:r w:rsidR="00F939B6" w:rsidRPr="00A700D2">
        <w:rPr>
          <w:noProof/>
        </w:rPr>
        <w:t>,</w:t>
      </w:r>
      <w:r w:rsidR="00A700D2" w:rsidRPr="00A700D2">
        <w:rPr>
          <w:noProof/>
        </w:rPr>
        <w:t>2</w:t>
      </w:r>
      <w:r w:rsidR="00E5271E" w:rsidRPr="00A700D2">
        <w:rPr>
          <w:noProof/>
        </w:rPr>
        <w:t xml:space="preserve"> на сто от уточнения годишен план.</w:t>
      </w:r>
      <w:r w:rsidR="00222228" w:rsidRPr="00A700D2">
        <w:rPr>
          <w:noProof/>
        </w:rPr>
        <w:t xml:space="preserve"> Изпълняват се проекти за ремонт и придобиване на дълготрайни материални активи</w:t>
      </w:r>
      <w:r w:rsidR="00EF5667" w:rsidRPr="00A700D2">
        <w:rPr>
          <w:noProof/>
        </w:rPr>
        <w:t>,</w:t>
      </w:r>
      <w:r w:rsidR="00222228" w:rsidRPr="00A700D2">
        <w:rPr>
          <w:noProof/>
        </w:rPr>
        <w:t xml:space="preserve"> за възстановяване и подобряване на експлоатационното състояние на железния път и съор</w:t>
      </w:r>
      <w:r w:rsidR="001A5350" w:rsidRPr="00A700D2">
        <w:rPr>
          <w:noProof/>
        </w:rPr>
        <w:t>ъ</w:t>
      </w:r>
      <w:r w:rsidR="00222228" w:rsidRPr="00A700D2">
        <w:rPr>
          <w:noProof/>
        </w:rPr>
        <w:t>женията, както и ремонт и преустройство на възлови жп гари в съответствие с европейските изисквания</w:t>
      </w:r>
      <w:r w:rsidRPr="00A700D2">
        <w:rPr>
          <w:noProof/>
        </w:rPr>
        <w:t>;</w:t>
      </w:r>
    </w:p>
    <w:p w:rsidR="008360FD" w:rsidRPr="00BD3834" w:rsidRDefault="008360FD" w:rsidP="00337CA7">
      <w:pPr>
        <w:numPr>
          <w:ilvl w:val="0"/>
          <w:numId w:val="5"/>
        </w:numPr>
        <w:tabs>
          <w:tab w:val="clear" w:pos="1440"/>
          <w:tab w:val="num" w:pos="360"/>
          <w:tab w:val="left" w:pos="851"/>
        </w:tabs>
        <w:ind w:left="0" w:firstLine="567"/>
        <w:jc w:val="both"/>
        <w:rPr>
          <w:i/>
        </w:rPr>
      </w:pPr>
      <w:r w:rsidRPr="00A700D2">
        <w:rPr>
          <w:i/>
        </w:rPr>
        <w:t xml:space="preserve">капиталови трансфери за „БДЖ – Пътнически превози” - ЕООД – </w:t>
      </w:r>
      <w:r w:rsidR="003D664F" w:rsidRPr="00A700D2">
        <w:t>п</w:t>
      </w:r>
      <w:r w:rsidRPr="00A700D2">
        <w:t>редвидените средства със ЗДБРБ за 201</w:t>
      </w:r>
      <w:r w:rsidR="00636CE4" w:rsidRPr="00A700D2">
        <w:t>8</w:t>
      </w:r>
      <w:r w:rsidRPr="00A700D2">
        <w:t> г. са в размер на 3</w:t>
      </w:r>
      <w:r w:rsidR="00AC3200" w:rsidRPr="00A700D2">
        <w:t>5</w:t>
      </w:r>
      <w:r w:rsidRPr="00A700D2">
        <w:t>,0 млн. л</w:t>
      </w:r>
      <w:r w:rsidR="00EF5667" w:rsidRPr="00A700D2">
        <w:t>е</w:t>
      </w:r>
      <w:r w:rsidRPr="00A700D2">
        <w:t>в</w:t>
      </w:r>
      <w:r w:rsidR="00EF5667" w:rsidRPr="00A700D2">
        <w:t>а</w:t>
      </w:r>
      <w:r w:rsidRPr="00A700D2">
        <w:t xml:space="preserve">. </w:t>
      </w:r>
      <w:r w:rsidR="00CC51BE" w:rsidRPr="00A700D2">
        <w:t xml:space="preserve">Средствата са предназначени за погасяване на задължения на предприятието, във връзка с придобити </w:t>
      </w:r>
      <w:proofErr w:type="spellStart"/>
      <w:r w:rsidR="00CC51BE" w:rsidRPr="00A700D2">
        <w:t>електромотрисни</w:t>
      </w:r>
      <w:proofErr w:type="spellEnd"/>
      <w:r w:rsidR="00CC51BE" w:rsidRPr="00A700D2">
        <w:t xml:space="preserve"> </w:t>
      </w:r>
      <w:r w:rsidR="00CC51BE" w:rsidRPr="00BD3834">
        <w:t xml:space="preserve">влакове през предходни години. </w:t>
      </w:r>
      <w:r w:rsidR="00AC3200" w:rsidRPr="00BD3834">
        <w:t xml:space="preserve">За първото </w:t>
      </w:r>
      <w:r w:rsidR="00A700D2" w:rsidRPr="00BD3834">
        <w:t>полугодие</w:t>
      </w:r>
      <w:r w:rsidR="00AC3200" w:rsidRPr="00BD3834">
        <w:t xml:space="preserve"> на 201</w:t>
      </w:r>
      <w:r w:rsidR="00636CE4" w:rsidRPr="00BD3834">
        <w:t>8</w:t>
      </w:r>
      <w:r w:rsidR="00AC3200" w:rsidRPr="00BD3834">
        <w:t xml:space="preserve"> г. са усвоени </w:t>
      </w:r>
      <w:r w:rsidR="00636CE4" w:rsidRPr="00BD3834">
        <w:t>30,9</w:t>
      </w:r>
      <w:r w:rsidR="00AC3200" w:rsidRPr="00BD3834">
        <w:t xml:space="preserve"> млн. лв. или </w:t>
      </w:r>
      <w:r w:rsidR="00636CE4" w:rsidRPr="00BD3834">
        <w:t>88,4</w:t>
      </w:r>
      <w:r w:rsidR="00AC3200" w:rsidRPr="00BD3834">
        <w:t xml:space="preserve"> на сто от уточнения годишен план</w:t>
      </w:r>
      <w:r w:rsidRPr="00BD3834">
        <w:t>;</w:t>
      </w:r>
    </w:p>
    <w:p w:rsidR="008360FD" w:rsidRPr="00BD3834" w:rsidRDefault="008360FD" w:rsidP="00337CA7">
      <w:pPr>
        <w:numPr>
          <w:ilvl w:val="1"/>
          <w:numId w:val="15"/>
        </w:numPr>
        <w:tabs>
          <w:tab w:val="clear" w:pos="1440"/>
          <w:tab w:val="num" w:pos="360"/>
          <w:tab w:val="left" w:pos="851"/>
        </w:tabs>
        <w:ind w:left="0" w:firstLine="567"/>
        <w:jc w:val="both"/>
      </w:pPr>
      <w:r w:rsidRPr="00BD3834">
        <w:rPr>
          <w:i/>
        </w:rPr>
        <w:t>капиталови трансфери за ДП „Пристанищна инфраструктура”</w:t>
      </w:r>
      <w:r w:rsidRPr="00BD3834">
        <w:rPr>
          <w:b/>
          <w:i/>
        </w:rPr>
        <w:t xml:space="preserve"> </w:t>
      </w:r>
      <w:r w:rsidRPr="00BD3834">
        <w:t xml:space="preserve">- </w:t>
      </w:r>
      <w:r w:rsidR="003D664F" w:rsidRPr="00BD3834">
        <w:t>и</w:t>
      </w:r>
      <w:r w:rsidRPr="00BD3834">
        <w:t>нвестиционната програма на дружеството, която включва изграждане и капиталов ремонт на пристанищна инфраструктура на пристанищата за обществен транспорт с национално значение, се изпълнява с участието на капиталов</w:t>
      </w:r>
      <w:r w:rsidR="00CC51BE" w:rsidRPr="00BD3834">
        <w:t>и</w:t>
      </w:r>
      <w:r w:rsidRPr="00BD3834">
        <w:t xml:space="preserve"> трансфер</w:t>
      </w:r>
      <w:r w:rsidR="00CC51BE" w:rsidRPr="00BD3834">
        <w:t>и</w:t>
      </w:r>
      <w:r w:rsidRPr="00BD3834">
        <w:t xml:space="preserve"> от </w:t>
      </w:r>
      <w:r w:rsidR="00CC51BE" w:rsidRPr="00BD3834">
        <w:t>държавния бюджет</w:t>
      </w:r>
      <w:r w:rsidR="00CC51BE" w:rsidRPr="00BD3834">
        <w:rPr>
          <w:noProof/>
        </w:rPr>
        <w:t xml:space="preserve">. </w:t>
      </w:r>
      <w:r w:rsidR="00D466A8" w:rsidRPr="00BD3834">
        <w:rPr>
          <w:noProof/>
        </w:rPr>
        <w:t xml:space="preserve">Предвидените със </w:t>
      </w:r>
      <w:r w:rsidR="00CC51BE" w:rsidRPr="00BD3834">
        <w:rPr>
          <w:noProof/>
        </w:rPr>
        <w:t xml:space="preserve">ЗДБРБ </w:t>
      </w:r>
      <w:r w:rsidR="00D466A8" w:rsidRPr="00BD3834">
        <w:rPr>
          <w:noProof/>
        </w:rPr>
        <w:t>за  201</w:t>
      </w:r>
      <w:r w:rsidR="0044645D" w:rsidRPr="00BD3834">
        <w:rPr>
          <w:noProof/>
        </w:rPr>
        <w:t>8</w:t>
      </w:r>
      <w:r w:rsidR="00D466A8" w:rsidRPr="00BD3834">
        <w:rPr>
          <w:noProof/>
        </w:rPr>
        <w:t xml:space="preserve"> г. средства са в размер на 11</w:t>
      </w:r>
      <w:r w:rsidR="000411D9" w:rsidRPr="00BD3834">
        <w:rPr>
          <w:noProof/>
        </w:rPr>
        <w:t>,0</w:t>
      </w:r>
      <w:r w:rsidR="00D466A8" w:rsidRPr="00BD3834">
        <w:rPr>
          <w:noProof/>
        </w:rPr>
        <w:t xml:space="preserve"> млн. лева. Към 3</w:t>
      </w:r>
      <w:r w:rsidR="00BD3834" w:rsidRPr="00BD3834">
        <w:rPr>
          <w:noProof/>
        </w:rPr>
        <w:t>0</w:t>
      </w:r>
      <w:r w:rsidR="00D466A8" w:rsidRPr="00BD3834">
        <w:rPr>
          <w:noProof/>
        </w:rPr>
        <w:t>.0</w:t>
      </w:r>
      <w:r w:rsidR="00BD3834" w:rsidRPr="00BD3834">
        <w:rPr>
          <w:noProof/>
        </w:rPr>
        <w:t>6</w:t>
      </w:r>
      <w:r w:rsidR="00D466A8" w:rsidRPr="00BD3834">
        <w:rPr>
          <w:noProof/>
        </w:rPr>
        <w:t>.201</w:t>
      </w:r>
      <w:r w:rsidR="0044645D" w:rsidRPr="00BD3834">
        <w:rPr>
          <w:noProof/>
        </w:rPr>
        <w:t>8</w:t>
      </w:r>
      <w:r w:rsidR="00D466A8" w:rsidRPr="00BD3834">
        <w:rPr>
          <w:noProof/>
        </w:rPr>
        <w:t xml:space="preserve"> г. са усвоени средства </w:t>
      </w:r>
      <w:r w:rsidR="0044645D" w:rsidRPr="00BD3834">
        <w:rPr>
          <w:noProof/>
        </w:rPr>
        <w:t xml:space="preserve">в размер на </w:t>
      </w:r>
      <w:r w:rsidR="00BD3834" w:rsidRPr="00BD3834">
        <w:rPr>
          <w:noProof/>
        </w:rPr>
        <w:t>2</w:t>
      </w:r>
      <w:r w:rsidR="0044645D" w:rsidRPr="00BD3834">
        <w:rPr>
          <w:noProof/>
        </w:rPr>
        <w:t>,</w:t>
      </w:r>
      <w:r w:rsidR="00BD3834" w:rsidRPr="00BD3834">
        <w:rPr>
          <w:noProof/>
        </w:rPr>
        <w:t>3</w:t>
      </w:r>
      <w:r w:rsidR="0044645D" w:rsidRPr="00BD3834">
        <w:rPr>
          <w:noProof/>
        </w:rPr>
        <w:t xml:space="preserve"> млн. лв. или </w:t>
      </w:r>
      <w:r w:rsidR="00BD3834" w:rsidRPr="00BD3834">
        <w:rPr>
          <w:noProof/>
        </w:rPr>
        <w:t>20</w:t>
      </w:r>
      <w:r w:rsidR="0044645D" w:rsidRPr="00BD3834">
        <w:rPr>
          <w:noProof/>
        </w:rPr>
        <w:t>,</w:t>
      </w:r>
      <w:r w:rsidR="00BD3834" w:rsidRPr="00BD3834">
        <w:rPr>
          <w:noProof/>
        </w:rPr>
        <w:t>9</w:t>
      </w:r>
      <w:r w:rsidR="0044645D" w:rsidRPr="00BD3834">
        <w:rPr>
          <w:noProof/>
        </w:rPr>
        <w:t xml:space="preserve"> на сто от уточнения годишен план</w:t>
      </w:r>
      <w:r w:rsidRPr="00BD3834">
        <w:t>;</w:t>
      </w:r>
    </w:p>
    <w:p w:rsidR="008360FD" w:rsidRPr="00BD3834" w:rsidRDefault="008360FD" w:rsidP="00337CA7">
      <w:pPr>
        <w:numPr>
          <w:ilvl w:val="0"/>
          <w:numId w:val="16"/>
        </w:numPr>
        <w:tabs>
          <w:tab w:val="clear" w:pos="2157"/>
          <w:tab w:val="left" w:pos="360"/>
          <w:tab w:val="left" w:pos="851"/>
        </w:tabs>
        <w:ind w:left="0" w:firstLine="567"/>
        <w:jc w:val="both"/>
      </w:pPr>
      <w:r w:rsidRPr="00BD3834">
        <w:t>През 201</w:t>
      </w:r>
      <w:r w:rsidR="00396E17" w:rsidRPr="00BD3834">
        <w:t>8</w:t>
      </w:r>
      <w:r w:rsidRPr="00BD3834">
        <w:t xml:space="preserve"> г. продължава изпълнението на Програмите </w:t>
      </w:r>
      <w:r w:rsidR="00601E59" w:rsidRPr="00BD3834">
        <w:t xml:space="preserve">за отстраняване на нанесени щети </w:t>
      </w:r>
      <w:r w:rsidR="00601E59" w:rsidRPr="00BD3834">
        <w:rPr>
          <w:noProof/>
        </w:rPr>
        <w:t>върху околната среда</w:t>
      </w:r>
      <w:r w:rsidR="00601E59" w:rsidRPr="00BD3834">
        <w:t>, настъпили от минали действия или бездействия, при приватизация</w:t>
      </w:r>
      <w:r w:rsidRPr="00BD3834">
        <w:t>. В ЗДБРБ за 201</w:t>
      </w:r>
      <w:r w:rsidR="00396E17" w:rsidRPr="00BD3834">
        <w:t>8</w:t>
      </w:r>
      <w:r w:rsidRPr="00BD3834">
        <w:t xml:space="preserve"> г. за тези програми са предвидени </w:t>
      </w:r>
      <w:r w:rsidR="000411D9" w:rsidRPr="00BD3834">
        <w:t>5</w:t>
      </w:r>
      <w:r w:rsidRPr="00BD3834">
        <w:t>,0 млн. л</w:t>
      </w:r>
      <w:r w:rsidR="000411D9" w:rsidRPr="00BD3834">
        <w:t>е</w:t>
      </w:r>
      <w:r w:rsidRPr="00BD3834">
        <w:t>в</w:t>
      </w:r>
      <w:r w:rsidR="000411D9" w:rsidRPr="00BD3834">
        <w:t xml:space="preserve">а. За първото </w:t>
      </w:r>
      <w:r w:rsidR="00BD3834" w:rsidRPr="00BD3834">
        <w:t>шест</w:t>
      </w:r>
      <w:r w:rsidR="000411D9" w:rsidRPr="00BD3834">
        <w:t>месечие на 201</w:t>
      </w:r>
      <w:r w:rsidR="00396E17" w:rsidRPr="00BD3834">
        <w:t>8</w:t>
      </w:r>
      <w:r w:rsidR="000411D9" w:rsidRPr="00BD3834">
        <w:t xml:space="preserve"> г. са усвоени </w:t>
      </w:r>
      <w:r w:rsidR="00BD3834" w:rsidRPr="00BD3834">
        <w:t>1</w:t>
      </w:r>
      <w:r w:rsidR="000411D9" w:rsidRPr="00BD3834">
        <w:t>,</w:t>
      </w:r>
      <w:r w:rsidR="00BD3834" w:rsidRPr="00BD3834">
        <w:t>0</w:t>
      </w:r>
      <w:r w:rsidR="000411D9" w:rsidRPr="00BD3834">
        <w:t xml:space="preserve"> млн. лв. или </w:t>
      </w:r>
      <w:r w:rsidR="00BD3834" w:rsidRPr="00BD3834">
        <w:t>1</w:t>
      </w:r>
      <w:r w:rsidR="00396E17" w:rsidRPr="00BD3834">
        <w:t>9,</w:t>
      </w:r>
      <w:r w:rsidR="00BD3834" w:rsidRPr="00BD3834">
        <w:t>5</w:t>
      </w:r>
      <w:r w:rsidR="000411D9" w:rsidRPr="00BD3834">
        <w:t xml:space="preserve"> на сто от годишния план</w:t>
      </w:r>
      <w:r w:rsidR="000411D9" w:rsidRPr="00BD3834">
        <w:rPr>
          <w:noProof/>
        </w:rPr>
        <w:t>.</w:t>
      </w:r>
      <w:r w:rsidRPr="00BD3834">
        <w:t xml:space="preserve">  </w:t>
      </w:r>
    </w:p>
    <w:p w:rsidR="008360FD" w:rsidRPr="000119C6" w:rsidRDefault="008360FD" w:rsidP="008360FD">
      <w:pPr>
        <w:jc w:val="both"/>
        <w:rPr>
          <w:color w:val="0070C0"/>
          <w:sz w:val="8"/>
          <w:szCs w:val="8"/>
        </w:rPr>
      </w:pPr>
    </w:p>
    <w:p w:rsidR="008360FD" w:rsidRPr="000119C6" w:rsidRDefault="008360FD" w:rsidP="008360FD">
      <w:pPr>
        <w:jc w:val="both"/>
        <w:rPr>
          <w:color w:val="0070C0"/>
          <w:sz w:val="8"/>
          <w:szCs w:val="8"/>
          <w:highlight w:val="yellow"/>
        </w:rPr>
      </w:pPr>
    </w:p>
    <w:p w:rsidR="008360FD" w:rsidRPr="00BD3834" w:rsidRDefault="008360FD" w:rsidP="008360FD">
      <w:pPr>
        <w:ind w:firstLine="567"/>
        <w:jc w:val="both"/>
      </w:pPr>
      <w:r w:rsidRPr="00BD3834">
        <w:rPr>
          <w:b/>
          <w:bCs/>
        </w:rPr>
        <w:t>Други разходи по централния бюджет</w:t>
      </w:r>
      <w:r w:rsidRPr="00BD3834">
        <w:t xml:space="preserve"> предназначени за: </w:t>
      </w:r>
    </w:p>
    <w:p w:rsidR="008360FD" w:rsidRPr="000119C6" w:rsidRDefault="008360FD" w:rsidP="008360FD">
      <w:pPr>
        <w:jc w:val="both"/>
        <w:rPr>
          <w:color w:val="0070C0"/>
          <w:sz w:val="8"/>
          <w:szCs w:val="8"/>
        </w:rPr>
      </w:pPr>
    </w:p>
    <w:p w:rsidR="00E7455D" w:rsidRPr="00BD3834" w:rsidRDefault="008360FD" w:rsidP="00E7455D">
      <w:pPr>
        <w:numPr>
          <w:ilvl w:val="0"/>
          <w:numId w:val="5"/>
        </w:numPr>
        <w:tabs>
          <w:tab w:val="clear" w:pos="1440"/>
          <w:tab w:val="num" w:pos="360"/>
          <w:tab w:val="left" w:pos="851"/>
        </w:tabs>
        <w:ind w:left="0" w:firstLine="567"/>
        <w:jc w:val="both"/>
        <w:rPr>
          <w:sz w:val="8"/>
          <w:szCs w:val="8"/>
        </w:rPr>
      </w:pPr>
      <w:r w:rsidRPr="00BD3834">
        <w:rPr>
          <w:i/>
        </w:rPr>
        <w:t>Компенсиране на стойността на</w:t>
      </w:r>
      <w:r w:rsidR="007607CE" w:rsidRPr="00BD3834">
        <w:rPr>
          <w:i/>
        </w:rPr>
        <w:t xml:space="preserve"> </w:t>
      </w:r>
      <w:r w:rsidR="007607CE" w:rsidRPr="00BD3834">
        <w:rPr>
          <w:bCs/>
          <w:i/>
        </w:rPr>
        <w:t>намалените приходи от прилагането на цени за пътуване, предвидени в нормативни актове за определени категории пътници</w:t>
      </w:r>
      <w:r w:rsidRPr="00BD3834">
        <w:rPr>
          <w:i/>
        </w:rPr>
        <w:t xml:space="preserve"> по железопътния и автомобилния транспорт със средства от държавния бюджет</w:t>
      </w:r>
      <w:r w:rsidRPr="00BD3834">
        <w:t xml:space="preserve"> - </w:t>
      </w:r>
      <w:r w:rsidR="00FF7965" w:rsidRPr="00BD3834">
        <w:t xml:space="preserve">предвидените средства са общо в размер на </w:t>
      </w:r>
      <w:r w:rsidR="00AB44CD" w:rsidRPr="00BD3834">
        <w:t>103,3</w:t>
      </w:r>
      <w:r w:rsidR="00FF7965" w:rsidRPr="00BD3834">
        <w:t xml:space="preserve"> млн. лв., от които </w:t>
      </w:r>
      <w:r w:rsidR="00FF7965" w:rsidRPr="00BD3834">
        <w:rPr>
          <w:lang w:val="en-US"/>
        </w:rPr>
        <w:t xml:space="preserve">37,8 </w:t>
      </w:r>
      <w:r w:rsidR="00FF7965" w:rsidRPr="00BD3834">
        <w:t xml:space="preserve">млн. лв. </w:t>
      </w:r>
      <w:r w:rsidR="00FF7965" w:rsidRPr="00BD3834">
        <w:rPr>
          <w:noProof/>
        </w:rPr>
        <w:t xml:space="preserve">за пътувания с вътрешноградския транспорт и междуселищния автомобилен транспорт, </w:t>
      </w:r>
      <w:r w:rsidR="0010026D" w:rsidRPr="00BD3834">
        <w:rPr>
          <w:noProof/>
        </w:rPr>
        <w:t>32,0</w:t>
      </w:r>
      <w:r w:rsidR="00FF7965" w:rsidRPr="00BD3834">
        <w:rPr>
          <w:noProof/>
        </w:rPr>
        <w:t xml:space="preserve"> млн. лв. за транспорт на деца и ученици по чл. 283, ал. 2 от Закона за предучилищното и училищното образование, 16,5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за Държавна агенция „Национална сигурност“ и 17,0 млн. лв. за пътувания с железопътния </w:t>
      </w:r>
      <w:r w:rsidR="00FF7965" w:rsidRPr="00BD3834">
        <w:rPr>
          <w:noProof/>
        </w:rPr>
        <w:lastRenderedPageBreak/>
        <w:t>транспорт.</w:t>
      </w:r>
      <w:r w:rsidR="007B7497" w:rsidRPr="00BD3834">
        <w:t xml:space="preserve"> </w:t>
      </w:r>
      <w:r w:rsidR="00FF7965" w:rsidRPr="00BD3834">
        <w:rPr>
          <w:noProof/>
        </w:rPr>
        <w:t xml:space="preserve">Усвоените средства за </w:t>
      </w:r>
      <w:r w:rsidR="00BD3834" w:rsidRPr="00BD3834">
        <w:t>първите шест месеца</w:t>
      </w:r>
      <w:r w:rsidR="007B7497" w:rsidRPr="00BD3834">
        <w:t xml:space="preserve"> на </w:t>
      </w:r>
      <w:r w:rsidR="00FF7965" w:rsidRPr="00BD3834">
        <w:rPr>
          <w:noProof/>
        </w:rPr>
        <w:t>201</w:t>
      </w:r>
      <w:r w:rsidR="007B7497" w:rsidRPr="00BD3834">
        <w:rPr>
          <w:noProof/>
        </w:rPr>
        <w:t>8</w:t>
      </w:r>
      <w:r w:rsidR="00FF7965" w:rsidRPr="00BD3834">
        <w:rPr>
          <w:noProof/>
        </w:rPr>
        <w:t xml:space="preserve"> г. са общо в размер на </w:t>
      </w:r>
      <w:r w:rsidR="00BD3834" w:rsidRPr="00BD3834">
        <w:rPr>
          <w:noProof/>
        </w:rPr>
        <w:t>50</w:t>
      </w:r>
      <w:r w:rsidR="007B7497" w:rsidRPr="00BD3834">
        <w:rPr>
          <w:noProof/>
        </w:rPr>
        <w:t>,</w:t>
      </w:r>
      <w:r w:rsidR="00BD3834" w:rsidRPr="00BD3834">
        <w:rPr>
          <w:noProof/>
        </w:rPr>
        <w:t>2</w:t>
      </w:r>
      <w:r w:rsidR="00FF7965" w:rsidRPr="00BD3834">
        <w:rPr>
          <w:noProof/>
        </w:rPr>
        <w:t xml:space="preserve"> млн. лв., или </w:t>
      </w:r>
      <w:r w:rsidR="00BD3834" w:rsidRPr="00BD3834">
        <w:rPr>
          <w:noProof/>
        </w:rPr>
        <w:t>48</w:t>
      </w:r>
      <w:r w:rsidR="007B7497" w:rsidRPr="00BD3834">
        <w:rPr>
          <w:noProof/>
        </w:rPr>
        <w:t>,</w:t>
      </w:r>
      <w:r w:rsidR="00BD3834" w:rsidRPr="00BD3834">
        <w:rPr>
          <w:noProof/>
        </w:rPr>
        <w:t>6</w:t>
      </w:r>
      <w:r w:rsidR="00FF7965" w:rsidRPr="00BD3834">
        <w:rPr>
          <w:noProof/>
        </w:rPr>
        <w:t xml:space="preserve"> на сто от уточнения годишен план.</w:t>
      </w:r>
      <w:r w:rsidR="00E7455D" w:rsidRPr="00BD3834">
        <w:t xml:space="preserve"> </w:t>
      </w:r>
    </w:p>
    <w:p w:rsidR="00E7455D" w:rsidRPr="00BD3834" w:rsidRDefault="00E7455D" w:rsidP="00E7455D">
      <w:pPr>
        <w:tabs>
          <w:tab w:val="left" w:pos="851"/>
        </w:tabs>
        <w:ind w:firstLine="567"/>
        <w:jc w:val="both"/>
      </w:pPr>
      <w:r w:rsidRPr="00BD3834">
        <w:t xml:space="preserve">Усвоените средства за първото </w:t>
      </w:r>
      <w:r w:rsidR="00BD3834" w:rsidRPr="00BD3834">
        <w:t>полугодие</w:t>
      </w:r>
      <w:r w:rsidRPr="00BD3834">
        <w:t xml:space="preserve"> на 201</w:t>
      </w:r>
      <w:r w:rsidR="007F2625" w:rsidRPr="00BD3834">
        <w:t>8</w:t>
      </w:r>
      <w:r w:rsidRPr="00BD3834">
        <w:t xml:space="preserve"> г. за компенсиране на намалените приходи от прилагането на цени за пътуване, предвидени в нормативни актове за определени категории пътници /компенсации/, структурирани според вида ползван транспорт – </w:t>
      </w:r>
      <w:r w:rsidRPr="00BD3834">
        <w:rPr>
          <w:noProof/>
        </w:rPr>
        <w:t xml:space="preserve">вътрешноградски транспорт и междуселищен </w:t>
      </w:r>
      <w:r w:rsidRPr="00BD3834">
        <w:t xml:space="preserve">автомобилен транспорт или железопътен транспорт, съгласно ПМС № </w:t>
      </w:r>
      <w:r w:rsidR="007F2625" w:rsidRPr="00BD3834">
        <w:t>332</w:t>
      </w:r>
      <w:r w:rsidRPr="00BD3834">
        <w:t>/201</w:t>
      </w:r>
      <w:r w:rsidR="007F2625" w:rsidRPr="00BD3834">
        <w:t>7</w:t>
      </w:r>
      <w:r w:rsidRPr="00BD3834">
        <w:t xml:space="preserve"> г. за изпълнението на държавния бюджет на Република България за 201</w:t>
      </w:r>
      <w:r w:rsidR="007F2625" w:rsidRPr="00BD3834">
        <w:t>8</w:t>
      </w:r>
      <w:r w:rsidRPr="00BD3834">
        <w:t xml:space="preserve"> г., са както следва:</w:t>
      </w:r>
    </w:p>
    <w:p w:rsidR="00E7455D" w:rsidRPr="00BD3834" w:rsidRDefault="00E7455D" w:rsidP="00E7455D">
      <w:pPr>
        <w:ind w:firstLine="567"/>
        <w:jc w:val="both"/>
      </w:pPr>
      <w:r w:rsidRPr="00BD3834">
        <w:t xml:space="preserve">- компенсации за </w:t>
      </w:r>
      <w:r w:rsidR="009E6012" w:rsidRPr="00BD3834">
        <w:t xml:space="preserve">пътувания с </w:t>
      </w:r>
      <w:r w:rsidRPr="00BD3834">
        <w:t xml:space="preserve">железопътния транспорт в размер на </w:t>
      </w:r>
      <w:r w:rsidR="00BD3834" w:rsidRPr="00BD3834">
        <w:t>4</w:t>
      </w:r>
      <w:r w:rsidRPr="00BD3834">
        <w:t>,</w:t>
      </w:r>
      <w:r w:rsidR="00BD3834" w:rsidRPr="00BD3834">
        <w:t>5</w:t>
      </w:r>
      <w:r w:rsidRPr="00BD3834">
        <w:t xml:space="preserve"> млн. лв.,  </w:t>
      </w:r>
      <w:r w:rsidR="00BD3834" w:rsidRPr="00BD3834">
        <w:t>26</w:t>
      </w:r>
      <w:r w:rsidRPr="00BD3834">
        <w:t>,</w:t>
      </w:r>
      <w:r w:rsidR="009E6012" w:rsidRPr="00BD3834">
        <w:t>3</w:t>
      </w:r>
      <w:r w:rsidRPr="00BD3834">
        <w:t xml:space="preserve"> на сто от утвърдения годишен план; </w:t>
      </w:r>
    </w:p>
    <w:p w:rsidR="00E7455D" w:rsidRPr="009463C3" w:rsidRDefault="00E7455D" w:rsidP="00E7455D">
      <w:pPr>
        <w:tabs>
          <w:tab w:val="left" w:pos="540"/>
          <w:tab w:val="left" w:pos="709"/>
        </w:tabs>
        <w:ind w:firstLine="567"/>
        <w:jc w:val="both"/>
        <w:rPr>
          <w:noProof/>
        </w:rPr>
      </w:pPr>
      <w:r w:rsidRPr="009463C3">
        <w:rPr>
          <w:noProof/>
        </w:rPr>
        <w:t xml:space="preserve">- компенсации за </w:t>
      </w:r>
      <w:r w:rsidR="00FD1298" w:rsidRPr="009463C3">
        <w:rPr>
          <w:noProof/>
        </w:rPr>
        <w:t>пътувания с</w:t>
      </w:r>
      <w:r w:rsidRPr="009463C3">
        <w:rPr>
          <w:noProof/>
        </w:rPr>
        <w:t xml:space="preserve"> вътрешноградски транспорт и междуселищния автомобилен транспорт в страната, предоставени чрез Системата за електронни бюджетни разплащания – </w:t>
      </w:r>
      <w:r w:rsidR="00BD3834" w:rsidRPr="009463C3">
        <w:rPr>
          <w:noProof/>
        </w:rPr>
        <w:t>45</w:t>
      </w:r>
      <w:r w:rsidR="00F14FD5" w:rsidRPr="009463C3">
        <w:rPr>
          <w:noProof/>
        </w:rPr>
        <w:t>,</w:t>
      </w:r>
      <w:r w:rsidR="00BD3834" w:rsidRPr="009463C3">
        <w:rPr>
          <w:noProof/>
        </w:rPr>
        <w:t>7</w:t>
      </w:r>
      <w:r w:rsidRPr="009463C3">
        <w:rPr>
          <w:noProof/>
        </w:rPr>
        <w:t xml:space="preserve"> млн. лв., което е </w:t>
      </w:r>
      <w:r w:rsidR="005F5F63" w:rsidRPr="009463C3">
        <w:rPr>
          <w:noProof/>
          <w:lang w:val="en-US"/>
        </w:rPr>
        <w:t>52</w:t>
      </w:r>
      <w:r w:rsidR="009463C3" w:rsidRPr="009463C3">
        <w:rPr>
          <w:noProof/>
        </w:rPr>
        <w:t>,9</w:t>
      </w:r>
      <w:r w:rsidRPr="009463C3">
        <w:rPr>
          <w:noProof/>
        </w:rPr>
        <w:t xml:space="preserve"> на сто от уточнения годишен план. </w:t>
      </w:r>
    </w:p>
    <w:p w:rsidR="00E7455D" w:rsidRPr="005A7007" w:rsidRDefault="00E7455D" w:rsidP="00E7455D">
      <w:pPr>
        <w:ind w:firstLine="567"/>
        <w:jc w:val="both"/>
        <w:rPr>
          <w:noProof/>
        </w:rPr>
      </w:pPr>
      <w:r w:rsidRPr="005A7007">
        <w:rPr>
          <w:noProof/>
        </w:rPr>
        <w:t xml:space="preserve">Усвоените средства за </w:t>
      </w:r>
      <w:r w:rsidRPr="005A7007">
        <w:t>компенсиране на намалените приходи от прилагането на цени за пътуване, предвидени в нормативни актове за определени категории пътници,</w:t>
      </w:r>
      <w:r w:rsidRPr="005A7007">
        <w:rPr>
          <w:noProof/>
        </w:rPr>
        <w:t xml:space="preserve"> по вътрешноградския транспорт и междуселищния автомобилен транспорт, за първото </w:t>
      </w:r>
      <w:r w:rsidR="005E7BE5" w:rsidRPr="005A7007">
        <w:rPr>
          <w:noProof/>
        </w:rPr>
        <w:t>полугодие</w:t>
      </w:r>
      <w:r w:rsidRPr="005A7007">
        <w:rPr>
          <w:noProof/>
        </w:rPr>
        <w:t xml:space="preserve"> на 201</w:t>
      </w:r>
      <w:r w:rsidR="00094A6C" w:rsidRPr="005A7007">
        <w:rPr>
          <w:noProof/>
        </w:rPr>
        <w:t>8</w:t>
      </w:r>
      <w:r w:rsidRPr="005A7007">
        <w:rPr>
          <w:noProof/>
        </w:rPr>
        <w:t xml:space="preserve"> г., диференцирани по групи правоимащи лица и размер на намалението спрямо редовната цена, са както следва:</w:t>
      </w:r>
    </w:p>
    <w:p w:rsidR="00E7455D" w:rsidRPr="0059381A" w:rsidRDefault="00E7455D" w:rsidP="00E7455D">
      <w:pPr>
        <w:pStyle w:val="BodyTextIndent"/>
        <w:spacing w:after="0"/>
        <w:ind w:left="0" w:firstLine="567"/>
        <w:jc w:val="both"/>
      </w:pPr>
      <w:r w:rsidRPr="0059381A">
        <w:t xml:space="preserve">- </w:t>
      </w:r>
      <w:r w:rsidR="0059381A" w:rsidRPr="0059381A">
        <w:t>24,6</w:t>
      </w:r>
      <w:r w:rsidRPr="0059381A">
        <w:rPr>
          <w:lang w:val="en-US"/>
        </w:rPr>
        <w:t xml:space="preserve"> </w:t>
      </w:r>
      <w:r w:rsidRPr="0059381A">
        <w:t xml:space="preserve">млн. лв. за транспорт на деца и ученици в съответствие с чл. 283, ал. 2 от Закона за предучилищното и училищното образование, което е </w:t>
      </w:r>
      <w:r w:rsidR="0059381A" w:rsidRPr="0059381A">
        <w:t>76,8</w:t>
      </w:r>
      <w:r w:rsidRPr="0059381A">
        <w:t xml:space="preserve"> на сто от уточнения годишен план; </w:t>
      </w:r>
    </w:p>
    <w:p w:rsidR="00E7455D" w:rsidRPr="006A2C78" w:rsidRDefault="00E7455D" w:rsidP="00E7455D">
      <w:pPr>
        <w:pStyle w:val="BodyTextIndent"/>
        <w:tabs>
          <w:tab w:val="left" w:pos="1026"/>
        </w:tabs>
        <w:spacing w:after="0"/>
        <w:ind w:left="0" w:firstLine="567"/>
        <w:jc w:val="both"/>
      </w:pPr>
      <w:r w:rsidRPr="006A2C78">
        <w:t xml:space="preserve">- </w:t>
      </w:r>
      <w:r w:rsidR="006A2C78" w:rsidRPr="006A2C78">
        <w:t>21,1</w:t>
      </w:r>
      <w:r w:rsidRPr="006A2C78">
        <w:t xml:space="preserve"> млн. лв. за безплатни и по намалени цени пътувания. Следва да се има предвид, че по пътя на изпълнението тези разходи се отчитат като текущи трансфери, обезщетения и помощи за домакинствата по бюджетите на общините. Изпълнението спрямо годишния план е </w:t>
      </w:r>
      <w:r w:rsidR="006A2C78" w:rsidRPr="006A2C78">
        <w:t>38,9</w:t>
      </w:r>
      <w:r w:rsidRPr="006A2C78">
        <w:t xml:space="preserve"> на сто, в това число:</w:t>
      </w:r>
    </w:p>
    <w:p w:rsidR="00E7455D" w:rsidRPr="00ED79B4" w:rsidRDefault="00ED79B4" w:rsidP="00E7455D">
      <w:pPr>
        <w:numPr>
          <w:ilvl w:val="0"/>
          <w:numId w:val="20"/>
        </w:numPr>
        <w:tabs>
          <w:tab w:val="left" w:pos="993"/>
        </w:tabs>
        <w:ind w:hanging="275"/>
        <w:jc w:val="both"/>
      </w:pPr>
      <w:r w:rsidRPr="00ED79B4">
        <w:t>16,7</w:t>
      </w:r>
      <w:r w:rsidR="00E7455D" w:rsidRPr="00ED79B4">
        <w:t xml:space="preserve"> млн. лв. за безплатни пътувания на деца до седемгодишна възраст, ветерани от войните, военноинвалиди и </w:t>
      </w:r>
      <w:proofErr w:type="spellStart"/>
      <w:r w:rsidR="00E7455D" w:rsidRPr="00ED79B4">
        <w:t>военнопострадали</w:t>
      </w:r>
      <w:proofErr w:type="spellEnd"/>
      <w:r w:rsidR="00E7455D" w:rsidRPr="00ED79B4">
        <w:t xml:space="preserve">, както и пътувания по намалени цени на деца от 7 до 10 навършени години, учащи се и лица, получаващи пенсия, с вътрешноградския транспорт и междуселищния автомобилен транспорт, което е </w:t>
      </w:r>
      <w:r w:rsidRPr="00ED79B4">
        <w:t>44</w:t>
      </w:r>
      <w:r w:rsidR="00E7455D" w:rsidRPr="00ED79B4">
        <w:t>,</w:t>
      </w:r>
      <w:r w:rsidR="00192CDB" w:rsidRPr="00ED79B4">
        <w:t>2</w:t>
      </w:r>
      <w:r w:rsidR="00E7455D" w:rsidRPr="00ED79B4">
        <w:t xml:space="preserve"> на сто спрямо утвърдения годишен план; </w:t>
      </w:r>
    </w:p>
    <w:p w:rsidR="008360FD" w:rsidRPr="0028636E" w:rsidRDefault="0028636E" w:rsidP="00E7455D">
      <w:pPr>
        <w:numPr>
          <w:ilvl w:val="0"/>
          <w:numId w:val="20"/>
        </w:numPr>
        <w:tabs>
          <w:tab w:val="num" w:pos="360"/>
          <w:tab w:val="left" w:pos="993"/>
        </w:tabs>
        <w:ind w:hanging="275"/>
        <w:jc w:val="both"/>
      </w:pPr>
      <w:r w:rsidRPr="0028636E">
        <w:t>4,</w:t>
      </w:r>
      <w:proofErr w:type="spellStart"/>
      <w:r w:rsidR="00436D44">
        <w:t>4</w:t>
      </w:r>
      <w:proofErr w:type="spellEnd"/>
      <w:r w:rsidR="00E7455D" w:rsidRPr="0028636E">
        <w:t xml:space="preserve"> млн. лв. за превоз на служители, ползващи право на безплатно пътуване при изпълнение на служебните си задължения в съответствие със Закона за Министерството на вътрешните работи, Закона за изпълнение на наказанията и задържането под стража и Закона за Държавна агенция „Национална сигурност“, което е </w:t>
      </w:r>
      <w:r w:rsidRPr="0028636E">
        <w:t>26</w:t>
      </w:r>
      <w:r w:rsidR="00E7455D" w:rsidRPr="0028636E">
        <w:t>,</w:t>
      </w:r>
      <w:r w:rsidR="002C18B7" w:rsidRPr="0028636E">
        <w:t>7</w:t>
      </w:r>
      <w:r w:rsidR="00E7455D" w:rsidRPr="0028636E">
        <w:t xml:space="preserve"> от уточнения годишен план.</w:t>
      </w:r>
    </w:p>
    <w:p w:rsidR="00333B5E" w:rsidRPr="0028636E" w:rsidRDefault="00333B5E" w:rsidP="00333B5E">
      <w:pPr>
        <w:jc w:val="both"/>
        <w:rPr>
          <w:sz w:val="12"/>
          <w:szCs w:val="12"/>
        </w:rPr>
      </w:pPr>
    </w:p>
    <w:p w:rsidR="00A14628" w:rsidRPr="006122BA" w:rsidRDefault="00A14628" w:rsidP="00A14628">
      <w:pPr>
        <w:numPr>
          <w:ilvl w:val="0"/>
          <w:numId w:val="7"/>
        </w:numPr>
        <w:spacing w:after="120"/>
        <w:ind w:left="0" w:firstLine="360"/>
        <w:jc w:val="both"/>
        <w:rPr>
          <w:b/>
        </w:rPr>
      </w:pPr>
      <w:r w:rsidRPr="006122BA">
        <w:rPr>
          <w:b/>
        </w:rPr>
        <w:t xml:space="preserve">Разходи за лихви </w:t>
      </w:r>
    </w:p>
    <w:p w:rsidR="00A14628" w:rsidRPr="006122BA" w:rsidRDefault="00A14628" w:rsidP="00A14628">
      <w:pPr>
        <w:spacing w:after="120"/>
        <w:jc w:val="both"/>
      </w:pPr>
      <w:r w:rsidRPr="006122BA">
        <w:rPr>
          <w:b/>
        </w:rPr>
        <w:t xml:space="preserve">Лихвените плащания </w:t>
      </w:r>
      <w:r w:rsidRPr="006122BA">
        <w:t xml:space="preserve">по държавния бюджет към 30.06.2018 г. са в общ размер на </w:t>
      </w:r>
      <w:r w:rsidRPr="006122BA">
        <w:rPr>
          <w:b/>
        </w:rPr>
        <w:t>406,6 млн. лв</w:t>
      </w:r>
      <w:r w:rsidRPr="006122BA">
        <w:t xml:space="preserve">. или 59,4 % от предвидените в годишните разчети. </w:t>
      </w:r>
    </w:p>
    <w:p w:rsidR="00A14628" w:rsidRPr="00225DFE" w:rsidRDefault="00A14628" w:rsidP="00A14628">
      <w:pPr>
        <w:spacing w:after="120"/>
        <w:jc w:val="both"/>
      </w:pPr>
      <w:r w:rsidRPr="00225DFE">
        <w:t xml:space="preserve">Разходите за </w:t>
      </w:r>
      <w:r w:rsidRPr="00225DFE">
        <w:rPr>
          <w:b/>
        </w:rPr>
        <w:t>лихви по външни заеми</w:t>
      </w:r>
      <w:r w:rsidRPr="00225DFE">
        <w:t xml:space="preserve"> са в размер на </w:t>
      </w:r>
      <w:r w:rsidRPr="00225DFE">
        <w:rPr>
          <w:b/>
        </w:rPr>
        <w:t>283,1 млн. лв.,</w:t>
      </w:r>
      <w:r w:rsidRPr="00225DFE">
        <w:t xml:space="preserve"> в т.ч. 264,9 млн. лв. по централния бюджет. Разходите за лихви по ДИЗ, управлявани от министерства и ведомства са в размер на 18,2 млн. лева. </w:t>
      </w:r>
    </w:p>
    <w:p w:rsidR="00A14628" w:rsidRPr="00225DFE" w:rsidRDefault="00A14628" w:rsidP="00A14628">
      <w:pPr>
        <w:spacing w:after="120"/>
        <w:jc w:val="both"/>
        <w:rPr>
          <w:b/>
        </w:rPr>
      </w:pPr>
      <w:r w:rsidRPr="00225DFE">
        <w:t>През отчетния период не са използвани средства, предвидени за покриване на риска от активиране на държавни гаранции.</w:t>
      </w:r>
      <w:r w:rsidRPr="00225DFE">
        <w:rPr>
          <w:b/>
        </w:rPr>
        <w:t xml:space="preserve"> </w:t>
      </w:r>
    </w:p>
    <w:p w:rsidR="00A14628" w:rsidRPr="007B61CE" w:rsidRDefault="00A14628" w:rsidP="00A14628">
      <w:pPr>
        <w:spacing w:after="120"/>
        <w:jc w:val="both"/>
      </w:pPr>
      <w:r w:rsidRPr="007B61CE">
        <w:rPr>
          <w:b/>
        </w:rPr>
        <w:t>Лихвите по вътрешни заеми</w:t>
      </w:r>
      <w:r w:rsidRPr="007B61CE">
        <w:t xml:space="preserve"> по държавния бюджет </w:t>
      </w:r>
      <w:r w:rsidRPr="007B61CE">
        <w:rPr>
          <w:bCs/>
        </w:rPr>
        <w:t xml:space="preserve">към юни </w:t>
      </w:r>
      <w:r w:rsidRPr="007B61CE">
        <w:t xml:space="preserve">2018 г. са в размер на </w:t>
      </w:r>
      <w:r w:rsidRPr="007B61CE">
        <w:rPr>
          <w:b/>
        </w:rPr>
        <w:t>123,6 млн. лв.</w:t>
      </w:r>
      <w:r w:rsidRPr="007B61CE">
        <w:t xml:space="preserve"> и представляват лихви по емисии на ДЦК на вътрешния пазар. Платените лихви и отстъпки по ДЦК, емитирани на </w:t>
      </w:r>
      <w:proofErr w:type="spellStart"/>
      <w:r w:rsidRPr="007B61CE">
        <w:t>аукционен</w:t>
      </w:r>
      <w:proofErr w:type="spellEnd"/>
      <w:r w:rsidRPr="007B61CE">
        <w:t xml:space="preserve"> принцип са в размер на 123,2 млн. лв., лихвите по ДЦК, емитирани за структурната реформа – 0,2 млн. лева. </w:t>
      </w:r>
    </w:p>
    <w:p w:rsidR="00A14628" w:rsidRPr="00166D44" w:rsidRDefault="00A14628" w:rsidP="00A14628">
      <w:pPr>
        <w:numPr>
          <w:ilvl w:val="0"/>
          <w:numId w:val="6"/>
        </w:numPr>
        <w:tabs>
          <w:tab w:val="clear" w:pos="700"/>
          <w:tab w:val="left" w:pos="426"/>
        </w:tabs>
        <w:spacing w:before="120"/>
        <w:ind w:left="0" w:firstLine="0"/>
        <w:jc w:val="both"/>
        <w:rPr>
          <w:b/>
          <w:bCs/>
        </w:rPr>
      </w:pPr>
      <w:r w:rsidRPr="00166D44">
        <w:rPr>
          <w:b/>
          <w:bCs/>
        </w:rPr>
        <w:t>Нетният размер на трансферите по държавния бюджет</w:t>
      </w:r>
      <w:r w:rsidRPr="00166D44">
        <w:rPr>
          <w:bCs/>
        </w:rPr>
        <w:t xml:space="preserve"> към юни </w:t>
      </w:r>
      <w:r w:rsidRPr="00166D44">
        <w:t xml:space="preserve">2018 г. </w:t>
      </w:r>
      <w:r w:rsidRPr="00166D44">
        <w:rPr>
          <w:bCs/>
        </w:rPr>
        <w:t xml:space="preserve"> е</w:t>
      </w:r>
      <w:r w:rsidRPr="00166D44">
        <w:rPr>
          <w:b/>
          <w:bCs/>
        </w:rPr>
        <w:t xml:space="preserve"> 5 233,2  млн. лв., </w:t>
      </w:r>
      <w:r w:rsidRPr="00166D44">
        <w:rPr>
          <w:bCs/>
        </w:rPr>
        <w:t>в т.ч.:</w:t>
      </w:r>
      <w:r w:rsidRPr="00166D44">
        <w:rPr>
          <w:b/>
          <w:bCs/>
        </w:rPr>
        <w:t xml:space="preserve"> </w:t>
      </w:r>
    </w:p>
    <w:p w:rsidR="00A14628" w:rsidRPr="00166D44" w:rsidRDefault="00A14628" w:rsidP="00A14628">
      <w:pPr>
        <w:numPr>
          <w:ilvl w:val="0"/>
          <w:numId w:val="24"/>
        </w:numPr>
        <w:tabs>
          <w:tab w:val="clear" w:pos="700"/>
          <w:tab w:val="left" w:pos="180"/>
          <w:tab w:val="num" w:pos="540"/>
          <w:tab w:val="num" w:pos="1495"/>
          <w:tab w:val="num" w:pos="9858"/>
        </w:tabs>
        <w:ind w:left="538" w:hanging="357"/>
        <w:jc w:val="both"/>
      </w:pPr>
      <w:r w:rsidRPr="00166D44">
        <w:t xml:space="preserve">бюджетните взаимоотношения с общините включват нето предоставени трансфери в размер на 1 817,2 млн. лв., от които субсидии от централния бюджет в размер на 1 728,4 млн. лв., други целеви трансфери от централния бюджет в размер на 57,8 млн. лв., нетни </w:t>
      </w:r>
      <w:r w:rsidRPr="00166D44">
        <w:lastRenderedPageBreak/>
        <w:t xml:space="preserve">трансфери от други бюджети в размер на </w:t>
      </w:r>
      <w:r>
        <w:t>32,4</w:t>
      </w:r>
      <w:r w:rsidRPr="00166D44">
        <w:t xml:space="preserve"> млн. лв. и възстановени трансфери от предходни години в централния бюджет – 1,4 млн. лева;</w:t>
      </w:r>
    </w:p>
    <w:p w:rsidR="00A14628" w:rsidRPr="00577543" w:rsidRDefault="00A14628" w:rsidP="00A14628">
      <w:pPr>
        <w:numPr>
          <w:ilvl w:val="0"/>
          <w:numId w:val="24"/>
        </w:numPr>
        <w:tabs>
          <w:tab w:val="clear" w:pos="700"/>
          <w:tab w:val="left" w:pos="180"/>
          <w:tab w:val="num" w:pos="540"/>
          <w:tab w:val="num" w:pos="1495"/>
          <w:tab w:val="num" w:pos="9858"/>
        </w:tabs>
        <w:ind w:left="538" w:hanging="357"/>
        <w:jc w:val="both"/>
      </w:pPr>
      <w:r w:rsidRPr="00577543">
        <w:t xml:space="preserve">на </w:t>
      </w:r>
      <w:proofErr w:type="spellStart"/>
      <w:r w:rsidRPr="00577543">
        <w:t>социалноосигурителните</w:t>
      </w:r>
      <w:proofErr w:type="spellEnd"/>
      <w:r w:rsidRPr="00577543">
        <w:t xml:space="preserve"> фондове (нето) – 2 828,2 млн. лв.,</w:t>
      </w:r>
      <w:r w:rsidRPr="00577543">
        <w:rPr>
          <w:b/>
        </w:rPr>
        <w:t xml:space="preserve"> </w:t>
      </w:r>
      <w:r w:rsidRPr="00577543">
        <w:t>което представлява 49,0 % от годишния разчет;</w:t>
      </w:r>
    </w:p>
    <w:p w:rsidR="00A14628" w:rsidRPr="00577543" w:rsidRDefault="00A14628" w:rsidP="00A14628">
      <w:pPr>
        <w:numPr>
          <w:ilvl w:val="0"/>
          <w:numId w:val="24"/>
        </w:numPr>
        <w:tabs>
          <w:tab w:val="clear" w:pos="700"/>
          <w:tab w:val="left" w:pos="180"/>
          <w:tab w:val="num" w:pos="540"/>
          <w:tab w:val="num" w:pos="1495"/>
          <w:tab w:val="num" w:pos="9858"/>
        </w:tabs>
        <w:ind w:left="538" w:hanging="357"/>
        <w:jc w:val="both"/>
      </w:pPr>
      <w:r w:rsidRPr="00577543">
        <w:t>на други автономни бюджети (ДВУ, БАН, ССА, БНТ, БНР и БТА) – 350,2 млн. лв., 54,8 % от годишния разчет.</w:t>
      </w:r>
    </w:p>
    <w:p w:rsidR="00A14628" w:rsidRPr="0082042E" w:rsidRDefault="00A14628" w:rsidP="00A14628">
      <w:pPr>
        <w:numPr>
          <w:ilvl w:val="0"/>
          <w:numId w:val="6"/>
        </w:numPr>
        <w:tabs>
          <w:tab w:val="clear" w:pos="700"/>
          <w:tab w:val="left" w:pos="426"/>
        </w:tabs>
        <w:spacing w:before="120"/>
        <w:ind w:left="0" w:firstLine="0"/>
        <w:jc w:val="both"/>
        <w:rPr>
          <w:bCs/>
        </w:rPr>
      </w:pPr>
      <w:r w:rsidRPr="0082042E">
        <w:t>Частта от</w:t>
      </w:r>
      <w:r w:rsidRPr="0082042E">
        <w:rPr>
          <w:b/>
        </w:rPr>
        <w:t xml:space="preserve"> вноската на Република България в общия бюджет на ЕС, </w:t>
      </w:r>
      <w:r w:rsidRPr="0082042E">
        <w:t>изплатена към 30.06.2018 г. от централния бюджет възлиза на</w:t>
      </w:r>
      <w:r w:rsidRPr="0082042E">
        <w:rPr>
          <w:b/>
        </w:rPr>
        <w:t xml:space="preserve"> 576,3 млн. лв., </w:t>
      </w:r>
      <w:r w:rsidRPr="0082042E">
        <w:t xml:space="preserve">което е в изпълнение на действащото към момента законодателство в областта на собствените ресурси на ЕС - Решение на Съвета 2014/335/ЕС, </w:t>
      </w:r>
      <w:proofErr w:type="spellStart"/>
      <w:r w:rsidRPr="0082042E">
        <w:t>Евратом</w:t>
      </w:r>
      <w:proofErr w:type="spellEnd"/>
      <w:r w:rsidRPr="0082042E">
        <w:t xml:space="preserve"> относно системата на собствените ресурси на Европейския съюз, Регламент (ЕС, </w:t>
      </w:r>
      <w:proofErr w:type="spellStart"/>
      <w:r w:rsidRPr="0082042E">
        <w:t>Евратом</w:t>
      </w:r>
      <w:proofErr w:type="spellEnd"/>
      <w:r w:rsidRPr="0082042E">
        <w:t xml:space="preserve">) № 608/2014 на Съвета от 26 май 2014 г. за определяне на мерки за прилагане на системата на собствените ресурси на ЕС и Регламент (EС, </w:t>
      </w:r>
      <w:proofErr w:type="spellStart"/>
      <w:r w:rsidRPr="0082042E">
        <w:t>Евратом</w:t>
      </w:r>
      <w:proofErr w:type="spellEnd"/>
      <w:r w:rsidRPr="0082042E">
        <w:t xml:space="preserve">) № 609/2014 на Съвета от 26 май 2014 г. относно методите и процедурата за предоставяне на традиционните собствени ресурси, собствените ресурси на база ДДС и на база БНД и относно мерките за удовлетворяване на потребностите от парични средства, изменен с Регламент (EС, </w:t>
      </w:r>
      <w:proofErr w:type="spellStart"/>
      <w:r w:rsidRPr="0082042E">
        <w:t>Евратом</w:t>
      </w:r>
      <w:proofErr w:type="spellEnd"/>
      <w:r w:rsidRPr="0082042E">
        <w:t xml:space="preserve">) 2016/804 на Съвета от 17 май 2016 г. </w:t>
      </w:r>
    </w:p>
    <w:p w:rsidR="00A14628" w:rsidRPr="00805E55" w:rsidRDefault="00A14628" w:rsidP="00A14628">
      <w:pPr>
        <w:numPr>
          <w:ilvl w:val="0"/>
          <w:numId w:val="6"/>
        </w:numPr>
        <w:tabs>
          <w:tab w:val="clear" w:pos="700"/>
          <w:tab w:val="num" w:pos="426"/>
        </w:tabs>
        <w:spacing w:before="240" w:after="240"/>
        <w:ind w:left="0" w:firstLine="0"/>
        <w:jc w:val="both"/>
        <w:rPr>
          <w:sz w:val="16"/>
          <w:szCs w:val="16"/>
        </w:rPr>
      </w:pPr>
      <w:r w:rsidRPr="00805E55">
        <w:rPr>
          <w:b/>
        </w:rPr>
        <w:t xml:space="preserve">Бюджетното салдо по държавния бюджет </w:t>
      </w:r>
      <w:r w:rsidRPr="00805E55">
        <w:t>към 30.06.2018 г.</w:t>
      </w:r>
      <w:r w:rsidRPr="00805E55">
        <w:rPr>
          <w:b/>
        </w:rPr>
        <w:t xml:space="preserve"> е положително </w:t>
      </w:r>
      <w:r w:rsidRPr="00805E55">
        <w:t xml:space="preserve">в размер на </w:t>
      </w:r>
      <w:r w:rsidRPr="00805E55">
        <w:rPr>
          <w:b/>
        </w:rPr>
        <w:t>1 479,9 млн. лева.</w:t>
      </w:r>
      <w:r w:rsidRPr="00805E55">
        <w:t xml:space="preserve"> </w:t>
      </w:r>
    </w:p>
    <w:p w:rsidR="00A14628" w:rsidRPr="00805E55" w:rsidRDefault="00A14628" w:rsidP="00D013D9">
      <w:pPr>
        <w:numPr>
          <w:ilvl w:val="0"/>
          <w:numId w:val="6"/>
        </w:numPr>
        <w:tabs>
          <w:tab w:val="clear" w:pos="700"/>
          <w:tab w:val="num" w:pos="426"/>
        </w:tabs>
        <w:spacing w:before="240" w:after="120"/>
        <w:ind w:left="0" w:firstLine="0"/>
        <w:jc w:val="both"/>
        <w:rPr>
          <w:b/>
        </w:rPr>
      </w:pPr>
      <w:r w:rsidRPr="00805E55">
        <w:rPr>
          <w:b/>
        </w:rPr>
        <w:t>Финансиране на бюджета чрез операции по дълга</w:t>
      </w:r>
    </w:p>
    <w:p w:rsidR="00A14628" w:rsidRPr="00805E55" w:rsidRDefault="00A14628" w:rsidP="00D013D9">
      <w:pPr>
        <w:spacing w:after="120"/>
        <w:jc w:val="both"/>
      </w:pPr>
      <w:r w:rsidRPr="00805E55">
        <w:t>Към 30.06.2018 г.</w:t>
      </w:r>
      <w:r w:rsidRPr="00805E55">
        <w:rPr>
          <w:b/>
        </w:rPr>
        <w:t xml:space="preserve"> </w:t>
      </w:r>
      <w:r w:rsidRPr="00805E55">
        <w:t xml:space="preserve">е отчетено отрицателно нетно външно финансиране по централния бюджет в размер на 81,5 млн. лева. </w:t>
      </w:r>
      <w:r w:rsidRPr="00805E55">
        <w:rPr>
          <w:lang w:val="en-US"/>
        </w:rPr>
        <w:t>(</w:t>
      </w:r>
      <w:proofErr w:type="gramStart"/>
      <w:r w:rsidRPr="00805E55">
        <w:t>в</w:t>
      </w:r>
      <w:proofErr w:type="gramEnd"/>
      <w:r w:rsidRPr="00805E55">
        <w:t xml:space="preserve"> т. ч. 0,9 млн. лв. </w:t>
      </w:r>
      <w:r w:rsidRPr="00FD5DF2">
        <w:t>получени погашения по</w:t>
      </w:r>
      <w:r w:rsidRPr="00805E55">
        <w:rPr>
          <w:lang w:val="en-US"/>
        </w:rPr>
        <w:t xml:space="preserve"> </w:t>
      </w:r>
      <w:r w:rsidRPr="00805E55">
        <w:t>предоставени кредити на други държави</w:t>
      </w:r>
      <w:r w:rsidRPr="00805E55">
        <w:rPr>
          <w:lang w:val="en-US"/>
        </w:rPr>
        <w:t>)</w:t>
      </w:r>
      <w:r w:rsidRPr="00805E55">
        <w:t xml:space="preserve">. </w:t>
      </w:r>
    </w:p>
    <w:p w:rsidR="00A14628" w:rsidRPr="00BE2FA2" w:rsidRDefault="00A14628" w:rsidP="00A14628">
      <w:pPr>
        <w:spacing w:before="120" w:after="60"/>
        <w:jc w:val="both"/>
      </w:pPr>
      <w:r w:rsidRPr="00BE2FA2">
        <w:t>Извършените погашения по заеми от чужбина по централния бюджет възлизат на 82,4 млн. лв., в т.ч.:</w:t>
      </w:r>
    </w:p>
    <w:p w:rsidR="00A14628" w:rsidRPr="00BE2FA2" w:rsidRDefault="00A14628" w:rsidP="00A14628">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BE2FA2">
        <w:t>12,3 млн. лв. към правителството на Германия по силата на двустранно споразумение в рамките на Парижкия клуб;</w:t>
      </w:r>
    </w:p>
    <w:p w:rsidR="00A14628" w:rsidRPr="00BE2FA2" w:rsidRDefault="00A14628" w:rsidP="00A14628">
      <w:pPr>
        <w:numPr>
          <w:ilvl w:val="0"/>
          <w:numId w:val="23"/>
        </w:numPr>
        <w:tabs>
          <w:tab w:val="num" w:pos="900"/>
          <w:tab w:val="left" w:pos="993"/>
          <w:tab w:val="left" w:pos="1080"/>
          <w:tab w:val="left" w:pos="10348"/>
        </w:tabs>
        <w:spacing w:after="60"/>
        <w:ind w:left="0" w:right="42" w:firstLine="720"/>
        <w:jc w:val="both"/>
        <w:rPr>
          <w:rFonts w:ascii="Arial" w:hAnsi="Arial" w:cs="Arial"/>
        </w:rPr>
      </w:pPr>
      <w:r w:rsidRPr="00BE2FA2">
        <w:t>67,3 млн. лв. по заем към Международната банка за възстановяване и развитие;</w:t>
      </w:r>
    </w:p>
    <w:p w:rsidR="00A14628" w:rsidRPr="00BE2FA2" w:rsidRDefault="00A14628" w:rsidP="00A14628">
      <w:pPr>
        <w:numPr>
          <w:ilvl w:val="0"/>
          <w:numId w:val="23"/>
        </w:numPr>
        <w:tabs>
          <w:tab w:val="num" w:pos="900"/>
          <w:tab w:val="left" w:pos="993"/>
          <w:tab w:val="left" w:pos="1080"/>
          <w:tab w:val="left" w:pos="10348"/>
        </w:tabs>
        <w:spacing w:after="60"/>
        <w:ind w:left="0" w:right="42" w:firstLine="720"/>
        <w:jc w:val="both"/>
      </w:pPr>
      <w:r w:rsidRPr="00BE2FA2">
        <w:t>2,8 млн. лв. по държавен заем към Европейска инвестиционна банка.</w:t>
      </w:r>
    </w:p>
    <w:p w:rsidR="00A14628" w:rsidRPr="00BE2FA2" w:rsidRDefault="00A14628" w:rsidP="00A14628">
      <w:pPr>
        <w:spacing w:after="120"/>
        <w:jc w:val="both"/>
      </w:pPr>
      <w:r w:rsidRPr="00BE2FA2">
        <w:t>През отчетния период по централния бюджет няма усвоени средства по заеми от чужбина.</w:t>
      </w:r>
    </w:p>
    <w:p w:rsidR="00A14628" w:rsidRPr="00FE1818" w:rsidRDefault="00A14628" w:rsidP="00A14628">
      <w:pPr>
        <w:spacing w:after="120"/>
        <w:jc w:val="both"/>
      </w:pPr>
      <w:r w:rsidRPr="00FE1818">
        <w:t xml:space="preserve">По </w:t>
      </w:r>
      <w:r w:rsidRPr="00FE1818">
        <w:rPr>
          <w:b/>
        </w:rPr>
        <w:t>държавните инвестиционни заеми</w:t>
      </w:r>
      <w:r w:rsidRPr="00FE1818">
        <w:t xml:space="preserve">, управлявани от министерства и ведомства през отчетния период са </w:t>
      </w:r>
      <w:r w:rsidRPr="00FE1818">
        <w:rPr>
          <w:b/>
          <w:i/>
        </w:rPr>
        <w:t>усвоени</w:t>
      </w:r>
      <w:r w:rsidRPr="00FE1818">
        <w:t xml:space="preserve"> 9,8 млн. лв. по „Проект за развитие на общинската инфраструктура“ към Световна банка.</w:t>
      </w:r>
    </w:p>
    <w:p w:rsidR="00A14628" w:rsidRPr="0084773B" w:rsidRDefault="00A14628" w:rsidP="00A14628">
      <w:pPr>
        <w:spacing w:after="120"/>
        <w:jc w:val="both"/>
      </w:pPr>
      <w:r w:rsidRPr="0084773B">
        <w:rPr>
          <w:b/>
          <w:i/>
        </w:rPr>
        <w:t>Изплатените погашения</w:t>
      </w:r>
      <w:r w:rsidRPr="0084773B">
        <w:t xml:space="preserve"> по ДИЗ, управлявани от министерства и ведомства, са в размер на 75,9 млн. лв., в т.ч. само за месец юни са в размер на 39,8 млн. лева.  По заемите с краен бенефициент търговско дружество са извършени погашения в размер на 9,6 млн. лева. </w:t>
      </w:r>
    </w:p>
    <w:p w:rsidR="00A14628" w:rsidRPr="00AE6796" w:rsidRDefault="00A14628" w:rsidP="00A14628">
      <w:pPr>
        <w:spacing w:after="120"/>
        <w:jc w:val="both"/>
      </w:pPr>
      <w:r w:rsidRPr="00AE6796">
        <w:t>Не са използвани средства, предвидени за покриване на риска от активиране на държавни гаранции.</w:t>
      </w:r>
    </w:p>
    <w:p w:rsidR="00A14628" w:rsidRPr="00F86959" w:rsidRDefault="00A14628" w:rsidP="00A14628">
      <w:pPr>
        <w:spacing w:after="60"/>
        <w:jc w:val="both"/>
        <w:rPr>
          <w:rFonts w:ascii="Arial" w:hAnsi="Arial" w:cs="Arial"/>
        </w:rPr>
      </w:pPr>
      <w:r w:rsidRPr="00F86959">
        <w:t xml:space="preserve">Операции с </w:t>
      </w:r>
      <w:r w:rsidRPr="00F86959">
        <w:rPr>
          <w:b/>
        </w:rPr>
        <w:t xml:space="preserve">държавни ценни книжа </w:t>
      </w:r>
      <w:r w:rsidRPr="00F86959">
        <w:t xml:space="preserve">по централния бюджет </w:t>
      </w:r>
      <w:r w:rsidRPr="00F86959">
        <w:rPr>
          <w:b/>
        </w:rPr>
        <w:t>(позиция във вътрешното финансиране):</w:t>
      </w:r>
      <w:r w:rsidRPr="00F86959">
        <w:t xml:space="preserve"> Към 30 юни 2018 г. е реализирано отрицателно нетно вътрешно финансиране на бюджета с държавни ценни книжа (ДЦК) в размер на 1 051,6 млн. лева. </w:t>
      </w:r>
    </w:p>
    <w:p w:rsidR="00A14628" w:rsidRPr="00F86959" w:rsidRDefault="00A14628" w:rsidP="00A14628">
      <w:pPr>
        <w:spacing w:before="120" w:after="120"/>
        <w:jc w:val="both"/>
      </w:pPr>
      <w:r w:rsidRPr="00F86959">
        <w:t>Отчетените погашения за периода са в размер на 1 051,6 млн. лв., в т.ч. 1 019,9 млн. лв. по ДЦК, емитирани за финансиране на дефицита и 31,7 млн. лв. по ДЦК, емитирани за структурната реформа.</w:t>
      </w:r>
    </w:p>
    <w:p w:rsidR="0004753C" w:rsidRPr="00D32EAB" w:rsidRDefault="0004753C" w:rsidP="00337CA7">
      <w:pPr>
        <w:pStyle w:val="Heading1"/>
        <w:numPr>
          <w:ilvl w:val="1"/>
          <w:numId w:val="10"/>
        </w:numPr>
        <w:spacing w:after="120"/>
        <w:ind w:right="-108"/>
        <w:jc w:val="both"/>
        <w:rPr>
          <w:sz w:val="24"/>
        </w:rPr>
      </w:pPr>
      <w:r w:rsidRPr="00D32EAB">
        <w:rPr>
          <w:sz w:val="24"/>
        </w:rPr>
        <w:t>Бюджет на съдебната власт</w:t>
      </w:r>
    </w:p>
    <w:p w:rsidR="00967BB9" w:rsidRPr="00EF1392" w:rsidRDefault="00967BB9" w:rsidP="00967BB9">
      <w:pPr>
        <w:ind w:firstLine="567"/>
        <w:jc w:val="both"/>
      </w:pPr>
      <w:r w:rsidRPr="00D32EAB">
        <w:t>Със ЗДБРБ за 201</w:t>
      </w:r>
      <w:r w:rsidR="0042331A" w:rsidRPr="00D32EAB">
        <w:t>8</w:t>
      </w:r>
      <w:r w:rsidRPr="00D32EAB">
        <w:t xml:space="preserve"> г. са предвидени общо </w:t>
      </w:r>
      <w:r w:rsidRPr="00D32EAB">
        <w:rPr>
          <w:b/>
        </w:rPr>
        <w:t>приходи</w:t>
      </w:r>
      <w:r w:rsidRPr="00D32EAB">
        <w:t xml:space="preserve"> по бюджета на съдебната власт в </w:t>
      </w:r>
      <w:r w:rsidRPr="00EF1392">
        <w:t>размер на 1</w:t>
      </w:r>
      <w:r w:rsidR="0042331A" w:rsidRPr="00EF1392">
        <w:t>16</w:t>
      </w:r>
      <w:r w:rsidR="004E46DA" w:rsidRPr="00EF1392">
        <w:t>,0</w:t>
      </w:r>
      <w:r w:rsidRPr="00EF1392">
        <w:t xml:space="preserve"> млн.</w:t>
      </w:r>
      <w:r w:rsidRPr="00EF1392">
        <w:rPr>
          <w:lang w:val="en-US"/>
        </w:rPr>
        <w:t xml:space="preserve"> </w:t>
      </w:r>
      <w:r w:rsidRPr="00EF1392">
        <w:t>лв., от тях 10</w:t>
      </w:r>
      <w:r w:rsidR="0042331A" w:rsidRPr="00EF1392">
        <w:t>2</w:t>
      </w:r>
      <w:r w:rsidR="004E46DA" w:rsidRPr="00EF1392">
        <w:t>,0</w:t>
      </w:r>
      <w:r w:rsidRPr="00EF1392">
        <w:t xml:space="preserve"> млн.</w:t>
      </w:r>
      <w:r w:rsidRPr="00EF1392">
        <w:rPr>
          <w:lang w:val="en-US"/>
        </w:rPr>
        <w:t xml:space="preserve"> </w:t>
      </w:r>
      <w:r w:rsidRPr="00EF1392">
        <w:t xml:space="preserve">лв. са приходи от съдебни такси. За първото </w:t>
      </w:r>
      <w:r w:rsidR="00D32EAB" w:rsidRPr="00EF1392">
        <w:lastRenderedPageBreak/>
        <w:t>полугодие</w:t>
      </w:r>
      <w:r w:rsidRPr="00EF1392">
        <w:t xml:space="preserve"> на 201</w:t>
      </w:r>
      <w:r w:rsidR="005B54E9" w:rsidRPr="00EF1392">
        <w:t>8</w:t>
      </w:r>
      <w:r w:rsidRPr="00EF1392">
        <w:t xml:space="preserve"> г. са отчетени приходи в размер на </w:t>
      </w:r>
      <w:r w:rsidR="00EF1392" w:rsidRPr="00EF1392">
        <w:t>62,7</w:t>
      </w:r>
      <w:r w:rsidRPr="00EF1392">
        <w:t xml:space="preserve"> млн. лв. (</w:t>
      </w:r>
      <w:r w:rsidR="00EF1392" w:rsidRPr="00EF1392">
        <w:t>54,0</w:t>
      </w:r>
      <w:r w:rsidRPr="00EF1392">
        <w:t xml:space="preserve"> % о</w:t>
      </w:r>
      <w:r w:rsidR="00864BAC" w:rsidRPr="00EF1392">
        <w:t>т</w:t>
      </w:r>
      <w:r w:rsidRPr="00EF1392">
        <w:t xml:space="preserve"> закона), от които </w:t>
      </w:r>
      <w:r w:rsidR="00EF1392" w:rsidRPr="00EF1392">
        <w:t>51,4</w:t>
      </w:r>
      <w:r w:rsidRPr="00EF1392">
        <w:t xml:space="preserve"> млн. лв. - приходи от съдебни такси. За сравнение, към </w:t>
      </w:r>
      <w:r w:rsidR="00EF1392" w:rsidRPr="00EF1392">
        <w:t>30</w:t>
      </w:r>
      <w:r w:rsidRPr="00EF1392">
        <w:t>.</w:t>
      </w:r>
      <w:r w:rsidR="00EF1392" w:rsidRPr="00EF1392">
        <w:t>06</w:t>
      </w:r>
      <w:r w:rsidRPr="00EF1392">
        <w:t>.201</w:t>
      </w:r>
      <w:r w:rsidR="00B573FE" w:rsidRPr="00EF1392">
        <w:t>7</w:t>
      </w:r>
      <w:r w:rsidRPr="00EF1392">
        <w:t xml:space="preserve"> г. са отчетени общо неданъчни приходи в размер на </w:t>
      </w:r>
      <w:r w:rsidR="00EF1392" w:rsidRPr="00EF1392">
        <w:t>56</w:t>
      </w:r>
      <w:r w:rsidR="00B573FE" w:rsidRPr="00EF1392">
        <w:t>,</w:t>
      </w:r>
      <w:r w:rsidR="00EF1392" w:rsidRPr="00EF1392">
        <w:t>9</w:t>
      </w:r>
      <w:r w:rsidRPr="00EF1392">
        <w:t xml:space="preserve"> млн. лв. (</w:t>
      </w:r>
      <w:r w:rsidR="00EF1392" w:rsidRPr="00EF1392">
        <w:t>45,5</w:t>
      </w:r>
      <w:r w:rsidRPr="00EF1392">
        <w:t xml:space="preserve"> % о</w:t>
      </w:r>
      <w:r w:rsidR="00864BAC" w:rsidRPr="00EF1392">
        <w:t>т</w:t>
      </w:r>
      <w:r w:rsidRPr="00EF1392">
        <w:t xml:space="preserve"> закона), от които </w:t>
      </w:r>
      <w:r w:rsidR="00EF1392" w:rsidRPr="00EF1392">
        <w:t>49,8</w:t>
      </w:r>
      <w:r w:rsidR="009C7B7E" w:rsidRPr="00EF1392">
        <w:t xml:space="preserve"> </w:t>
      </w:r>
      <w:r w:rsidRPr="00EF1392">
        <w:t>млн. лв. - приходи от съдебни такси.</w:t>
      </w:r>
    </w:p>
    <w:p w:rsidR="0060764B" w:rsidRPr="000119C6" w:rsidRDefault="00967BB9" w:rsidP="00967BB9">
      <w:pPr>
        <w:ind w:firstLine="567"/>
        <w:jc w:val="both"/>
        <w:rPr>
          <w:color w:val="0070C0"/>
          <w:lang w:val="en-US"/>
        </w:rPr>
      </w:pPr>
      <w:r w:rsidRPr="001342F2">
        <w:rPr>
          <w:b/>
        </w:rPr>
        <w:t xml:space="preserve">Разходите </w:t>
      </w:r>
      <w:r w:rsidRPr="001342F2">
        <w:t>по бюджета на съдебната власт</w:t>
      </w:r>
      <w:r w:rsidRPr="001342F2">
        <w:rPr>
          <w:b/>
        </w:rPr>
        <w:t xml:space="preserve"> </w:t>
      </w:r>
      <w:r w:rsidRPr="001342F2">
        <w:t xml:space="preserve">за първото </w:t>
      </w:r>
      <w:r w:rsidR="001342F2" w:rsidRPr="001342F2">
        <w:t xml:space="preserve">полугодие </w:t>
      </w:r>
      <w:r w:rsidRPr="001342F2">
        <w:t>на 201</w:t>
      </w:r>
      <w:r w:rsidR="0075428E" w:rsidRPr="001342F2">
        <w:t>8</w:t>
      </w:r>
      <w:r w:rsidRPr="001342F2">
        <w:t xml:space="preserve"> г.</w:t>
      </w:r>
      <w:r w:rsidRPr="001342F2">
        <w:rPr>
          <w:b/>
        </w:rPr>
        <w:t xml:space="preserve"> </w:t>
      </w:r>
      <w:r w:rsidRPr="001342F2">
        <w:t xml:space="preserve">са в размер </w:t>
      </w:r>
      <w:r w:rsidRPr="00E536C6">
        <w:t xml:space="preserve">на </w:t>
      </w:r>
      <w:r w:rsidR="001342F2" w:rsidRPr="00E536C6">
        <w:t>300,0</w:t>
      </w:r>
      <w:r w:rsidRPr="00E536C6">
        <w:t xml:space="preserve"> млн. лв. или </w:t>
      </w:r>
      <w:r w:rsidR="001342F2" w:rsidRPr="00E536C6">
        <w:t>50,7</w:t>
      </w:r>
      <w:r w:rsidRPr="00E536C6">
        <w:t> % от планираните за годината (</w:t>
      </w:r>
      <w:r w:rsidR="0075428E" w:rsidRPr="00E536C6">
        <w:t>591,1</w:t>
      </w:r>
      <w:r w:rsidRPr="00E536C6">
        <w:t xml:space="preserve"> млн. лв.). За сравнение, през същия период на 201</w:t>
      </w:r>
      <w:r w:rsidR="0075428E" w:rsidRPr="00E536C6">
        <w:t>7</w:t>
      </w:r>
      <w:r w:rsidRPr="00E536C6">
        <w:t xml:space="preserve"> г. са отчетени разходи в размер </w:t>
      </w:r>
      <w:r w:rsidR="00E536C6" w:rsidRPr="00E536C6">
        <w:t>279,5</w:t>
      </w:r>
      <w:r w:rsidRPr="00E536C6">
        <w:t xml:space="preserve"> млн. лв., които представляват </w:t>
      </w:r>
      <w:r w:rsidR="00E536C6" w:rsidRPr="00E536C6">
        <w:t>49,5</w:t>
      </w:r>
      <w:r w:rsidRPr="00E536C6">
        <w:t xml:space="preserve"> % от определените с годишния закон </w:t>
      </w:r>
      <w:r w:rsidR="0075428E" w:rsidRPr="00E536C6">
        <w:t>565</w:t>
      </w:r>
      <w:r w:rsidRPr="00E536C6">
        <w:t>,0 млн. лева.</w:t>
      </w:r>
    </w:p>
    <w:p w:rsidR="00F521AA" w:rsidRPr="00C660F5" w:rsidRDefault="00F521AA" w:rsidP="00F521AA">
      <w:pPr>
        <w:pStyle w:val="Heading1"/>
        <w:numPr>
          <w:ilvl w:val="0"/>
          <w:numId w:val="10"/>
        </w:numPr>
        <w:spacing w:before="240" w:after="120"/>
        <w:ind w:left="748" w:right="-108" w:hanging="391"/>
        <w:jc w:val="both"/>
        <w:rPr>
          <w:sz w:val="24"/>
        </w:rPr>
      </w:pPr>
      <w:r w:rsidRPr="00C660F5">
        <w:rPr>
          <w:sz w:val="24"/>
        </w:rPr>
        <w:t xml:space="preserve">Сметки за средства от ЕС на Разплащателната агенция към ДФ „Земеделие“ и на Националния фонд към Министерството на финансите </w:t>
      </w:r>
    </w:p>
    <w:p w:rsidR="00F521AA" w:rsidRPr="00C660F5" w:rsidRDefault="00F521AA" w:rsidP="00F521AA">
      <w:pPr>
        <w:pStyle w:val="Heading1"/>
        <w:numPr>
          <w:ilvl w:val="1"/>
          <w:numId w:val="10"/>
        </w:numPr>
        <w:spacing w:after="120"/>
        <w:ind w:left="788" w:right="-108" w:hanging="431"/>
        <w:jc w:val="both"/>
        <w:rPr>
          <w:sz w:val="24"/>
          <w:lang w:val="en-US"/>
        </w:rPr>
      </w:pPr>
      <w:r w:rsidRPr="00C660F5">
        <w:rPr>
          <w:sz w:val="24"/>
        </w:rPr>
        <w:t xml:space="preserve"> Сметка за Европейски средства на Разплащателна агенция към Държавен фонд „Земеделие” </w:t>
      </w:r>
    </w:p>
    <w:p w:rsidR="00053D51" w:rsidRPr="00C660F5" w:rsidRDefault="00053D51" w:rsidP="00053D51">
      <w:pPr>
        <w:numPr>
          <w:ilvl w:val="0"/>
          <w:numId w:val="28"/>
        </w:numPr>
        <w:tabs>
          <w:tab w:val="num" w:pos="540"/>
        </w:tabs>
        <w:spacing w:before="120" w:after="120" w:line="276" w:lineRule="auto"/>
        <w:contextualSpacing/>
        <w:jc w:val="both"/>
        <w:rPr>
          <w:b/>
          <w:lang w:eastAsia="bg-BG"/>
        </w:rPr>
      </w:pPr>
      <w:r w:rsidRPr="00C660F5">
        <w:rPr>
          <w:b/>
          <w:lang w:eastAsia="bg-BG"/>
        </w:rPr>
        <w:t>Приходи</w:t>
      </w:r>
    </w:p>
    <w:p w:rsidR="00053D51" w:rsidRPr="00FA1F76" w:rsidRDefault="00053D51" w:rsidP="00053D51">
      <w:pPr>
        <w:ind w:firstLine="708"/>
        <w:jc w:val="both"/>
      </w:pPr>
      <w:r w:rsidRPr="00FA1F76">
        <w:t>За 2018 г. планираните приходи по утвърдените годишни разчети на сметката за средства от Европейския съюз на Разплащателната агенция към ДФ „Земеделие” са в размер на 582,6 млн. лева. Към 3</w:t>
      </w:r>
      <w:r w:rsidR="00FA1F76" w:rsidRPr="00FA1F76">
        <w:t>0</w:t>
      </w:r>
      <w:r w:rsidRPr="00FA1F76">
        <w:t>.0</w:t>
      </w:r>
      <w:r w:rsidR="00FA1F76" w:rsidRPr="00FA1F76">
        <w:t>6</w:t>
      </w:r>
      <w:r w:rsidRPr="00FA1F76">
        <w:t xml:space="preserve">.2018 г. по отчетни данни, постъпленията са в размер на </w:t>
      </w:r>
      <w:r w:rsidR="00FA1F76" w:rsidRPr="00FA1F76">
        <w:t>5</w:t>
      </w:r>
      <w:r w:rsidRPr="00FA1F76">
        <w:t>6,</w:t>
      </w:r>
      <w:r w:rsidR="00FA1F76" w:rsidRPr="00FA1F76">
        <w:t>7</w:t>
      </w:r>
      <w:r w:rsidRPr="00FA1F76">
        <w:t xml:space="preserve"> млн. лв., което представлява </w:t>
      </w:r>
      <w:r w:rsidR="00FA1F76" w:rsidRPr="00FA1F76">
        <w:t>9,7</w:t>
      </w:r>
      <w:r w:rsidRPr="00FA1F76">
        <w:t xml:space="preserve"> % от годишния план.</w:t>
      </w:r>
    </w:p>
    <w:p w:rsidR="00053D51" w:rsidRPr="00FA1F76" w:rsidRDefault="00053D51" w:rsidP="00053D51">
      <w:pPr>
        <w:tabs>
          <w:tab w:val="left" w:pos="709"/>
        </w:tabs>
        <w:jc w:val="both"/>
      </w:pPr>
      <w:r w:rsidRPr="00FA1F76">
        <w:tab/>
        <w:t xml:space="preserve">Най-голям е делът на помощите и даренията от чужбина, които възлизат на </w:t>
      </w:r>
      <w:r w:rsidR="00FA1F76" w:rsidRPr="00FA1F76">
        <w:t>5</w:t>
      </w:r>
      <w:r w:rsidRPr="00FA1F76">
        <w:t>6,</w:t>
      </w:r>
      <w:r w:rsidR="00731DB2">
        <w:rPr>
          <w:lang w:val="en-US"/>
        </w:rPr>
        <w:t>5</w:t>
      </w:r>
      <w:r w:rsidRPr="00FA1F76">
        <w:t xml:space="preserve"> млн. лв. или </w:t>
      </w:r>
      <w:r w:rsidR="00FA1F76" w:rsidRPr="00FA1F76">
        <w:t>9,7</w:t>
      </w:r>
      <w:r w:rsidRPr="00FA1F76">
        <w:t xml:space="preserve"> % от годишния уточнен план, разпределени както следва:</w:t>
      </w:r>
    </w:p>
    <w:p w:rsidR="00053D51" w:rsidRPr="00FA1F76" w:rsidRDefault="00053D51" w:rsidP="00053D51">
      <w:pPr>
        <w:numPr>
          <w:ilvl w:val="0"/>
          <w:numId w:val="25"/>
        </w:numPr>
        <w:tabs>
          <w:tab w:val="left" w:pos="993"/>
        </w:tabs>
        <w:spacing w:before="120" w:after="120"/>
        <w:ind w:left="1321" w:hanging="612"/>
        <w:jc w:val="both"/>
        <w:rPr>
          <w:b/>
          <w:i/>
        </w:rPr>
      </w:pPr>
      <w:r w:rsidRPr="00FA1F76">
        <w:rPr>
          <w:b/>
          <w:i/>
        </w:rPr>
        <w:t>Текущи помощи и дарения от Европейския съюз</w:t>
      </w:r>
    </w:p>
    <w:p w:rsidR="00FA1F76" w:rsidRPr="00BB00AB" w:rsidRDefault="00FA1F76" w:rsidP="00FA1F76">
      <w:pPr>
        <w:ind w:firstLine="708"/>
        <w:jc w:val="both"/>
        <w:rPr>
          <w:lang w:val="en-US"/>
        </w:rPr>
      </w:pPr>
      <w:r w:rsidRPr="00BB00AB">
        <w:t>Общият размер на получените приходи, отчетени в „Текущи помощи и дарения от Европейския съюз“ към 30.06.2018 г. е 14,6 млн. лв. при планирани за годината средства в размер на 74,5 млн. лева.</w:t>
      </w:r>
    </w:p>
    <w:p w:rsidR="00FA1F76" w:rsidRPr="00BB00AB" w:rsidRDefault="00FA1F76" w:rsidP="00FA1F76">
      <w:pPr>
        <w:ind w:firstLine="708"/>
        <w:jc w:val="both"/>
      </w:pPr>
      <w:r w:rsidRPr="00BB00AB">
        <w:t>Получените текущи приходи от възстановяване на средства от Европейски земеделски фонд за развитие на селските райони (ЕЗФРСР) по линия на ПРСР, без директни плащания, към 30.06.2018 г. са 10,1 млн. лв., което е 15,8 % от планираните за годината 64,0 млн. лева.</w:t>
      </w:r>
    </w:p>
    <w:p w:rsidR="00FA1F76" w:rsidRPr="00BB00AB" w:rsidRDefault="00FA1F76" w:rsidP="00FA1F76">
      <w:pPr>
        <w:jc w:val="both"/>
      </w:pPr>
      <w:r w:rsidRPr="00BB00AB">
        <w:tab/>
        <w:t>Получените текущи приходи от възстановяване на средства по линия на схемите „Училищен плод“ и „Училищно мляко“ от Европейски фонд за гарантиране на земеделието (EФГЗ) към 30.06.2018 г. са 4,5 млн. лв., 55,</w:t>
      </w:r>
      <w:r w:rsidR="00D95DD1">
        <w:t>6</w:t>
      </w:r>
      <w:r w:rsidRPr="00BB00AB">
        <w:t xml:space="preserve"> % от планираните за годината 8,1 млн. лева.</w:t>
      </w:r>
    </w:p>
    <w:p w:rsidR="00FA1F76" w:rsidRPr="00BB00AB" w:rsidRDefault="00FA1F76" w:rsidP="00FA1F76">
      <w:pPr>
        <w:jc w:val="both"/>
      </w:pPr>
      <w:r w:rsidRPr="00BB00AB">
        <w:tab/>
        <w:t>Към 30.06.2018 г. няма получени текущи приходи от възстановени средства от Европейския фонд за морско дело и рибарство (ЕФМДР)  при планирани за годината 2,4 млн.</w:t>
      </w:r>
      <w:r>
        <w:t> </w:t>
      </w:r>
      <w:r w:rsidRPr="00BB00AB">
        <w:t>лева.</w:t>
      </w:r>
    </w:p>
    <w:p w:rsidR="00053D51" w:rsidRPr="00FA1F76" w:rsidRDefault="00053D51" w:rsidP="00053D51">
      <w:pPr>
        <w:numPr>
          <w:ilvl w:val="0"/>
          <w:numId w:val="25"/>
        </w:numPr>
        <w:tabs>
          <w:tab w:val="left" w:pos="993"/>
        </w:tabs>
        <w:spacing w:before="120" w:after="120"/>
        <w:ind w:left="1321" w:hanging="612"/>
        <w:jc w:val="both"/>
        <w:rPr>
          <w:b/>
          <w:i/>
          <w:lang w:eastAsia="bg-BG"/>
        </w:rPr>
      </w:pPr>
      <w:r w:rsidRPr="00FA1F76">
        <w:rPr>
          <w:b/>
          <w:i/>
          <w:lang w:eastAsia="bg-BG"/>
        </w:rPr>
        <w:t>Капиталови помощи и дарения от Европейския съюз</w:t>
      </w:r>
    </w:p>
    <w:p w:rsidR="00FA1F76" w:rsidRPr="00BB00AB" w:rsidRDefault="00053D51" w:rsidP="00FA1F76">
      <w:pPr>
        <w:jc w:val="both"/>
      </w:pPr>
      <w:r w:rsidRPr="000119C6">
        <w:rPr>
          <w:color w:val="0070C0"/>
          <w:lang w:eastAsia="bg-BG"/>
        </w:rPr>
        <w:tab/>
      </w:r>
      <w:r w:rsidR="00FA1F76" w:rsidRPr="00BB00AB">
        <w:t>Общият размер на получените приходи, отчетени в „Капиталови помощи и дарения от Европейския съюз“ към 30.06.2018 г. е 42</w:t>
      </w:r>
      <w:r w:rsidR="00FA1F76">
        <w:t>,0</w:t>
      </w:r>
      <w:r w:rsidR="00FA1F76" w:rsidRPr="00BB00AB">
        <w:t xml:space="preserve"> млн. лв. при планирани за годината 508,1 млн. лева.</w:t>
      </w:r>
    </w:p>
    <w:p w:rsidR="00FA1F76" w:rsidRPr="00BB00AB" w:rsidRDefault="00FA1F76" w:rsidP="00FA1F76">
      <w:pPr>
        <w:jc w:val="both"/>
      </w:pPr>
      <w:r w:rsidRPr="00BB00AB">
        <w:tab/>
        <w:t>Получените капиталови приходи от ЕЗФРСР по линия на ПРСР без директни плащания до 30.06.2018 г. са 41,8 млн. лева. Общото изпълнение е 8,6 % от годишния план, който е в размер на 484,0 млн. лева.</w:t>
      </w:r>
    </w:p>
    <w:p w:rsidR="00FA1F76" w:rsidRDefault="00FA1F76" w:rsidP="00FA1F76">
      <w:pPr>
        <w:jc w:val="both"/>
      </w:pPr>
      <w:r w:rsidRPr="00BB00AB">
        <w:tab/>
        <w:t>Получените капиталови приходи в размер на 0,2 мл</w:t>
      </w:r>
      <w:r>
        <w:t>н</w:t>
      </w:r>
      <w:r w:rsidRPr="00BB00AB">
        <w:t>.</w:t>
      </w:r>
      <w:r>
        <w:t xml:space="preserve"> лв.</w:t>
      </w:r>
      <w:r w:rsidRPr="00BB00AB">
        <w:t xml:space="preserve"> в областта на сектор Рибарство при планирани за годината 24,1 млн. лева.</w:t>
      </w:r>
    </w:p>
    <w:p w:rsidR="00870638" w:rsidRPr="00D013D9" w:rsidRDefault="00870638" w:rsidP="00FA1F76">
      <w:pPr>
        <w:jc w:val="both"/>
        <w:rPr>
          <w:color w:val="0070C0"/>
          <w:sz w:val="10"/>
        </w:rPr>
      </w:pPr>
    </w:p>
    <w:p w:rsidR="00053D51" w:rsidRPr="00870638" w:rsidRDefault="00053D51" w:rsidP="00053D51">
      <w:pPr>
        <w:numPr>
          <w:ilvl w:val="0"/>
          <w:numId w:val="28"/>
        </w:numPr>
        <w:tabs>
          <w:tab w:val="num" w:pos="540"/>
        </w:tabs>
        <w:spacing w:before="240" w:after="120" w:line="276" w:lineRule="auto"/>
        <w:ind w:left="777" w:hanging="357"/>
        <w:contextualSpacing/>
        <w:jc w:val="both"/>
        <w:rPr>
          <w:b/>
          <w:lang w:eastAsia="bg-BG"/>
        </w:rPr>
      </w:pPr>
      <w:r w:rsidRPr="00870638">
        <w:rPr>
          <w:b/>
          <w:lang w:eastAsia="bg-BG"/>
        </w:rPr>
        <w:t xml:space="preserve">Разходи </w:t>
      </w:r>
    </w:p>
    <w:p w:rsidR="00870638" w:rsidRPr="00BB00AB" w:rsidRDefault="00053D51" w:rsidP="00870638">
      <w:pPr>
        <w:jc w:val="both"/>
      </w:pPr>
      <w:r w:rsidRPr="000119C6">
        <w:rPr>
          <w:color w:val="0070C0"/>
        </w:rPr>
        <w:tab/>
      </w:r>
      <w:r w:rsidR="00870638" w:rsidRPr="00BB00AB">
        <w:t xml:space="preserve">Общият размер на планираните за 2018 г. разходи по утвърдените годишни разчети на сметката за средства от Европейския съюз на Разплащателната агенция към ДФ „Земеделие” са 1 040,8 млн. лева. </w:t>
      </w:r>
    </w:p>
    <w:p w:rsidR="00870638" w:rsidRPr="00BB00AB" w:rsidRDefault="00870638" w:rsidP="00870638">
      <w:pPr>
        <w:ind w:firstLine="708"/>
        <w:jc w:val="both"/>
      </w:pPr>
      <w:r w:rsidRPr="00BB00AB">
        <w:t xml:space="preserve">Уточненият план на субсидиите за текуща дейност и капиталовите трансфери за 2018 г. е 746,9 млн. лева. Изпълнението им към 30.06.2018 г. възлиза на </w:t>
      </w:r>
      <w:r w:rsidRPr="00BB00AB">
        <w:rPr>
          <w:lang w:val="en-US"/>
        </w:rPr>
        <w:t>23</w:t>
      </w:r>
      <w:r>
        <w:t>,</w:t>
      </w:r>
      <w:r w:rsidRPr="00BB00AB">
        <w:rPr>
          <w:lang w:val="en-US"/>
        </w:rPr>
        <w:t>5</w:t>
      </w:r>
      <w:r w:rsidRPr="00BB00AB">
        <w:t xml:space="preserve"> % от годишния план и е в размер на 175,5 млн. лева.</w:t>
      </w:r>
    </w:p>
    <w:p w:rsidR="00870638" w:rsidRPr="00BB00AB" w:rsidRDefault="00870638" w:rsidP="00870638">
      <w:pPr>
        <w:jc w:val="both"/>
      </w:pPr>
      <w:r w:rsidRPr="00BB00AB">
        <w:tab/>
        <w:t>Разпределението на разходите е както следва:</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lastRenderedPageBreak/>
        <w:t>Субсидии и други текущи трансфери за нефинансови предприятия</w:t>
      </w:r>
    </w:p>
    <w:p w:rsidR="00870638" w:rsidRPr="00BB00AB" w:rsidRDefault="00870638" w:rsidP="00870638">
      <w:pPr>
        <w:tabs>
          <w:tab w:val="left" w:pos="993"/>
        </w:tabs>
        <w:ind w:firstLine="709"/>
        <w:jc w:val="both"/>
      </w:pPr>
      <w:r w:rsidRPr="00BB00AB">
        <w:t>За 2018 г. са планирани средства в размер на 242,7 млн. лв. за субсидии и други текущи трансфери за нефинансови предприятия. Отчетените към 30.06.2018 г. средства представляват 38,</w:t>
      </w:r>
      <w:r w:rsidR="00854CCB">
        <w:t>1</w:t>
      </w:r>
      <w:r w:rsidRPr="00BB00AB">
        <w:t xml:space="preserve"> % от планираните за годината и са в размер на </w:t>
      </w:r>
      <w:r w:rsidRPr="00BB00AB">
        <w:rPr>
          <w:lang w:val="en-US"/>
        </w:rPr>
        <w:t>92</w:t>
      </w:r>
      <w:r w:rsidRPr="00BB00AB">
        <w:t>,</w:t>
      </w:r>
      <w:r w:rsidRPr="00BB00AB">
        <w:rPr>
          <w:lang w:val="en-US"/>
        </w:rPr>
        <w:t>4</w:t>
      </w:r>
      <w:r w:rsidRPr="00BB00AB">
        <w:t xml:space="preserve"> млн. лева. Изпълнението по дейности е както следва:</w:t>
      </w:r>
    </w:p>
    <w:p w:rsidR="00870638" w:rsidRPr="00BB00AB" w:rsidRDefault="00870638" w:rsidP="00870638">
      <w:pPr>
        <w:ind w:firstLine="709"/>
        <w:contextualSpacing/>
        <w:jc w:val="both"/>
      </w:pPr>
      <w:r w:rsidRPr="00BB00AB">
        <w:t xml:space="preserve">- национално </w:t>
      </w:r>
      <w:proofErr w:type="spellStart"/>
      <w:r w:rsidRPr="00BB00AB">
        <w:t>съфинансиране</w:t>
      </w:r>
      <w:proofErr w:type="spellEnd"/>
      <w:r w:rsidRPr="00BB00AB">
        <w:t xml:space="preserve"> към ЕЗФРСР за директни плащания – 67,2 млн. лв., изпълнение 84,1 % на планираните за годината 79,9 млн. лева;</w:t>
      </w:r>
    </w:p>
    <w:p w:rsidR="00870638" w:rsidRPr="00BB00AB" w:rsidRDefault="00870638" w:rsidP="00870638">
      <w:pPr>
        <w:ind w:firstLine="709"/>
        <w:contextualSpacing/>
        <w:jc w:val="both"/>
      </w:pPr>
      <w:r w:rsidRPr="00BB00AB">
        <w:t>- текущи субсидии за Рибарство – 0,4 мл</w:t>
      </w:r>
      <w:r>
        <w:t>н</w:t>
      </w:r>
      <w:r w:rsidRPr="00BB00AB">
        <w:t>.</w:t>
      </w:r>
      <w:r>
        <w:t xml:space="preserve"> лв.</w:t>
      </w:r>
      <w:r w:rsidRPr="00BB00AB">
        <w:t xml:space="preserve"> усвоени средства за отчетния период </w:t>
      </w:r>
      <w:r w:rsidR="00BD0C34">
        <w:t>при планирани за годината 3,6 м</w:t>
      </w:r>
      <w:r w:rsidRPr="00BB00AB">
        <w:t>л</w:t>
      </w:r>
      <w:r w:rsidR="00BD0C34">
        <w:t>н</w:t>
      </w:r>
      <w:r w:rsidRPr="00BB00AB">
        <w:t xml:space="preserve">. лева, изпълнение </w:t>
      </w:r>
      <w:r w:rsidR="00B110AB">
        <w:t>11,1</w:t>
      </w:r>
      <w:r>
        <w:t xml:space="preserve"> </w:t>
      </w:r>
      <w:r w:rsidRPr="00BB00AB">
        <w:t>% ;</w:t>
      </w:r>
    </w:p>
    <w:p w:rsidR="00870638" w:rsidRPr="00BB00AB" w:rsidRDefault="00870638" w:rsidP="00870638">
      <w:pPr>
        <w:ind w:firstLine="720"/>
        <w:contextualSpacing/>
        <w:jc w:val="both"/>
      </w:pPr>
      <w:r w:rsidRPr="00BB00AB">
        <w:t>- текущи субсидии по Програмата за развитие на селските райони – 8,4 млн. лв., изпълнение от 7,9 % на планираните за годината 106,0 млн. лева;</w:t>
      </w:r>
    </w:p>
    <w:p w:rsidR="00870638" w:rsidRPr="00BB00AB" w:rsidRDefault="00870638" w:rsidP="00870638">
      <w:pPr>
        <w:tabs>
          <w:tab w:val="left" w:pos="851"/>
          <w:tab w:val="left" w:pos="1134"/>
        </w:tabs>
        <w:ind w:firstLine="720"/>
        <w:contextualSpacing/>
        <w:jc w:val="both"/>
      </w:pPr>
      <w:r w:rsidRPr="00BB00AB">
        <w:t>- текущи субсидии за пазарни мерки – 16,3 млн. лв., изпълнение от 30,7 % на планираните за 2018 г. 53,1 млн. лева.</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t>Субсидии и други текущи трансфери за юридически лица с нестопанска цел</w:t>
      </w:r>
    </w:p>
    <w:p w:rsidR="00870638" w:rsidRPr="00BB00AB" w:rsidRDefault="00870638" w:rsidP="00870638">
      <w:pPr>
        <w:contextualSpacing/>
        <w:jc w:val="both"/>
      </w:pPr>
      <w:r w:rsidRPr="00BB00AB">
        <w:tab/>
        <w:t xml:space="preserve">За 2018 г. за субсидии и други текущи трансфери за юридически лица с нестопанска цел са планирани 2,6 млн. лева. Към 30.06.2018 г. са отчетени разходи в размер на 4,5 млн. лв., представляващи </w:t>
      </w:r>
      <w:r w:rsidR="00FA6F3D">
        <w:t>173,1</w:t>
      </w:r>
      <w:r w:rsidRPr="00BB00AB">
        <w:t xml:space="preserve"> % </w:t>
      </w:r>
      <w:r>
        <w:t>спрямо</w:t>
      </w:r>
      <w:r w:rsidRPr="00BB00AB">
        <w:t xml:space="preserve"> годишния план.</w:t>
      </w:r>
    </w:p>
    <w:p w:rsidR="00870638" w:rsidRPr="00BB00AB" w:rsidRDefault="00870638" w:rsidP="00870638">
      <w:pPr>
        <w:ind w:firstLine="708"/>
        <w:contextualSpacing/>
        <w:jc w:val="both"/>
      </w:pPr>
      <w:r w:rsidRPr="00BB00AB">
        <w:t>Разпределението по дейности е както следва:</w:t>
      </w:r>
    </w:p>
    <w:p w:rsidR="00870638" w:rsidRPr="00BB00AB" w:rsidRDefault="00870638" w:rsidP="00870638">
      <w:pPr>
        <w:ind w:firstLine="708"/>
        <w:contextualSpacing/>
        <w:jc w:val="both"/>
      </w:pPr>
      <w:r w:rsidRPr="00BB00AB">
        <w:t xml:space="preserve">-  национално </w:t>
      </w:r>
      <w:proofErr w:type="spellStart"/>
      <w:r w:rsidRPr="00BB00AB">
        <w:t>съфинансиране</w:t>
      </w:r>
      <w:proofErr w:type="spellEnd"/>
      <w:r w:rsidRPr="00BB00AB">
        <w:t xml:space="preserve"> към ЕЗФРСР за директни плащания  – 0,1 млн. лева; </w:t>
      </w:r>
    </w:p>
    <w:p w:rsidR="00870638" w:rsidRPr="00BB00AB" w:rsidRDefault="00870638" w:rsidP="00870638">
      <w:pPr>
        <w:tabs>
          <w:tab w:val="left" w:pos="851"/>
        </w:tabs>
        <w:ind w:firstLine="720"/>
        <w:contextualSpacing/>
        <w:jc w:val="both"/>
      </w:pPr>
      <w:r w:rsidRPr="00BB00AB">
        <w:t>-  текущи субсидии за Рибарство – няма усвоени средства при планирани 0,8 млн. лева;</w:t>
      </w:r>
    </w:p>
    <w:p w:rsidR="00870638" w:rsidRPr="00BB00AB" w:rsidRDefault="00870638" w:rsidP="00870638">
      <w:pPr>
        <w:ind w:firstLine="720"/>
        <w:contextualSpacing/>
        <w:jc w:val="both"/>
      </w:pPr>
      <w:r w:rsidRPr="00BB00AB">
        <w:t>-  текущи субсидии по Програмата за развитие на селските райони – 4,</w:t>
      </w:r>
      <w:r w:rsidR="002111F3">
        <w:t>0</w:t>
      </w:r>
      <w:r w:rsidRPr="00BB00AB">
        <w:t xml:space="preserve"> млн. лева;</w:t>
      </w:r>
    </w:p>
    <w:p w:rsidR="00870638" w:rsidRPr="00BB00AB" w:rsidRDefault="00870638" w:rsidP="00870638">
      <w:pPr>
        <w:ind w:firstLine="709"/>
        <w:contextualSpacing/>
        <w:jc w:val="both"/>
      </w:pPr>
      <w:r w:rsidRPr="00BB00AB">
        <w:t>- текущи субсидии за пазарни мерки – 0,</w:t>
      </w:r>
      <w:r w:rsidRPr="00BB00AB">
        <w:rPr>
          <w:lang w:val="en-US"/>
        </w:rPr>
        <w:t>4</w:t>
      </w:r>
      <w:r w:rsidRPr="00BB00AB">
        <w:t xml:space="preserve"> млн. лв., изпълнение от </w:t>
      </w:r>
      <w:r w:rsidR="002111F3">
        <w:t>22,2</w:t>
      </w:r>
      <w:r w:rsidRPr="00BB00AB">
        <w:t xml:space="preserve"> % на планираните за годината 1,8 млн. лева.</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t>Капиталови трансфери за нефинансови предприятия</w:t>
      </w:r>
    </w:p>
    <w:p w:rsidR="00870638" w:rsidRPr="00BB00AB" w:rsidRDefault="00870638" w:rsidP="00870638">
      <w:pPr>
        <w:tabs>
          <w:tab w:val="left" w:pos="993"/>
        </w:tabs>
        <w:ind w:firstLine="709"/>
        <w:jc w:val="both"/>
      </w:pPr>
      <w:r w:rsidRPr="00BB00AB">
        <w:t>За 2018 г. за капиталови трансфери за нефинансови предприятия са планирани 501,6 млн. лева. Към 30.06.2018 г. са отчетени 75,5 млн. лв., 15,1 % изпълнение на годишния план, разпределени по дейности както следва:</w:t>
      </w:r>
    </w:p>
    <w:p w:rsidR="00870638" w:rsidRPr="00BB00AB" w:rsidRDefault="00870638" w:rsidP="00870638">
      <w:pPr>
        <w:ind w:firstLine="720"/>
        <w:contextualSpacing/>
        <w:jc w:val="both"/>
      </w:pPr>
      <w:r w:rsidRPr="00BB00AB">
        <w:t>- капиталови</w:t>
      </w:r>
      <w:r w:rsidR="00B35DC3">
        <w:t xml:space="preserve"> трансфери за Рибарство – 1,2 м</w:t>
      </w:r>
      <w:r w:rsidRPr="00BB00AB">
        <w:t>л</w:t>
      </w:r>
      <w:r w:rsidR="00B35DC3">
        <w:t>н</w:t>
      </w:r>
      <w:r w:rsidRPr="00BB00AB">
        <w:t>. лв., 4,7 %  изпълнение на годишния план (25,7 млн. лева);</w:t>
      </w:r>
    </w:p>
    <w:p w:rsidR="00870638" w:rsidRPr="00BB00AB" w:rsidRDefault="00870638" w:rsidP="00870638">
      <w:pPr>
        <w:ind w:firstLine="720"/>
        <w:contextualSpacing/>
        <w:jc w:val="both"/>
      </w:pPr>
      <w:r w:rsidRPr="00BB00AB">
        <w:t>- капиталови трансфери по ПРСР – 66,7 млн. лв., 14,3 %  изпълнение на годишния план (466,2 млн. лева);</w:t>
      </w:r>
    </w:p>
    <w:p w:rsidR="00870638" w:rsidRPr="00BB00AB" w:rsidRDefault="00870638" w:rsidP="00870638">
      <w:pPr>
        <w:ind w:firstLine="720"/>
        <w:contextualSpacing/>
        <w:jc w:val="both"/>
      </w:pPr>
      <w:r w:rsidRPr="00BB00AB">
        <w:t>- капиталови трансфери за пазарни мерки – 7,6 млн. лв., 78,4 % изпълнение на плана за годината (9,7 млн. лв.).</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t>Капиталови трансфери за организации с нестопанска цел</w:t>
      </w:r>
    </w:p>
    <w:p w:rsidR="00870638" w:rsidRPr="00BB00AB" w:rsidRDefault="00870638" w:rsidP="00870638">
      <w:pPr>
        <w:ind w:firstLine="708"/>
        <w:jc w:val="both"/>
      </w:pPr>
      <w:r w:rsidRPr="00BB00AB">
        <w:t>За 2018 г. не са планирани капиталови трансфери за организации с нестопанска цел. Към 30.06.2018 г. отчетените разходите по ПРСР са в размер на 3,</w:t>
      </w:r>
      <w:r w:rsidRPr="00BB00AB">
        <w:rPr>
          <w:lang w:val="en-US"/>
        </w:rPr>
        <w:t>1</w:t>
      </w:r>
      <w:r w:rsidRPr="00BB00AB">
        <w:t xml:space="preserve"> млн. лева. </w:t>
      </w:r>
    </w:p>
    <w:p w:rsidR="00870638" w:rsidRPr="00BB00AB" w:rsidRDefault="00870638" w:rsidP="00870638">
      <w:pPr>
        <w:tabs>
          <w:tab w:val="left" w:pos="709"/>
        </w:tabs>
        <w:jc w:val="both"/>
      </w:pPr>
      <w:r w:rsidRPr="00BB00AB">
        <w:tab/>
        <w:t>Останалите планирани разходи в размер 293,9 млн. лв., в т.ч.: за заплати и възнаграждения на персонала 9,1 млн. лв., задължителни осигурителни вноски от работодатели 2,6 млн. лв., издръжка 1,6 млн. лв. и придобиване на ДМА 280,6 млн. лв., подлежат на отчитане в § 63-00 Трансфери между сметки за средствата от ЕС.</w:t>
      </w:r>
    </w:p>
    <w:p w:rsidR="00870638" w:rsidRPr="00D013D9" w:rsidRDefault="00870638" w:rsidP="00870638">
      <w:pPr>
        <w:tabs>
          <w:tab w:val="left" w:pos="540"/>
        </w:tabs>
        <w:jc w:val="both"/>
        <w:rPr>
          <w:b/>
          <w:sz w:val="12"/>
          <w:u w:val="single"/>
        </w:rPr>
      </w:pPr>
    </w:p>
    <w:p w:rsidR="00870638" w:rsidRPr="00BB00AB" w:rsidRDefault="00870638" w:rsidP="00870638">
      <w:pPr>
        <w:tabs>
          <w:tab w:val="left" w:pos="540"/>
        </w:tabs>
        <w:jc w:val="both"/>
        <w:rPr>
          <w:b/>
          <w:u w:val="single"/>
        </w:rPr>
      </w:pPr>
      <w:r w:rsidRPr="00BB00AB">
        <w:rPr>
          <w:b/>
          <w:u w:val="single"/>
        </w:rPr>
        <w:t xml:space="preserve">Трансфери </w:t>
      </w:r>
    </w:p>
    <w:p w:rsidR="00870638" w:rsidRPr="00BB00AB" w:rsidRDefault="00870638" w:rsidP="00870638">
      <w:pPr>
        <w:tabs>
          <w:tab w:val="left" w:pos="540"/>
        </w:tabs>
        <w:jc w:val="both"/>
      </w:pPr>
      <w:r w:rsidRPr="00BB00AB">
        <w:rPr>
          <w:color w:val="0070C0"/>
        </w:rPr>
        <w:tab/>
      </w:r>
      <w:r w:rsidRPr="00BB00AB">
        <w:t>В частта на трансферите, в касовия отчет на ДФЗ-РА към 30.06.2018 г. са отразени следните касови потоци:</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t xml:space="preserve">Трансфери между бюджети и сметки за средства от Европейския съюз </w:t>
      </w:r>
    </w:p>
    <w:p w:rsidR="00870638" w:rsidRPr="00BB00AB" w:rsidRDefault="00870638" w:rsidP="00870638">
      <w:pPr>
        <w:jc w:val="both"/>
      </w:pPr>
      <w:r w:rsidRPr="00BB00AB">
        <w:tab/>
        <w:t>Към 30.06.2018 г. получените трансфери от бюджетни сметки на бюджетни организации и общини за възстановяване на вземания по ПРСР и ОПРСР са в размер на 0,</w:t>
      </w:r>
      <w:r w:rsidRPr="00BB00AB">
        <w:rPr>
          <w:lang w:val="en-US"/>
        </w:rPr>
        <w:t>4</w:t>
      </w:r>
      <w:r w:rsidRPr="00BB00AB">
        <w:t xml:space="preserve"> млн. лева. Предоставените трансфери във връзка с чл.14 от Закона за подпомагане на земеделските производители възлизат на 0,1 млн. лева.</w:t>
      </w:r>
    </w:p>
    <w:p w:rsidR="00870638" w:rsidRPr="00BB00AB" w:rsidRDefault="00870638" w:rsidP="00870638">
      <w:pPr>
        <w:numPr>
          <w:ilvl w:val="0"/>
          <w:numId w:val="25"/>
        </w:numPr>
        <w:tabs>
          <w:tab w:val="left" w:pos="993"/>
        </w:tabs>
        <w:spacing w:before="120" w:after="120"/>
        <w:ind w:left="1321" w:hanging="612"/>
        <w:jc w:val="both"/>
        <w:rPr>
          <w:b/>
          <w:i/>
        </w:rPr>
      </w:pPr>
      <w:r w:rsidRPr="00BB00AB">
        <w:rPr>
          <w:b/>
          <w:i/>
        </w:rPr>
        <w:t>Трансфери между сметки за средства от Европейския съюз:</w:t>
      </w:r>
    </w:p>
    <w:p w:rsidR="00870638" w:rsidRPr="00BB00AB" w:rsidRDefault="00870638" w:rsidP="00870638">
      <w:pPr>
        <w:tabs>
          <w:tab w:val="left" w:pos="540"/>
        </w:tabs>
        <w:jc w:val="both"/>
      </w:pPr>
      <w:r w:rsidRPr="00BB00AB">
        <w:lastRenderedPageBreak/>
        <w:tab/>
      </w:r>
      <w:r w:rsidRPr="00BB00AB">
        <w:tab/>
        <w:t xml:space="preserve">Предоставените трансфери са формирани от изплатените субсидии и възстановените суми от публични бенефициенти. Към 30.06.2018 г. са отчетени 9,6 млн. лв., в т.ч.: по Програмата за развитие на селските райони: 8,6 млн. лв.; схеми „Училищен плод“ и „Училищно мляко“: 0,1 млн. лв.; национално </w:t>
      </w:r>
      <w:proofErr w:type="spellStart"/>
      <w:r w:rsidRPr="00BB00AB">
        <w:t>съфинансиране</w:t>
      </w:r>
      <w:proofErr w:type="spellEnd"/>
      <w:r w:rsidRPr="00BB00AB">
        <w:t xml:space="preserve"> към директни плащания: 0,1 млн. лв.; рибарство: 0,</w:t>
      </w:r>
      <w:r w:rsidRPr="00BB00AB">
        <w:rPr>
          <w:lang w:val="en-US"/>
        </w:rPr>
        <w:t>8</w:t>
      </w:r>
      <w:r w:rsidRPr="00BB00AB">
        <w:t xml:space="preserve"> млн. лева.</w:t>
      </w:r>
    </w:p>
    <w:p w:rsidR="00870638" w:rsidRPr="00D013D9" w:rsidRDefault="00870638" w:rsidP="00870638">
      <w:pPr>
        <w:tabs>
          <w:tab w:val="left" w:pos="540"/>
        </w:tabs>
        <w:jc w:val="both"/>
        <w:rPr>
          <w:color w:val="0070C0"/>
          <w:sz w:val="12"/>
        </w:rPr>
      </w:pPr>
    </w:p>
    <w:p w:rsidR="00870638" w:rsidRPr="00BB00AB" w:rsidRDefault="00870638" w:rsidP="00870638">
      <w:pPr>
        <w:tabs>
          <w:tab w:val="left" w:pos="540"/>
        </w:tabs>
        <w:jc w:val="both"/>
        <w:rPr>
          <w:b/>
          <w:u w:val="single"/>
        </w:rPr>
      </w:pPr>
      <w:r w:rsidRPr="00BB00AB">
        <w:rPr>
          <w:b/>
          <w:u w:val="single"/>
        </w:rPr>
        <w:t>Финансиране</w:t>
      </w:r>
    </w:p>
    <w:p w:rsidR="00870638" w:rsidRPr="00BB00AB" w:rsidRDefault="00870638" w:rsidP="00870638">
      <w:pPr>
        <w:spacing w:after="120"/>
        <w:jc w:val="both"/>
      </w:pPr>
      <w:r w:rsidRPr="00BB00AB">
        <w:rPr>
          <w:color w:val="0070C0"/>
        </w:rPr>
        <w:tab/>
      </w:r>
      <w:r w:rsidRPr="00BB00AB">
        <w:t>Към 30.06.2018</w:t>
      </w:r>
      <w:r w:rsidRPr="00BB00AB">
        <w:rPr>
          <w:lang w:val="en-US"/>
        </w:rPr>
        <w:t xml:space="preserve"> </w:t>
      </w:r>
      <w:r w:rsidRPr="00BB00AB">
        <w:t>г. извършените плащания, възстановените суми и разчета с централния бюджет, включени в отчетността в „Друго финансиране“ са общо 128,2 млн. лв., при 182,3 млн. лв. по разчет.</w:t>
      </w:r>
    </w:p>
    <w:p w:rsidR="00870638" w:rsidRPr="00BB00AB" w:rsidRDefault="00870638" w:rsidP="00870638">
      <w:pPr>
        <w:spacing w:after="120"/>
        <w:jc w:val="both"/>
        <w:rPr>
          <w:b/>
          <w:i/>
        </w:rPr>
      </w:pPr>
      <w:r w:rsidRPr="00BB00AB">
        <w:rPr>
          <w:b/>
          <w:i/>
        </w:rPr>
        <w:t>Към 30.06.2018 г. са изплатени средства по следните направления:</w:t>
      </w:r>
    </w:p>
    <w:p w:rsidR="00870638" w:rsidRPr="00BB00AB" w:rsidRDefault="00870638" w:rsidP="00870638">
      <w:pPr>
        <w:numPr>
          <w:ilvl w:val="0"/>
          <w:numId w:val="30"/>
        </w:numPr>
        <w:tabs>
          <w:tab w:val="left" w:pos="993"/>
        </w:tabs>
        <w:ind w:left="0" w:firstLine="709"/>
        <w:contextualSpacing/>
        <w:jc w:val="both"/>
      </w:pPr>
      <w:r w:rsidRPr="00BB00AB">
        <w:t>767,7 млн. лв. за директни плащания за сметка на ЕФГЗ, представляващи 49,5 % от планираните 1 551,4 млн. лева;</w:t>
      </w:r>
    </w:p>
    <w:p w:rsidR="00870638" w:rsidRPr="00BB00AB" w:rsidRDefault="00870638" w:rsidP="00870638">
      <w:pPr>
        <w:numPr>
          <w:ilvl w:val="0"/>
          <w:numId w:val="30"/>
        </w:numPr>
        <w:tabs>
          <w:tab w:val="left" w:pos="993"/>
        </w:tabs>
        <w:ind w:left="0" w:firstLine="709"/>
        <w:contextualSpacing/>
        <w:jc w:val="both"/>
      </w:pPr>
      <w:r w:rsidRPr="00BB00AB">
        <w:t>201,9 млн. лв. - средства от ЕЗФРСР, прехвърлени към директни плащания, което е 84,2 % от планираните 239,8 млн. лева;</w:t>
      </w:r>
    </w:p>
    <w:p w:rsidR="00870638" w:rsidRPr="00BB00AB" w:rsidRDefault="00870638" w:rsidP="00870638">
      <w:pPr>
        <w:numPr>
          <w:ilvl w:val="0"/>
          <w:numId w:val="30"/>
        </w:numPr>
        <w:tabs>
          <w:tab w:val="left" w:pos="993"/>
        </w:tabs>
        <w:ind w:left="0" w:firstLine="709"/>
        <w:contextualSpacing/>
        <w:jc w:val="both"/>
      </w:pPr>
      <w:r w:rsidRPr="00BB00AB">
        <w:t>2,4 млн. лв. за пазарни мерки - изпълнение 7,</w:t>
      </w:r>
      <w:proofErr w:type="spellStart"/>
      <w:r w:rsidR="0013308F">
        <w:t>7</w:t>
      </w:r>
      <w:proofErr w:type="spellEnd"/>
      <w:r w:rsidRPr="00BB00AB">
        <w:t xml:space="preserve"> % от планираните 31,1 млн. лева;</w:t>
      </w:r>
    </w:p>
    <w:p w:rsidR="00870638" w:rsidRPr="00BB00AB" w:rsidRDefault="00870638" w:rsidP="00870638">
      <w:pPr>
        <w:numPr>
          <w:ilvl w:val="0"/>
          <w:numId w:val="30"/>
        </w:numPr>
        <w:tabs>
          <w:tab w:val="left" w:pos="993"/>
        </w:tabs>
        <w:ind w:left="0" w:firstLine="709"/>
        <w:contextualSpacing/>
        <w:jc w:val="both"/>
      </w:pPr>
      <w:r w:rsidRPr="00BB00AB">
        <w:t>11,</w:t>
      </w:r>
      <w:r w:rsidRPr="00BB00AB">
        <w:rPr>
          <w:lang w:val="en-US"/>
        </w:rPr>
        <w:t>3</w:t>
      </w:r>
      <w:r w:rsidRPr="00BB00AB">
        <w:t xml:space="preserve"> млн. лв. – суми за преструктуриране, 22,</w:t>
      </w:r>
      <w:r w:rsidR="0013308F">
        <w:t>9</w:t>
      </w:r>
      <w:r w:rsidRPr="00BB00AB">
        <w:t xml:space="preserve"> % от планираните 49,4 млн. лева.</w:t>
      </w:r>
    </w:p>
    <w:p w:rsidR="00870638" w:rsidRPr="00BB00AB" w:rsidRDefault="00870638" w:rsidP="00870638">
      <w:pPr>
        <w:spacing w:before="120" w:after="120"/>
        <w:jc w:val="both"/>
        <w:rPr>
          <w:b/>
          <w:i/>
          <w:color w:val="0070C0"/>
        </w:rPr>
      </w:pPr>
      <w:r w:rsidRPr="00BB00AB">
        <w:rPr>
          <w:b/>
          <w:i/>
        </w:rPr>
        <w:t>Възстановените суми от Европейския съюз към 30.06.2018 г. са както следва:</w:t>
      </w:r>
    </w:p>
    <w:p w:rsidR="00870638" w:rsidRPr="00BB00AB" w:rsidRDefault="00870638" w:rsidP="00870638">
      <w:pPr>
        <w:numPr>
          <w:ilvl w:val="0"/>
          <w:numId w:val="30"/>
        </w:numPr>
        <w:tabs>
          <w:tab w:val="left" w:pos="993"/>
        </w:tabs>
        <w:ind w:left="0" w:firstLine="709"/>
        <w:contextualSpacing/>
        <w:jc w:val="both"/>
      </w:pPr>
      <w:r w:rsidRPr="00BB00AB">
        <w:t>91</w:t>
      </w:r>
      <w:r w:rsidRPr="00BB00AB">
        <w:rPr>
          <w:lang w:val="en-US"/>
        </w:rPr>
        <w:t>2,9</w:t>
      </w:r>
      <w:r w:rsidRPr="00BB00AB">
        <w:t xml:space="preserve"> млн. лв. за директни плащания от ЕФГЗ – 58,9 % от заложените 1 551,2 млн. лева;</w:t>
      </w:r>
    </w:p>
    <w:p w:rsidR="00870638" w:rsidRPr="00BB00AB" w:rsidRDefault="00870638" w:rsidP="00870638">
      <w:pPr>
        <w:numPr>
          <w:ilvl w:val="0"/>
          <w:numId w:val="30"/>
        </w:numPr>
        <w:tabs>
          <w:tab w:val="left" w:pos="993"/>
        </w:tabs>
        <w:ind w:left="0" w:firstLine="709"/>
        <w:contextualSpacing/>
        <w:jc w:val="both"/>
      </w:pPr>
      <w:r w:rsidRPr="00BB00AB">
        <w:t>69,1 млн. лв. от ЕЗФРСР, прехвърлени към директни плащания – 28,8% от заложените 239,8 млн. лв.;</w:t>
      </w:r>
    </w:p>
    <w:p w:rsidR="00870638" w:rsidRPr="00BB00AB" w:rsidRDefault="00870638" w:rsidP="00870638">
      <w:pPr>
        <w:numPr>
          <w:ilvl w:val="0"/>
          <w:numId w:val="30"/>
        </w:numPr>
        <w:tabs>
          <w:tab w:val="left" w:pos="993"/>
        </w:tabs>
        <w:ind w:left="0" w:firstLine="709"/>
        <w:contextualSpacing/>
        <w:jc w:val="both"/>
      </w:pPr>
      <w:r w:rsidRPr="00BB00AB">
        <w:t>2,</w:t>
      </w:r>
      <w:r w:rsidRPr="00BB00AB">
        <w:rPr>
          <w:lang w:val="en-US"/>
        </w:rPr>
        <w:t>3</w:t>
      </w:r>
      <w:r w:rsidRPr="00BB00AB">
        <w:t xml:space="preserve"> млн. лв. за пазарни мерки, 6,</w:t>
      </w:r>
      <w:proofErr w:type="spellStart"/>
      <w:r w:rsidR="00171F8E">
        <w:t>6</w:t>
      </w:r>
      <w:proofErr w:type="spellEnd"/>
      <w:r w:rsidRPr="00BB00AB">
        <w:t xml:space="preserve"> % изпълнение на планираните 35,0 млн. лева;</w:t>
      </w:r>
    </w:p>
    <w:p w:rsidR="00870638" w:rsidRPr="00BB00AB" w:rsidRDefault="00870638" w:rsidP="00870638">
      <w:pPr>
        <w:numPr>
          <w:ilvl w:val="0"/>
          <w:numId w:val="30"/>
        </w:numPr>
        <w:tabs>
          <w:tab w:val="left" w:pos="993"/>
        </w:tabs>
        <w:ind w:left="0" w:firstLine="709"/>
        <w:contextualSpacing/>
        <w:jc w:val="both"/>
      </w:pPr>
      <w:r w:rsidRPr="00BB00AB">
        <w:t>1</w:t>
      </w:r>
      <w:r w:rsidRPr="00BB00AB">
        <w:rPr>
          <w:lang w:val="en-US"/>
        </w:rPr>
        <w:t>4</w:t>
      </w:r>
      <w:r w:rsidRPr="00BB00AB">
        <w:t>,</w:t>
      </w:r>
      <w:r w:rsidRPr="00BB00AB">
        <w:rPr>
          <w:lang w:val="en-US"/>
        </w:rPr>
        <w:t>9</w:t>
      </w:r>
      <w:r w:rsidRPr="00BB00AB">
        <w:t xml:space="preserve"> млн. лв. – суми за преструктуриране, </w:t>
      </w:r>
      <w:r w:rsidRPr="00BB00AB">
        <w:rPr>
          <w:lang w:val="en-US"/>
        </w:rPr>
        <w:t>31</w:t>
      </w:r>
      <w:r w:rsidRPr="00BB00AB">
        <w:t>,1 % изпълнение на планираните 47,9 млн. лева.</w:t>
      </w:r>
    </w:p>
    <w:p w:rsidR="00053D51" w:rsidRPr="000119C6" w:rsidRDefault="00870638" w:rsidP="00870638">
      <w:pPr>
        <w:spacing w:after="120"/>
        <w:jc w:val="both"/>
        <w:rPr>
          <w:color w:val="0070C0"/>
        </w:rPr>
      </w:pPr>
      <w:r w:rsidRPr="00BB00AB">
        <w:tab/>
        <w:t xml:space="preserve">Предоставените суми (нето) по разчети с ЦБ за финансиране на плащания за периода 01.01-30.06.2018 г. са 112,1 млн. лева. Предоставените чужди средства от други лица са (-0,03) млн. лв., представляващи резултативна величина между постъпилите и възстановени </w:t>
      </w:r>
      <w:proofErr w:type="spellStart"/>
      <w:r w:rsidRPr="00BB00AB">
        <w:t>кешови</w:t>
      </w:r>
      <w:proofErr w:type="spellEnd"/>
      <w:r w:rsidRPr="00BB00AB">
        <w:t xml:space="preserve"> гаранции и чужди средства. Събраните средства и извършени плащания за сметка на други бюджети</w:t>
      </w:r>
      <w:r w:rsidRPr="00BB00AB">
        <w:rPr>
          <w:lang w:val="en-US"/>
        </w:rPr>
        <w:t xml:space="preserve">, </w:t>
      </w:r>
      <w:r w:rsidRPr="00BB00AB">
        <w:t>фондове и сметки</w:t>
      </w:r>
      <w:r w:rsidRPr="00BB00AB">
        <w:rPr>
          <w:lang w:val="en-US"/>
        </w:rPr>
        <w:t xml:space="preserve"> </w:t>
      </w:r>
      <w:r w:rsidRPr="00BB00AB">
        <w:t>са 0,3 млн. л</w:t>
      </w:r>
      <w:r>
        <w:t>е</w:t>
      </w:r>
      <w:r w:rsidRPr="00BB00AB">
        <w:t>в</w:t>
      </w:r>
      <w:r w:rsidR="00DB3023">
        <w:t>а</w:t>
      </w:r>
      <w:r w:rsidRPr="00BB00AB">
        <w:t>.</w:t>
      </w:r>
    </w:p>
    <w:p w:rsidR="002B1377" w:rsidRPr="00FF2021" w:rsidRDefault="002B1377" w:rsidP="002B1377">
      <w:pPr>
        <w:pStyle w:val="Heading1"/>
        <w:numPr>
          <w:ilvl w:val="1"/>
          <w:numId w:val="10"/>
        </w:numPr>
        <w:spacing w:after="120"/>
        <w:ind w:left="788" w:right="-108" w:hanging="431"/>
        <w:jc w:val="both"/>
        <w:rPr>
          <w:sz w:val="24"/>
        </w:rPr>
      </w:pPr>
      <w:r w:rsidRPr="00FF2021">
        <w:rPr>
          <w:sz w:val="24"/>
        </w:rPr>
        <w:t>Национален фонд към Министерство на финансите</w:t>
      </w:r>
    </w:p>
    <w:p w:rsidR="00FF2021" w:rsidRPr="00AA5D71" w:rsidRDefault="00FF2021" w:rsidP="00FF2021">
      <w:pPr>
        <w:ind w:firstLine="684"/>
        <w:jc w:val="both"/>
        <w:rPr>
          <w:bCs/>
        </w:rPr>
      </w:pPr>
      <w:r w:rsidRPr="00AA5D71">
        <w:rPr>
          <w:bCs/>
        </w:rPr>
        <w:t>По сметките на Национален фонд (НФ) към 30.06.2018 г. са постъпили приходи  (нето) в размер на 468</w:t>
      </w:r>
      <w:r>
        <w:rPr>
          <w:bCs/>
        </w:rPr>
        <w:t>,</w:t>
      </w:r>
      <w:r w:rsidR="00C873BC">
        <w:rPr>
          <w:bCs/>
          <w:lang w:val="en-US"/>
        </w:rPr>
        <w:t>5</w:t>
      </w:r>
      <w:r w:rsidRPr="00AA5D71">
        <w:rPr>
          <w:bCs/>
        </w:rPr>
        <w:t xml:space="preserve"> млн. лв. по програмите, финансирани от Европейския фонд за регионално развитие, Европейския социален фонд (включително Инициативата за младежка заетост), </w:t>
      </w:r>
      <w:proofErr w:type="spellStart"/>
      <w:r w:rsidRPr="00AA5D71">
        <w:rPr>
          <w:bCs/>
        </w:rPr>
        <w:t>Кохезионния</w:t>
      </w:r>
      <w:proofErr w:type="spellEnd"/>
      <w:r w:rsidRPr="00AA5D71">
        <w:rPr>
          <w:bCs/>
        </w:rPr>
        <w:t xml:space="preserve"> фонд и Фонда за европейско подпомагане на най-нуждаещите се лица (ФЕПНЛ) на ЕС за финансовата рамка 2014–2020 г., Финансовия механизъм на Европейското икономическо пространство (ФМ на ЕИП) 2009–2014 г., Норвежкия финансов механизъм (НФМ) 2009–2014 г., двустранните програми за трансгранично сътрудничество по външните граници на EС (ПТСВГ) за периода 2014–2020 г. и Българо-швейцарската програма за сътрудничество (БШПС), като в тази сума са включени и отразените (нето) в отчетността на НФ операции по постъпването по банковите бюджетни сметки на Министерство на регионалното развитие и благоустройството (МРРБ) на чуждото финансиране по ПТСВГ и изплатените средства от получения ресурс към бенефициенти извън страната. </w:t>
      </w:r>
    </w:p>
    <w:p w:rsidR="00FF2021" w:rsidRPr="00B41AEC" w:rsidRDefault="00FF2021" w:rsidP="00FF2021">
      <w:pPr>
        <w:ind w:firstLine="684"/>
        <w:jc w:val="both"/>
        <w:rPr>
          <w:bCs/>
        </w:rPr>
      </w:pPr>
      <w:r w:rsidRPr="00884DF4">
        <w:rPr>
          <w:bCs/>
        </w:rPr>
        <w:t>Извършените разходи (нето) за периода с натрупване чрез сметките на НФ възлизат на 335</w:t>
      </w:r>
      <w:r>
        <w:rPr>
          <w:bCs/>
        </w:rPr>
        <w:t>,</w:t>
      </w:r>
      <w:r w:rsidRPr="00884DF4">
        <w:rPr>
          <w:bCs/>
        </w:rPr>
        <w:t>1 млн. лева.</w:t>
      </w:r>
      <w:r w:rsidRPr="005D009A">
        <w:rPr>
          <w:bCs/>
          <w:color w:val="0070C0"/>
        </w:rPr>
        <w:t xml:space="preserve"> </w:t>
      </w:r>
      <w:r w:rsidRPr="00B41AEC">
        <w:rPr>
          <w:bCs/>
        </w:rPr>
        <w:t>По видове разходи изпълнението е както следва: 62</w:t>
      </w:r>
      <w:r>
        <w:rPr>
          <w:bCs/>
        </w:rPr>
        <w:t xml:space="preserve">,27 </w:t>
      </w:r>
      <w:r w:rsidRPr="00B41AEC">
        <w:rPr>
          <w:bCs/>
        </w:rPr>
        <w:t xml:space="preserve">% от общия размер са капиталови трансфери, </w:t>
      </w:r>
      <w:r>
        <w:rPr>
          <w:bCs/>
        </w:rPr>
        <w:t xml:space="preserve">31,76 </w:t>
      </w:r>
      <w:r w:rsidRPr="00B41AEC">
        <w:rPr>
          <w:bCs/>
        </w:rPr>
        <w:t xml:space="preserve">% са субсидии, </w:t>
      </w:r>
      <w:r>
        <w:rPr>
          <w:bCs/>
        </w:rPr>
        <w:t xml:space="preserve">5,97 </w:t>
      </w:r>
      <w:r w:rsidRPr="00B41AEC">
        <w:rPr>
          <w:bCs/>
        </w:rPr>
        <w:t xml:space="preserve">% предоставени текущи и капиталови трансфери за чужбина и </w:t>
      </w:r>
      <w:r>
        <w:rPr>
          <w:bCs/>
        </w:rPr>
        <w:t xml:space="preserve">0,003 </w:t>
      </w:r>
      <w:r w:rsidRPr="00B41AEC">
        <w:rPr>
          <w:bCs/>
        </w:rPr>
        <w:t>% - издръжка.</w:t>
      </w:r>
    </w:p>
    <w:p w:rsidR="00FF2021" w:rsidRPr="00477EE8" w:rsidRDefault="00FF2021" w:rsidP="00FF2021">
      <w:pPr>
        <w:ind w:firstLine="684"/>
        <w:jc w:val="both"/>
        <w:rPr>
          <w:bCs/>
        </w:rPr>
      </w:pPr>
      <w:r w:rsidRPr="00477EE8">
        <w:rPr>
          <w:bCs/>
        </w:rPr>
        <w:t>Трансферите (нето), временните безлихвени заеми (нето) и временна възмездна финансова помощ за разглеждания период са в размер на 461</w:t>
      </w:r>
      <w:r>
        <w:rPr>
          <w:bCs/>
        </w:rPr>
        <w:t>,</w:t>
      </w:r>
      <w:r w:rsidRPr="00477EE8">
        <w:rPr>
          <w:bCs/>
        </w:rPr>
        <w:t>2 млн. лв. (включват предоставените трансфери към бенефициенти по Оперативните програми (ОП) на ЕС - програмни периоди 2007 – 2013 г. и 2014 – 2020 г., ПТСВГ за пер</w:t>
      </w:r>
      <w:r w:rsidR="00B35DC3">
        <w:rPr>
          <w:bCs/>
        </w:rPr>
        <w:t xml:space="preserve">иода 2014 – 2020 г., ФМ на </w:t>
      </w:r>
      <w:r w:rsidR="00B35DC3">
        <w:rPr>
          <w:bCs/>
        </w:rPr>
        <w:lastRenderedPageBreak/>
        <w:t>ЕИП</w:t>
      </w:r>
      <w:r w:rsidRPr="00477EE8">
        <w:rPr>
          <w:bCs/>
        </w:rPr>
        <w:t xml:space="preserve"> 2009 – 2014 г., НФМ 2009 – 2014 г. и за периода 2014–2021 г. и БШПС, както и възстановени суми по приключили проекти, възстановени недопустими разходи и др. от бенефициенти-бюджетни организации). В консолидираната отчетност на НФ са отразени и трансфери (нето) към бенефициенти, които са за сметка на средства, предоставени на МРРБ от държавите-партньори по ПТСВГ.</w:t>
      </w:r>
    </w:p>
    <w:p w:rsidR="00FF2021" w:rsidRPr="000E08F7" w:rsidRDefault="00FF2021" w:rsidP="00FF2021">
      <w:pPr>
        <w:ind w:firstLine="684"/>
        <w:jc w:val="both"/>
        <w:rPr>
          <w:bCs/>
        </w:rPr>
      </w:pPr>
      <w:r w:rsidRPr="000E08F7">
        <w:rPr>
          <w:bCs/>
        </w:rPr>
        <w:t>Във връзка с изпълнение на ОП - програмни периоди 2007 – 2013 г. и 2014 – 2020 г. и ПТСВГ 2014 – 2020 г. по сметките на НФ са получени трансфери от централния бюджет на стойност 123</w:t>
      </w:r>
      <w:r>
        <w:rPr>
          <w:bCs/>
        </w:rPr>
        <w:t>,</w:t>
      </w:r>
      <w:r w:rsidRPr="000E08F7">
        <w:rPr>
          <w:bCs/>
        </w:rPr>
        <w:t>1 млн. лева.</w:t>
      </w:r>
    </w:p>
    <w:p w:rsidR="00FF2021" w:rsidRPr="00833EAF" w:rsidRDefault="00FF2021" w:rsidP="00FF2021">
      <w:pPr>
        <w:ind w:firstLine="684"/>
        <w:jc w:val="both"/>
        <w:rPr>
          <w:bCs/>
        </w:rPr>
      </w:pPr>
      <w:r w:rsidRPr="00833EAF">
        <w:rPr>
          <w:bCs/>
        </w:rPr>
        <w:t>Общата сума от други приходи, постъпили по сметките на НФ, са в размер на 0</w:t>
      </w:r>
      <w:r>
        <w:rPr>
          <w:bCs/>
        </w:rPr>
        <w:t>,</w:t>
      </w:r>
      <w:r w:rsidRPr="00833EAF">
        <w:rPr>
          <w:bCs/>
        </w:rPr>
        <w:t>2 млн.</w:t>
      </w:r>
      <w:r>
        <w:rPr>
          <w:bCs/>
        </w:rPr>
        <w:t> </w:t>
      </w:r>
      <w:r w:rsidRPr="00833EAF">
        <w:rPr>
          <w:bCs/>
        </w:rPr>
        <w:t>л</w:t>
      </w:r>
      <w:r>
        <w:rPr>
          <w:bCs/>
        </w:rPr>
        <w:t>е</w:t>
      </w:r>
      <w:r w:rsidRPr="00833EAF">
        <w:rPr>
          <w:bCs/>
        </w:rPr>
        <w:t>в</w:t>
      </w:r>
      <w:r>
        <w:rPr>
          <w:bCs/>
        </w:rPr>
        <w:t>а</w:t>
      </w:r>
      <w:r w:rsidRPr="00833EAF">
        <w:rPr>
          <w:bCs/>
        </w:rPr>
        <w:t>. Част от тях са натрупаните лихви в резултат на управлението на свободните средства в обслужващите търговски банки, като към 30.06.2018 г. те възлизат на 0</w:t>
      </w:r>
      <w:r>
        <w:rPr>
          <w:bCs/>
        </w:rPr>
        <w:t>,</w:t>
      </w:r>
      <w:r w:rsidRPr="00833EAF">
        <w:rPr>
          <w:bCs/>
        </w:rPr>
        <w:t>1 млн. лева.</w:t>
      </w:r>
    </w:p>
    <w:p w:rsidR="00FF2021" w:rsidRPr="001C5579" w:rsidRDefault="00FF2021" w:rsidP="00FF2021">
      <w:pPr>
        <w:ind w:firstLine="684"/>
        <w:jc w:val="both"/>
      </w:pPr>
      <w:r w:rsidRPr="001C5579">
        <w:rPr>
          <w:bCs/>
        </w:rPr>
        <w:t>Наличностите по сметката за средства от ЕС на НФ към 30.06.2018 г. възлизат на</w:t>
      </w:r>
      <w:r>
        <w:rPr>
          <w:bCs/>
        </w:rPr>
        <w:t xml:space="preserve"> </w:t>
      </w:r>
      <w:r w:rsidRPr="001C5579">
        <w:rPr>
          <w:bCs/>
        </w:rPr>
        <w:t>2</w:t>
      </w:r>
      <w:r>
        <w:rPr>
          <w:bCs/>
        </w:rPr>
        <w:t> </w:t>
      </w:r>
      <w:r w:rsidRPr="001C5579">
        <w:rPr>
          <w:bCs/>
        </w:rPr>
        <w:t>728</w:t>
      </w:r>
      <w:r>
        <w:rPr>
          <w:bCs/>
        </w:rPr>
        <w:t>,</w:t>
      </w:r>
      <w:r w:rsidRPr="001C5579">
        <w:rPr>
          <w:bCs/>
        </w:rPr>
        <w:t>9 млн. лв. (в отчета на НФ са включени и наличностите на Фонда мениджър на финансови инструменти в България (Фонд на фондовете), които са в размер на 242</w:t>
      </w:r>
      <w:r>
        <w:rPr>
          <w:bCs/>
        </w:rPr>
        <w:t>,</w:t>
      </w:r>
      <w:r w:rsidRPr="001C5579">
        <w:rPr>
          <w:bCs/>
        </w:rPr>
        <w:t>8 млн. лв.), като в БНБ наличните средства са в размер на 2</w:t>
      </w:r>
      <w:r>
        <w:rPr>
          <w:bCs/>
        </w:rPr>
        <w:t> </w:t>
      </w:r>
      <w:r w:rsidRPr="001C5579">
        <w:rPr>
          <w:bCs/>
        </w:rPr>
        <w:t>698</w:t>
      </w:r>
      <w:r>
        <w:rPr>
          <w:bCs/>
        </w:rPr>
        <w:t>,</w:t>
      </w:r>
      <w:r w:rsidRPr="001C5579">
        <w:rPr>
          <w:bCs/>
        </w:rPr>
        <w:t>1 млн. лв., а в търговските банки (</w:t>
      </w:r>
      <w:proofErr w:type="spellStart"/>
      <w:r w:rsidRPr="001C5579">
        <w:rPr>
          <w:bCs/>
        </w:rPr>
        <w:t>УниКредит</w:t>
      </w:r>
      <w:proofErr w:type="spellEnd"/>
      <w:r w:rsidRPr="001C5579">
        <w:rPr>
          <w:bCs/>
        </w:rPr>
        <w:t xml:space="preserve"> Булбанк АД и Банка ДСК ЕАД) са в размер на 30</w:t>
      </w:r>
      <w:r>
        <w:rPr>
          <w:bCs/>
        </w:rPr>
        <w:t>,</w:t>
      </w:r>
      <w:r w:rsidRPr="001C5579">
        <w:rPr>
          <w:bCs/>
        </w:rPr>
        <w:t>8 млн. лева.</w:t>
      </w:r>
    </w:p>
    <w:p w:rsidR="00FF2021" w:rsidRPr="009726B1" w:rsidRDefault="00FF2021" w:rsidP="00FF2021">
      <w:pPr>
        <w:spacing w:before="120"/>
        <w:ind w:firstLine="686"/>
        <w:jc w:val="both"/>
        <w:rPr>
          <w:b/>
          <w:bCs/>
        </w:rPr>
      </w:pPr>
      <w:r w:rsidRPr="009726B1">
        <w:rPr>
          <w:b/>
          <w:bCs/>
        </w:rPr>
        <w:t xml:space="preserve">Структурни и </w:t>
      </w:r>
      <w:proofErr w:type="spellStart"/>
      <w:r w:rsidRPr="009726B1">
        <w:rPr>
          <w:b/>
          <w:bCs/>
        </w:rPr>
        <w:t>Кохезионен</w:t>
      </w:r>
      <w:proofErr w:type="spellEnd"/>
      <w:r w:rsidRPr="009726B1">
        <w:rPr>
          <w:b/>
          <w:bCs/>
        </w:rPr>
        <w:t xml:space="preserve"> фондове </w:t>
      </w:r>
      <w:r w:rsidRPr="009726B1">
        <w:rPr>
          <w:b/>
          <w:snapToGrid w:val="0"/>
        </w:rPr>
        <w:t>(СКФ) 2007 – 2013 г.</w:t>
      </w:r>
    </w:p>
    <w:p w:rsidR="00FF2021" w:rsidRPr="009726B1" w:rsidRDefault="00FF2021" w:rsidP="00FF2021">
      <w:pPr>
        <w:ind w:firstLine="684"/>
        <w:jc w:val="both"/>
      </w:pPr>
      <w:r w:rsidRPr="009726B1">
        <w:rPr>
          <w:bCs/>
          <w:lang w:eastAsia="bg-BG"/>
        </w:rPr>
        <w:tab/>
      </w:r>
      <w:r w:rsidRPr="009726B1">
        <w:t>Направените разходи (нето) по Оперативни програми и трансферите (нето) към бюджетни организации за периода са в размер на 6</w:t>
      </w:r>
      <w:r>
        <w:t>,</w:t>
      </w:r>
      <w:r w:rsidRPr="009726B1">
        <w:t>0 млн. лева.</w:t>
      </w:r>
    </w:p>
    <w:p w:rsidR="00FF2021" w:rsidRPr="009726B1" w:rsidRDefault="00FF2021" w:rsidP="00FF2021">
      <w:pPr>
        <w:tabs>
          <w:tab w:val="num" w:pos="0"/>
        </w:tabs>
        <w:ind w:firstLine="737"/>
        <w:jc w:val="both"/>
        <w:rPr>
          <w:bCs/>
          <w:lang w:eastAsia="bg-BG"/>
        </w:rPr>
      </w:pPr>
      <w:r w:rsidRPr="009726B1">
        <w:rPr>
          <w:bCs/>
          <w:lang w:eastAsia="bg-BG"/>
        </w:rPr>
        <w:t>През отчетния период е възстановено авансово финансиране в размер на 12</w:t>
      </w:r>
      <w:r>
        <w:rPr>
          <w:bCs/>
          <w:lang w:eastAsia="bg-BG"/>
        </w:rPr>
        <w:t>,</w:t>
      </w:r>
      <w:r w:rsidRPr="009726B1">
        <w:rPr>
          <w:bCs/>
          <w:lang w:eastAsia="bg-BG"/>
        </w:rPr>
        <w:t>4 млн.</w:t>
      </w:r>
      <w:r>
        <w:rPr>
          <w:bCs/>
          <w:lang w:eastAsia="bg-BG"/>
        </w:rPr>
        <w:t> </w:t>
      </w:r>
      <w:r w:rsidRPr="009726B1">
        <w:rPr>
          <w:bCs/>
          <w:lang w:eastAsia="bg-BG"/>
        </w:rPr>
        <w:t>л</w:t>
      </w:r>
      <w:r>
        <w:rPr>
          <w:bCs/>
          <w:lang w:eastAsia="bg-BG"/>
        </w:rPr>
        <w:t>е</w:t>
      </w:r>
      <w:r w:rsidRPr="009726B1">
        <w:rPr>
          <w:bCs/>
          <w:lang w:eastAsia="bg-BG"/>
        </w:rPr>
        <w:t>в</w:t>
      </w:r>
      <w:r>
        <w:rPr>
          <w:bCs/>
          <w:lang w:eastAsia="bg-BG"/>
        </w:rPr>
        <w:t>а</w:t>
      </w:r>
      <w:r w:rsidRPr="009726B1">
        <w:rPr>
          <w:bCs/>
          <w:lang w:eastAsia="bg-BG"/>
        </w:rPr>
        <w:t xml:space="preserve">. </w:t>
      </w:r>
    </w:p>
    <w:p w:rsidR="00FF2021" w:rsidRPr="00C87706" w:rsidRDefault="00FF2021" w:rsidP="00FF2021">
      <w:pPr>
        <w:tabs>
          <w:tab w:val="left" w:pos="570"/>
          <w:tab w:val="num" w:pos="741"/>
        </w:tabs>
        <w:spacing w:before="120"/>
        <w:jc w:val="both"/>
        <w:rPr>
          <w:b/>
          <w:bCs/>
        </w:rPr>
      </w:pPr>
      <w:r w:rsidRPr="005D009A">
        <w:rPr>
          <w:color w:val="0070C0"/>
        </w:rPr>
        <w:tab/>
        <w:t xml:space="preserve"> </w:t>
      </w:r>
      <w:r w:rsidRPr="00C87706">
        <w:rPr>
          <w:b/>
          <w:bCs/>
        </w:rPr>
        <w:t xml:space="preserve">Европейски фонд за регионално развитие, Европейски социален фонд (включително Инициативата за младежка заетост), </w:t>
      </w:r>
      <w:proofErr w:type="spellStart"/>
      <w:r w:rsidRPr="00C87706">
        <w:rPr>
          <w:b/>
          <w:bCs/>
        </w:rPr>
        <w:t>Кохезионния</w:t>
      </w:r>
      <w:proofErr w:type="spellEnd"/>
      <w:r w:rsidRPr="00C87706">
        <w:rPr>
          <w:b/>
          <w:bCs/>
        </w:rPr>
        <w:t xml:space="preserve"> фонд и ФЕПНЛ на Европейския съюз за финансова рамка 2014 – 2020 г.</w:t>
      </w:r>
    </w:p>
    <w:p w:rsidR="00FF2021" w:rsidRPr="00C87706" w:rsidRDefault="00FF2021" w:rsidP="00FF2021">
      <w:pPr>
        <w:tabs>
          <w:tab w:val="left" w:pos="570"/>
          <w:tab w:val="num" w:pos="741"/>
        </w:tabs>
        <w:jc w:val="both"/>
        <w:rPr>
          <w:bCs/>
        </w:rPr>
      </w:pPr>
      <w:r w:rsidRPr="00C87706">
        <w:tab/>
      </w:r>
      <w:r w:rsidRPr="00C87706">
        <w:rPr>
          <w:bCs/>
        </w:rPr>
        <w:t>Общо получените средства за периода са в размер на 462</w:t>
      </w:r>
      <w:r>
        <w:rPr>
          <w:bCs/>
        </w:rPr>
        <w:t>,</w:t>
      </w:r>
      <w:r w:rsidRPr="00C87706">
        <w:rPr>
          <w:bCs/>
        </w:rPr>
        <w:t>4 млн. лв., включващи</w:t>
      </w:r>
      <w:r w:rsidRPr="00C87706">
        <w:t xml:space="preserve"> годишни аванси и възстановени средства от ЕК и са разпределени както следва:</w:t>
      </w:r>
    </w:p>
    <w:p w:rsidR="00FF2021" w:rsidRPr="00996DC3" w:rsidRDefault="00FF2021" w:rsidP="00FF2021">
      <w:pPr>
        <w:numPr>
          <w:ilvl w:val="0"/>
          <w:numId w:val="12"/>
        </w:numPr>
        <w:tabs>
          <w:tab w:val="num" w:pos="786"/>
        </w:tabs>
        <w:ind w:left="737" w:hanging="357"/>
        <w:jc w:val="both"/>
        <w:rPr>
          <w:bCs/>
          <w:lang w:eastAsia="bg-BG"/>
        </w:rPr>
      </w:pPr>
      <w:r w:rsidRPr="00996DC3">
        <w:rPr>
          <w:bCs/>
          <w:lang w:eastAsia="bg-BG"/>
        </w:rPr>
        <w:t>ОП „Иновации и конкурентоспособност” – 131</w:t>
      </w:r>
      <w:r>
        <w:rPr>
          <w:bCs/>
          <w:lang w:eastAsia="bg-BG"/>
        </w:rPr>
        <w:t>,</w:t>
      </w:r>
      <w:r w:rsidRPr="00996DC3">
        <w:rPr>
          <w:bCs/>
          <w:lang w:eastAsia="bg-BG"/>
        </w:rPr>
        <w:t xml:space="preserve">8 млн. лв.;  </w:t>
      </w:r>
    </w:p>
    <w:p w:rsidR="00FF2021" w:rsidRPr="00996DC3" w:rsidRDefault="00FF2021" w:rsidP="00FF2021">
      <w:pPr>
        <w:numPr>
          <w:ilvl w:val="0"/>
          <w:numId w:val="12"/>
        </w:numPr>
        <w:tabs>
          <w:tab w:val="num" w:pos="786"/>
        </w:tabs>
        <w:ind w:left="737" w:hanging="357"/>
        <w:jc w:val="both"/>
        <w:rPr>
          <w:bCs/>
          <w:lang w:eastAsia="bg-BG"/>
        </w:rPr>
      </w:pPr>
      <w:r w:rsidRPr="00996DC3">
        <w:rPr>
          <w:bCs/>
          <w:lang w:eastAsia="bg-BG"/>
        </w:rPr>
        <w:t>ОП „Добро управление” – 6</w:t>
      </w:r>
      <w:r>
        <w:rPr>
          <w:bCs/>
          <w:lang w:eastAsia="bg-BG"/>
        </w:rPr>
        <w:t>,3</w:t>
      </w:r>
      <w:r w:rsidRPr="00996DC3">
        <w:rPr>
          <w:bCs/>
          <w:lang w:eastAsia="bg-BG"/>
        </w:rPr>
        <w:t xml:space="preserve"> млн. лв.;</w:t>
      </w:r>
    </w:p>
    <w:p w:rsidR="00FF2021" w:rsidRDefault="00FF2021" w:rsidP="00FF2021">
      <w:pPr>
        <w:numPr>
          <w:ilvl w:val="0"/>
          <w:numId w:val="12"/>
        </w:numPr>
        <w:tabs>
          <w:tab w:val="num" w:pos="786"/>
        </w:tabs>
        <w:ind w:left="737" w:hanging="357"/>
        <w:jc w:val="both"/>
        <w:rPr>
          <w:bCs/>
          <w:lang w:eastAsia="bg-BG"/>
        </w:rPr>
      </w:pPr>
      <w:r w:rsidRPr="00996DC3">
        <w:rPr>
          <w:bCs/>
          <w:lang w:eastAsia="bg-BG"/>
        </w:rPr>
        <w:t>ОП „Транспорт и транспортна инфраструктура” – 96</w:t>
      </w:r>
      <w:r>
        <w:rPr>
          <w:bCs/>
          <w:lang w:eastAsia="bg-BG"/>
        </w:rPr>
        <w:t>,</w:t>
      </w:r>
      <w:r w:rsidRPr="00996DC3">
        <w:rPr>
          <w:bCs/>
          <w:lang w:eastAsia="bg-BG"/>
        </w:rPr>
        <w:t>4 млн. лв.;</w:t>
      </w:r>
    </w:p>
    <w:p w:rsidR="00FF2021" w:rsidRPr="00996DC3" w:rsidRDefault="00FF2021" w:rsidP="00FF2021">
      <w:pPr>
        <w:numPr>
          <w:ilvl w:val="0"/>
          <w:numId w:val="12"/>
        </w:numPr>
        <w:tabs>
          <w:tab w:val="num" w:pos="786"/>
        </w:tabs>
        <w:ind w:left="737" w:hanging="357"/>
        <w:jc w:val="both"/>
        <w:rPr>
          <w:bCs/>
          <w:lang w:eastAsia="bg-BG"/>
        </w:rPr>
      </w:pPr>
      <w:r w:rsidRPr="002522B4">
        <w:rPr>
          <w:bCs/>
          <w:lang w:eastAsia="bg-BG"/>
        </w:rPr>
        <w:t xml:space="preserve">ОП „Околна среда 2014 – 2020 г.“ – </w:t>
      </w:r>
      <w:r>
        <w:rPr>
          <w:bCs/>
          <w:lang w:eastAsia="bg-BG"/>
        </w:rPr>
        <w:t>42,2</w:t>
      </w:r>
      <w:r w:rsidRPr="002522B4">
        <w:rPr>
          <w:bCs/>
          <w:lang w:eastAsia="bg-BG"/>
        </w:rPr>
        <w:t xml:space="preserve"> млн. лв.;</w:t>
      </w:r>
    </w:p>
    <w:p w:rsidR="00FF2021" w:rsidRPr="00996DC3" w:rsidRDefault="00FF2021" w:rsidP="00FF2021">
      <w:pPr>
        <w:numPr>
          <w:ilvl w:val="0"/>
          <w:numId w:val="12"/>
        </w:numPr>
        <w:tabs>
          <w:tab w:val="num" w:pos="786"/>
        </w:tabs>
        <w:ind w:left="737" w:hanging="357"/>
        <w:jc w:val="both"/>
        <w:rPr>
          <w:bCs/>
          <w:lang w:eastAsia="bg-BG"/>
        </w:rPr>
      </w:pPr>
      <w:r w:rsidRPr="00996DC3">
        <w:rPr>
          <w:bCs/>
          <w:lang w:eastAsia="bg-BG"/>
        </w:rPr>
        <w:t>ОП „Развитие на човешките ресурси 2014 - 2020 г.” – 63</w:t>
      </w:r>
      <w:r>
        <w:rPr>
          <w:bCs/>
          <w:lang w:eastAsia="bg-BG"/>
        </w:rPr>
        <w:t>,</w:t>
      </w:r>
      <w:r w:rsidRPr="00996DC3">
        <w:rPr>
          <w:bCs/>
          <w:lang w:eastAsia="bg-BG"/>
        </w:rPr>
        <w:t>6 млн. лв.;</w:t>
      </w:r>
    </w:p>
    <w:p w:rsidR="00FF2021" w:rsidRDefault="00FF2021" w:rsidP="00FF2021">
      <w:pPr>
        <w:numPr>
          <w:ilvl w:val="0"/>
          <w:numId w:val="12"/>
        </w:numPr>
        <w:tabs>
          <w:tab w:val="num" w:pos="786"/>
        </w:tabs>
        <w:ind w:left="737" w:hanging="357"/>
        <w:jc w:val="both"/>
        <w:rPr>
          <w:bCs/>
          <w:lang w:eastAsia="bg-BG"/>
        </w:rPr>
      </w:pPr>
      <w:r w:rsidRPr="002522B4">
        <w:rPr>
          <w:bCs/>
          <w:lang w:eastAsia="bg-BG"/>
        </w:rPr>
        <w:t>Инициативата за младежка заетост – 12</w:t>
      </w:r>
      <w:r>
        <w:rPr>
          <w:bCs/>
          <w:lang w:eastAsia="bg-BG"/>
        </w:rPr>
        <w:t>,</w:t>
      </w:r>
      <w:r w:rsidRPr="002522B4">
        <w:rPr>
          <w:bCs/>
          <w:lang w:eastAsia="bg-BG"/>
        </w:rPr>
        <w:t>4 млн. лв.;</w:t>
      </w:r>
    </w:p>
    <w:p w:rsidR="00FF2021" w:rsidRDefault="00FF2021" w:rsidP="00FF2021">
      <w:pPr>
        <w:numPr>
          <w:ilvl w:val="0"/>
          <w:numId w:val="12"/>
        </w:numPr>
        <w:tabs>
          <w:tab w:val="num" w:pos="786"/>
        </w:tabs>
        <w:ind w:left="737" w:hanging="357"/>
        <w:jc w:val="both"/>
        <w:rPr>
          <w:bCs/>
          <w:lang w:eastAsia="bg-BG"/>
        </w:rPr>
      </w:pPr>
      <w:r w:rsidRPr="002522B4">
        <w:rPr>
          <w:bCs/>
          <w:lang w:eastAsia="bg-BG"/>
        </w:rPr>
        <w:t xml:space="preserve">ОП „Региони в растеж“ – </w:t>
      </w:r>
      <w:r>
        <w:rPr>
          <w:bCs/>
          <w:lang w:eastAsia="bg-BG"/>
        </w:rPr>
        <w:t>77,4</w:t>
      </w:r>
      <w:r w:rsidRPr="002522B4">
        <w:rPr>
          <w:bCs/>
          <w:lang w:eastAsia="bg-BG"/>
        </w:rPr>
        <w:t xml:space="preserve"> млн. лв.;</w:t>
      </w:r>
    </w:p>
    <w:p w:rsidR="00FF2021" w:rsidRPr="002522B4" w:rsidRDefault="00FF2021" w:rsidP="00FF2021">
      <w:pPr>
        <w:numPr>
          <w:ilvl w:val="0"/>
          <w:numId w:val="12"/>
        </w:numPr>
        <w:tabs>
          <w:tab w:val="num" w:pos="786"/>
        </w:tabs>
        <w:ind w:left="737" w:hanging="357"/>
        <w:jc w:val="both"/>
        <w:rPr>
          <w:bCs/>
          <w:lang w:eastAsia="bg-BG"/>
        </w:rPr>
      </w:pPr>
      <w:r w:rsidRPr="009D02B0">
        <w:rPr>
          <w:bCs/>
          <w:lang w:eastAsia="bg-BG"/>
        </w:rPr>
        <w:t>ОП „Инициатива за малки и средни предприятия 2014-2020“ – 1</w:t>
      </w:r>
      <w:r>
        <w:rPr>
          <w:bCs/>
          <w:lang w:eastAsia="bg-BG"/>
        </w:rPr>
        <w:t>8,9</w:t>
      </w:r>
      <w:r w:rsidRPr="009D02B0">
        <w:rPr>
          <w:bCs/>
          <w:lang w:eastAsia="bg-BG"/>
        </w:rPr>
        <w:t xml:space="preserve"> млн. лв.</w:t>
      </w:r>
      <w:r>
        <w:rPr>
          <w:bCs/>
          <w:lang w:eastAsia="bg-BG"/>
        </w:rPr>
        <w:t>;</w:t>
      </w:r>
    </w:p>
    <w:p w:rsidR="00FF2021" w:rsidRPr="002522B4" w:rsidRDefault="00FF2021" w:rsidP="00FF2021">
      <w:pPr>
        <w:numPr>
          <w:ilvl w:val="0"/>
          <w:numId w:val="12"/>
        </w:numPr>
        <w:tabs>
          <w:tab w:val="num" w:pos="786"/>
        </w:tabs>
        <w:ind w:left="737" w:hanging="357"/>
        <w:jc w:val="both"/>
        <w:rPr>
          <w:bCs/>
          <w:lang w:eastAsia="bg-BG"/>
        </w:rPr>
      </w:pPr>
      <w:r w:rsidRPr="002522B4">
        <w:rPr>
          <w:bCs/>
          <w:lang w:eastAsia="bg-BG"/>
        </w:rPr>
        <w:t>ОП за храни и/или основно материално подпомагане от Фонда за европейско подпомагане на най-нуждаещите се лица в България за периода 2014 – 2020 г. – 12</w:t>
      </w:r>
      <w:r>
        <w:rPr>
          <w:bCs/>
          <w:lang w:eastAsia="bg-BG"/>
        </w:rPr>
        <w:t>,</w:t>
      </w:r>
      <w:r w:rsidRPr="002522B4">
        <w:rPr>
          <w:bCs/>
          <w:lang w:eastAsia="bg-BG"/>
        </w:rPr>
        <w:t>8 млн. лв. и</w:t>
      </w:r>
    </w:p>
    <w:p w:rsidR="00FF2021" w:rsidRPr="00FE2309" w:rsidRDefault="00FF2021" w:rsidP="00FF2021">
      <w:pPr>
        <w:numPr>
          <w:ilvl w:val="0"/>
          <w:numId w:val="12"/>
        </w:numPr>
        <w:tabs>
          <w:tab w:val="num" w:pos="786"/>
        </w:tabs>
        <w:ind w:left="786"/>
        <w:jc w:val="both"/>
        <w:rPr>
          <w:bCs/>
          <w:lang w:eastAsia="bg-BG"/>
        </w:rPr>
      </w:pPr>
      <w:r w:rsidRPr="00FE2309">
        <w:rPr>
          <w:bCs/>
          <w:lang w:eastAsia="bg-BG"/>
        </w:rPr>
        <w:t>ОП „Наука и образование за интелигентен растеж” – 0</w:t>
      </w:r>
      <w:r>
        <w:rPr>
          <w:bCs/>
          <w:lang w:eastAsia="bg-BG"/>
        </w:rPr>
        <w:t>,</w:t>
      </w:r>
      <w:r w:rsidRPr="00FE2309">
        <w:rPr>
          <w:bCs/>
          <w:lang w:eastAsia="bg-BG"/>
        </w:rPr>
        <w:t>6 млн. л</w:t>
      </w:r>
      <w:r w:rsidR="002B2EF8">
        <w:rPr>
          <w:bCs/>
          <w:lang w:eastAsia="bg-BG"/>
        </w:rPr>
        <w:t>е</w:t>
      </w:r>
      <w:r w:rsidRPr="00FE2309">
        <w:rPr>
          <w:bCs/>
          <w:lang w:eastAsia="bg-BG"/>
        </w:rPr>
        <w:t>в</w:t>
      </w:r>
      <w:r w:rsidR="002B2EF8">
        <w:rPr>
          <w:bCs/>
          <w:lang w:eastAsia="bg-BG"/>
        </w:rPr>
        <w:t>а</w:t>
      </w:r>
      <w:r w:rsidRPr="00FE2309">
        <w:rPr>
          <w:bCs/>
          <w:lang w:eastAsia="bg-BG"/>
        </w:rPr>
        <w:t>.</w:t>
      </w:r>
    </w:p>
    <w:p w:rsidR="00FF2021" w:rsidRPr="00E1683E" w:rsidRDefault="00FF2021" w:rsidP="00FF2021">
      <w:pPr>
        <w:ind w:firstLine="686"/>
        <w:jc w:val="both"/>
        <w:rPr>
          <w:bCs/>
        </w:rPr>
      </w:pPr>
      <w:r w:rsidRPr="005D009A">
        <w:rPr>
          <w:bCs/>
          <w:color w:val="0070C0"/>
          <w:lang w:eastAsia="bg-BG"/>
        </w:rPr>
        <w:tab/>
      </w:r>
      <w:r w:rsidRPr="00E1683E">
        <w:rPr>
          <w:bCs/>
        </w:rPr>
        <w:t xml:space="preserve">Направените разходи (нето) по Оперативни програми и трансферите (нето) към бюджетни организации и операции с активи за първото </w:t>
      </w:r>
      <w:r w:rsidR="002B2EF8">
        <w:rPr>
          <w:bCs/>
        </w:rPr>
        <w:t>полугодие</w:t>
      </w:r>
      <w:r w:rsidRPr="00E1683E">
        <w:rPr>
          <w:bCs/>
        </w:rPr>
        <w:t xml:space="preserve"> на годината са в размер на 827</w:t>
      </w:r>
      <w:r>
        <w:rPr>
          <w:bCs/>
        </w:rPr>
        <w:t>,</w:t>
      </w:r>
      <w:r w:rsidRPr="00E1683E">
        <w:rPr>
          <w:bCs/>
        </w:rPr>
        <w:t>2 млн. лв., като разпределението по Оперативни програми е следното:</w:t>
      </w:r>
    </w:p>
    <w:p w:rsidR="00FF2021" w:rsidRPr="00047C54" w:rsidRDefault="00FF2021" w:rsidP="00FF2021">
      <w:pPr>
        <w:numPr>
          <w:ilvl w:val="0"/>
          <w:numId w:val="12"/>
        </w:numPr>
        <w:tabs>
          <w:tab w:val="num" w:pos="786"/>
        </w:tabs>
        <w:ind w:left="786"/>
        <w:jc w:val="both"/>
        <w:rPr>
          <w:bCs/>
        </w:rPr>
      </w:pPr>
      <w:r w:rsidRPr="00047C54">
        <w:rPr>
          <w:bCs/>
          <w:lang w:eastAsia="bg-BG"/>
        </w:rPr>
        <w:t>ОП</w:t>
      </w:r>
      <w:r w:rsidRPr="00047C54">
        <w:rPr>
          <w:bCs/>
        </w:rPr>
        <w:t xml:space="preserve"> „Развитие на човешките ресурси 2014 - 2020 г.” – 136</w:t>
      </w:r>
      <w:r>
        <w:rPr>
          <w:bCs/>
        </w:rPr>
        <w:t>,</w:t>
      </w:r>
      <w:r w:rsidRPr="00047C54">
        <w:rPr>
          <w:bCs/>
        </w:rPr>
        <w:t>6 млн. лв.;</w:t>
      </w:r>
    </w:p>
    <w:p w:rsidR="00FF2021" w:rsidRPr="00047C54" w:rsidRDefault="00FF2021" w:rsidP="00FF2021">
      <w:pPr>
        <w:numPr>
          <w:ilvl w:val="0"/>
          <w:numId w:val="12"/>
        </w:numPr>
        <w:tabs>
          <w:tab w:val="num" w:pos="786"/>
        </w:tabs>
        <w:ind w:left="786"/>
        <w:jc w:val="both"/>
        <w:rPr>
          <w:bCs/>
        </w:rPr>
      </w:pPr>
      <w:r w:rsidRPr="00047C54">
        <w:rPr>
          <w:bCs/>
        </w:rPr>
        <w:t>Инициативата за младежка заетост – 23</w:t>
      </w:r>
      <w:r>
        <w:rPr>
          <w:bCs/>
        </w:rPr>
        <w:t>,</w:t>
      </w:r>
      <w:r w:rsidRPr="00047C54">
        <w:rPr>
          <w:bCs/>
        </w:rPr>
        <w:t>3 млн. лв.;</w:t>
      </w:r>
    </w:p>
    <w:p w:rsidR="00FF2021" w:rsidRPr="00047C54" w:rsidRDefault="00FF2021" w:rsidP="00FF2021">
      <w:pPr>
        <w:numPr>
          <w:ilvl w:val="0"/>
          <w:numId w:val="12"/>
        </w:numPr>
        <w:tabs>
          <w:tab w:val="num" w:pos="786"/>
        </w:tabs>
        <w:ind w:left="786"/>
        <w:jc w:val="both"/>
        <w:rPr>
          <w:bCs/>
        </w:rPr>
      </w:pPr>
      <w:r w:rsidRPr="00047C54">
        <w:rPr>
          <w:bCs/>
        </w:rPr>
        <w:t>ОП за храни и/или основно материално подпомагане от Фонда за европейско подпомагане на най-нуждаещите се лица в България за периода 2014 – 2020 г. – 19</w:t>
      </w:r>
      <w:r>
        <w:rPr>
          <w:bCs/>
        </w:rPr>
        <w:t>,</w:t>
      </w:r>
      <w:r w:rsidRPr="00047C54">
        <w:rPr>
          <w:bCs/>
        </w:rPr>
        <w:t>3 млн. лева;</w:t>
      </w:r>
    </w:p>
    <w:p w:rsidR="00FF2021" w:rsidRDefault="00FF2021" w:rsidP="00FF2021">
      <w:pPr>
        <w:numPr>
          <w:ilvl w:val="0"/>
          <w:numId w:val="12"/>
        </w:numPr>
        <w:tabs>
          <w:tab w:val="num" w:pos="786"/>
        </w:tabs>
        <w:ind w:left="737" w:hanging="357"/>
        <w:jc w:val="both"/>
        <w:rPr>
          <w:bCs/>
        </w:rPr>
      </w:pPr>
      <w:r w:rsidRPr="00047C54">
        <w:rPr>
          <w:bCs/>
        </w:rPr>
        <w:t>ОП „Иновации и конкурентоспособност” – 163</w:t>
      </w:r>
      <w:r>
        <w:rPr>
          <w:bCs/>
        </w:rPr>
        <w:t>,</w:t>
      </w:r>
      <w:r w:rsidRPr="00047C54">
        <w:rPr>
          <w:bCs/>
        </w:rPr>
        <w:t>0 млн. лв.;</w:t>
      </w:r>
    </w:p>
    <w:p w:rsidR="00FF2021" w:rsidRPr="00047C54" w:rsidRDefault="00FF2021" w:rsidP="00FF2021">
      <w:pPr>
        <w:numPr>
          <w:ilvl w:val="0"/>
          <w:numId w:val="12"/>
        </w:numPr>
        <w:tabs>
          <w:tab w:val="num" w:pos="786"/>
        </w:tabs>
        <w:ind w:left="737" w:hanging="357"/>
        <w:jc w:val="both"/>
        <w:rPr>
          <w:bCs/>
        </w:rPr>
      </w:pPr>
      <w:r w:rsidRPr="00047C54">
        <w:rPr>
          <w:bCs/>
        </w:rPr>
        <w:t>ОП „Инициатива за малки и средни предприятия 2014-2020“ – 1</w:t>
      </w:r>
      <w:r>
        <w:rPr>
          <w:bCs/>
        </w:rPr>
        <w:t>3,0</w:t>
      </w:r>
      <w:r w:rsidRPr="00047C54">
        <w:rPr>
          <w:bCs/>
        </w:rPr>
        <w:t xml:space="preserve"> млн. лв.;</w:t>
      </w:r>
    </w:p>
    <w:p w:rsidR="00FF2021" w:rsidRPr="00920187" w:rsidRDefault="00FF2021" w:rsidP="00FF2021">
      <w:pPr>
        <w:numPr>
          <w:ilvl w:val="0"/>
          <w:numId w:val="12"/>
        </w:numPr>
        <w:tabs>
          <w:tab w:val="num" w:pos="786"/>
        </w:tabs>
        <w:ind w:left="737" w:hanging="357"/>
        <w:jc w:val="both"/>
        <w:rPr>
          <w:bCs/>
        </w:rPr>
      </w:pPr>
      <w:r w:rsidRPr="00920187">
        <w:rPr>
          <w:bCs/>
        </w:rPr>
        <w:t>ОП „Добро управление” – 24</w:t>
      </w:r>
      <w:r>
        <w:rPr>
          <w:bCs/>
        </w:rPr>
        <w:t>,3</w:t>
      </w:r>
      <w:r w:rsidRPr="00920187">
        <w:rPr>
          <w:bCs/>
        </w:rPr>
        <w:t xml:space="preserve"> млн. лв.;</w:t>
      </w:r>
    </w:p>
    <w:p w:rsidR="00FF2021" w:rsidRPr="00920187" w:rsidRDefault="00FF2021" w:rsidP="00FF2021">
      <w:pPr>
        <w:numPr>
          <w:ilvl w:val="0"/>
          <w:numId w:val="12"/>
        </w:numPr>
        <w:tabs>
          <w:tab w:val="num" w:pos="786"/>
        </w:tabs>
        <w:ind w:left="737" w:hanging="357"/>
        <w:jc w:val="both"/>
        <w:rPr>
          <w:bCs/>
        </w:rPr>
      </w:pPr>
      <w:r w:rsidRPr="00920187">
        <w:rPr>
          <w:bCs/>
        </w:rPr>
        <w:t>ОП „Региони в растеж“ – 164</w:t>
      </w:r>
      <w:r>
        <w:rPr>
          <w:bCs/>
        </w:rPr>
        <w:t>,</w:t>
      </w:r>
      <w:r w:rsidRPr="00920187">
        <w:rPr>
          <w:bCs/>
        </w:rPr>
        <w:t>2 млн. лв.;</w:t>
      </w:r>
    </w:p>
    <w:p w:rsidR="00FF2021" w:rsidRPr="00920187" w:rsidRDefault="00FF2021" w:rsidP="00FF2021">
      <w:pPr>
        <w:numPr>
          <w:ilvl w:val="0"/>
          <w:numId w:val="12"/>
        </w:numPr>
        <w:tabs>
          <w:tab w:val="num" w:pos="786"/>
        </w:tabs>
        <w:ind w:left="737" w:hanging="357"/>
        <w:jc w:val="both"/>
        <w:rPr>
          <w:bCs/>
        </w:rPr>
      </w:pPr>
      <w:r w:rsidRPr="00920187">
        <w:rPr>
          <w:bCs/>
          <w:lang w:eastAsia="bg-BG"/>
        </w:rPr>
        <w:t>ОП „Транспорт и транспортна инфраструктура” – 162</w:t>
      </w:r>
      <w:r>
        <w:rPr>
          <w:bCs/>
          <w:lang w:eastAsia="bg-BG"/>
        </w:rPr>
        <w:t>,</w:t>
      </w:r>
      <w:r w:rsidRPr="00920187">
        <w:rPr>
          <w:bCs/>
          <w:lang w:eastAsia="bg-BG"/>
        </w:rPr>
        <w:t>9 млн. лв.;</w:t>
      </w:r>
    </w:p>
    <w:p w:rsidR="00FF2021" w:rsidRPr="00920187" w:rsidRDefault="00FF2021" w:rsidP="00FF2021">
      <w:pPr>
        <w:numPr>
          <w:ilvl w:val="0"/>
          <w:numId w:val="12"/>
        </w:numPr>
        <w:tabs>
          <w:tab w:val="num" w:pos="786"/>
        </w:tabs>
        <w:ind w:left="737" w:hanging="357"/>
        <w:jc w:val="both"/>
        <w:rPr>
          <w:bCs/>
          <w:lang w:eastAsia="bg-BG"/>
        </w:rPr>
      </w:pPr>
      <w:r w:rsidRPr="00920187">
        <w:rPr>
          <w:bCs/>
          <w:lang w:eastAsia="bg-BG"/>
        </w:rPr>
        <w:t>ОП „Наука и образование за интелигентен растеж” – 44</w:t>
      </w:r>
      <w:r>
        <w:rPr>
          <w:bCs/>
          <w:lang w:eastAsia="bg-BG"/>
        </w:rPr>
        <w:t>,</w:t>
      </w:r>
      <w:r w:rsidRPr="00920187">
        <w:rPr>
          <w:bCs/>
          <w:lang w:eastAsia="bg-BG"/>
        </w:rPr>
        <w:t>9 млн. лв. и</w:t>
      </w:r>
    </w:p>
    <w:p w:rsidR="00FF2021" w:rsidRPr="00920187" w:rsidRDefault="00FF2021" w:rsidP="00FF2021">
      <w:pPr>
        <w:numPr>
          <w:ilvl w:val="0"/>
          <w:numId w:val="12"/>
        </w:numPr>
        <w:tabs>
          <w:tab w:val="num" w:pos="786"/>
        </w:tabs>
        <w:ind w:left="737" w:hanging="357"/>
        <w:jc w:val="both"/>
        <w:rPr>
          <w:bCs/>
          <w:lang w:eastAsia="bg-BG"/>
        </w:rPr>
      </w:pPr>
      <w:r w:rsidRPr="00920187">
        <w:rPr>
          <w:bCs/>
          <w:lang w:eastAsia="bg-BG"/>
        </w:rPr>
        <w:lastRenderedPageBreak/>
        <w:t>ОП „Околна среда 2014 – 2020 г.“ – 75</w:t>
      </w:r>
      <w:r>
        <w:rPr>
          <w:bCs/>
          <w:lang w:eastAsia="bg-BG"/>
        </w:rPr>
        <w:t>,</w:t>
      </w:r>
      <w:r w:rsidRPr="00920187">
        <w:rPr>
          <w:bCs/>
          <w:lang w:eastAsia="bg-BG"/>
        </w:rPr>
        <w:t>7 млн. л</w:t>
      </w:r>
      <w:r w:rsidR="00883A43">
        <w:rPr>
          <w:bCs/>
          <w:lang w:eastAsia="bg-BG"/>
        </w:rPr>
        <w:t>е</w:t>
      </w:r>
      <w:r w:rsidRPr="00920187">
        <w:rPr>
          <w:bCs/>
          <w:lang w:eastAsia="bg-BG"/>
        </w:rPr>
        <w:t>в</w:t>
      </w:r>
      <w:r w:rsidR="00883A43">
        <w:rPr>
          <w:bCs/>
          <w:lang w:eastAsia="bg-BG"/>
        </w:rPr>
        <w:t>а</w:t>
      </w:r>
      <w:r w:rsidRPr="00920187">
        <w:rPr>
          <w:bCs/>
          <w:lang w:eastAsia="bg-BG"/>
        </w:rPr>
        <w:t>.</w:t>
      </w:r>
    </w:p>
    <w:p w:rsidR="00FF2021" w:rsidRDefault="00FF2021" w:rsidP="00FF2021">
      <w:pPr>
        <w:ind w:firstLine="686"/>
        <w:jc w:val="both"/>
        <w:rPr>
          <w:bCs/>
          <w:lang w:eastAsia="bg-BG"/>
        </w:rPr>
      </w:pPr>
      <w:r w:rsidRPr="003348B7">
        <w:rPr>
          <w:bCs/>
          <w:lang w:eastAsia="bg-BG"/>
        </w:rPr>
        <w:t xml:space="preserve">Извършените разходи по авансовото финансиране за периода са в размер на </w:t>
      </w:r>
      <w:r>
        <w:rPr>
          <w:bCs/>
          <w:lang w:eastAsia="bg-BG"/>
        </w:rPr>
        <w:t>12,4</w:t>
      </w:r>
      <w:r w:rsidRPr="003348B7">
        <w:rPr>
          <w:bCs/>
          <w:lang w:eastAsia="bg-BG"/>
        </w:rPr>
        <w:t xml:space="preserve"> млн.</w:t>
      </w:r>
      <w:r w:rsidR="00883A43">
        <w:rPr>
          <w:bCs/>
          <w:lang w:eastAsia="bg-BG"/>
        </w:rPr>
        <w:t> </w:t>
      </w:r>
      <w:r w:rsidRPr="003348B7">
        <w:rPr>
          <w:bCs/>
          <w:lang w:eastAsia="bg-BG"/>
        </w:rPr>
        <w:t>л</w:t>
      </w:r>
      <w:r w:rsidR="00883A43">
        <w:rPr>
          <w:bCs/>
          <w:lang w:eastAsia="bg-BG"/>
        </w:rPr>
        <w:t>е</w:t>
      </w:r>
      <w:r w:rsidRPr="003348B7">
        <w:rPr>
          <w:bCs/>
          <w:lang w:eastAsia="bg-BG"/>
        </w:rPr>
        <w:t xml:space="preserve">ва, а възстановените средства </w:t>
      </w:r>
      <w:r>
        <w:rPr>
          <w:bCs/>
          <w:lang w:eastAsia="bg-BG"/>
        </w:rPr>
        <w:t>–</w:t>
      </w:r>
      <w:r w:rsidRPr="003348B7">
        <w:rPr>
          <w:bCs/>
          <w:lang w:eastAsia="bg-BG"/>
        </w:rPr>
        <w:t xml:space="preserve"> </w:t>
      </w:r>
      <w:r>
        <w:rPr>
          <w:bCs/>
          <w:lang w:eastAsia="bg-BG"/>
        </w:rPr>
        <w:t>52</w:t>
      </w:r>
      <w:r w:rsidR="00883A43">
        <w:rPr>
          <w:bCs/>
          <w:lang w:eastAsia="bg-BG"/>
        </w:rPr>
        <w:t>,</w:t>
      </w:r>
      <w:r>
        <w:rPr>
          <w:bCs/>
          <w:lang w:eastAsia="bg-BG"/>
        </w:rPr>
        <w:t xml:space="preserve">4 </w:t>
      </w:r>
      <w:r w:rsidRPr="003348B7">
        <w:rPr>
          <w:bCs/>
          <w:lang w:eastAsia="bg-BG"/>
        </w:rPr>
        <w:t>млн. л</w:t>
      </w:r>
      <w:r w:rsidR="00883A43">
        <w:rPr>
          <w:bCs/>
          <w:lang w:eastAsia="bg-BG"/>
        </w:rPr>
        <w:t>е</w:t>
      </w:r>
      <w:r w:rsidRPr="003348B7">
        <w:rPr>
          <w:bCs/>
          <w:lang w:eastAsia="bg-BG"/>
        </w:rPr>
        <w:t>в</w:t>
      </w:r>
      <w:r w:rsidR="00883A43">
        <w:rPr>
          <w:bCs/>
          <w:lang w:eastAsia="bg-BG"/>
        </w:rPr>
        <w:t>а</w:t>
      </w:r>
      <w:r w:rsidRPr="003348B7">
        <w:rPr>
          <w:bCs/>
          <w:lang w:eastAsia="bg-BG"/>
        </w:rPr>
        <w:t>.</w:t>
      </w:r>
    </w:p>
    <w:p w:rsidR="00FF2021" w:rsidRPr="00DA227F" w:rsidRDefault="00FF2021" w:rsidP="00FF2021">
      <w:pPr>
        <w:ind w:firstLine="686"/>
        <w:jc w:val="both"/>
        <w:rPr>
          <w:bCs/>
          <w:lang w:eastAsia="bg-BG"/>
        </w:rPr>
      </w:pPr>
      <w:r w:rsidRPr="00DA227F">
        <w:rPr>
          <w:bCs/>
          <w:lang w:eastAsia="bg-BG"/>
        </w:rPr>
        <w:t>Предоставена е възмездна финансова помощ в размер на 1</w:t>
      </w:r>
      <w:r w:rsidR="00883A43">
        <w:rPr>
          <w:bCs/>
          <w:lang w:eastAsia="bg-BG"/>
        </w:rPr>
        <w:t>,</w:t>
      </w:r>
      <w:r w:rsidRPr="00DA227F">
        <w:rPr>
          <w:bCs/>
          <w:lang w:eastAsia="bg-BG"/>
        </w:rPr>
        <w:t>4 млн. лева на ОП „Транспорт и транспортна инфраструктура” по реда на ДДС6/2011</w:t>
      </w:r>
      <w:r w:rsidR="00883A43">
        <w:rPr>
          <w:bCs/>
          <w:lang w:eastAsia="bg-BG"/>
        </w:rPr>
        <w:t xml:space="preserve"> </w:t>
      </w:r>
      <w:r w:rsidRPr="00DA227F">
        <w:rPr>
          <w:bCs/>
          <w:lang w:eastAsia="bg-BG"/>
        </w:rPr>
        <w:t xml:space="preserve">г. </w:t>
      </w:r>
    </w:p>
    <w:p w:rsidR="00FF2021" w:rsidRPr="00140934" w:rsidRDefault="00FF2021" w:rsidP="00FF2021">
      <w:pPr>
        <w:spacing w:before="120"/>
        <w:ind w:firstLine="629"/>
        <w:jc w:val="both"/>
        <w:rPr>
          <w:b/>
          <w:bCs/>
        </w:rPr>
      </w:pPr>
      <w:r w:rsidRPr="00DA227F">
        <w:rPr>
          <w:b/>
          <w:bCs/>
        </w:rPr>
        <w:t>Програма ФАР и Преходен финансов инструмент</w:t>
      </w:r>
    </w:p>
    <w:p w:rsidR="00FF2021" w:rsidRPr="00140934" w:rsidRDefault="00FF2021" w:rsidP="00FF2021">
      <w:pPr>
        <w:ind w:firstLine="629"/>
        <w:jc w:val="both"/>
        <w:rPr>
          <w:bCs/>
          <w:lang w:eastAsia="bg-BG"/>
        </w:rPr>
      </w:pPr>
      <w:r w:rsidRPr="00140934">
        <w:rPr>
          <w:snapToGrid w:val="0"/>
        </w:rPr>
        <w:t xml:space="preserve">През отчетния период </w:t>
      </w:r>
      <w:r w:rsidRPr="00140934">
        <w:rPr>
          <w:bCs/>
          <w:lang w:eastAsia="bg-BG"/>
        </w:rPr>
        <w:t xml:space="preserve">са </w:t>
      </w:r>
      <w:r w:rsidRPr="00140934">
        <w:rPr>
          <w:snapToGrid w:val="0"/>
        </w:rPr>
        <w:t>постъпили възстановени суми от бенефициенти по сметките на Национален фонд в размер на 0</w:t>
      </w:r>
      <w:r w:rsidR="002B2EF8">
        <w:rPr>
          <w:snapToGrid w:val="0"/>
        </w:rPr>
        <w:t>,</w:t>
      </w:r>
      <w:r w:rsidRPr="00140934">
        <w:rPr>
          <w:snapToGrid w:val="0"/>
        </w:rPr>
        <w:t>02</w:t>
      </w:r>
      <w:r w:rsidRPr="00140934">
        <w:rPr>
          <w:bCs/>
          <w:lang w:eastAsia="bg-BG"/>
        </w:rPr>
        <w:t xml:space="preserve"> млн. л</w:t>
      </w:r>
      <w:r w:rsidR="002B2EF8">
        <w:rPr>
          <w:bCs/>
          <w:lang w:eastAsia="bg-BG"/>
        </w:rPr>
        <w:t>е</w:t>
      </w:r>
      <w:r w:rsidRPr="00140934">
        <w:rPr>
          <w:bCs/>
          <w:lang w:eastAsia="bg-BG"/>
        </w:rPr>
        <w:t>в</w:t>
      </w:r>
      <w:r w:rsidR="002B2EF8">
        <w:rPr>
          <w:bCs/>
          <w:lang w:eastAsia="bg-BG"/>
        </w:rPr>
        <w:t>а</w:t>
      </w:r>
      <w:r w:rsidRPr="00140934">
        <w:rPr>
          <w:bCs/>
          <w:lang w:eastAsia="bg-BG"/>
        </w:rPr>
        <w:t>.</w:t>
      </w:r>
    </w:p>
    <w:p w:rsidR="00FF2021" w:rsidRPr="005D009A" w:rsidRDefault="00FF2021" w:rsidP="00FF2021">
      <w:pPr>
        <w:ind w:firstLine="629"/>
        <w:jc w:val="both"/>
        <w:rPr>
          <w:bCs/>
          <w:color w:val="0070C0"/>
          <w:lang w:eastAsia="bg-BG"/>
        </w:rPr>
      </w:pPr>
      <w:r w:rsidRPr="00140934">
        <w:rPr>
          <w:bCs/>
          <w:lang w:eastAsia="bg-BG"/>
        </w:rPr>
        <w:t>Възстановените средства към ЕК за периода са в размер на 1</w:t>
      </w:r>
      <w:r w:rsidR="002B2EF8">
        <w:rPr>
          <w:bCs/>
          <w:lang w:eastAsia="bg-BG"/>
        </w:rPr>
        <w:t>,</w:t>
      </w:r>
      <w:r w:rsidRPr="00140934">
        <w:rPr>
          <w:bCs/>
          <w:lang w:eastAsia="bg-BG"/>
        </w:rPr>
        <w:t>9 млн. л</w:t>
      </w:r>
      <w:r w:rsidR="002B2EF8">
        <w:rPr>
          <w:bCs/>
          <w:lang w:eastAsia="bg-BG"/>
        </w:rPr>
        <w:t>е</w:t>
      </w:r>
      <w:r w:rsidRPr="00140934">
        <w:rPr>
          <w:bCs/>
          <w:lang w:eastAsia="bg-BG"/>
        </w:rPr>
        <w:t>в</w:t>
      </w:r>
      <w:r w:rsidR="002B2EF8">
        <w:rPr>
          <w:bCs/>
          <w:lang w:eastAsia="bg-BG"/>
        </w:rPr>
        <w:t>а</w:t>
      </w:r>
      <w:r w:rsidRPr="00140934">
        <w:rPr>
          <w:bCs/>
          <w:lang w:eastAsia="bg-BG"/>
        </w:rPr>
        <w:t>.</w:t>
      </w:r>
    </w:p>
    <w:p w:rsidR="00FF2021" w:rsidRPr="00140934" w:rsidRDefault="00FF2021" w:rsidP="00FF2021">
      <w:pPr>
        <w:spacing w:before="120"/>
        <w:ind w:firstLine="629"/>
        <w:jc w:val="both"/>
        <w:rPr>
          <w:b/>
        </w:rPr>
      </w:pPr>
      <w:r w:rsidRPr="00140934">
        <w:rPr>
          <w:b/>
        </w:rPr>
        <w:t>Програма ИСПА/</w:t>
      </w:r>
      <w:proofErr w:type="spellStart"/>
      <w:r w:rsidRPr="00140934">
        <w:rPr>
          <w:b/>
        </w:rPr>
        <w:t>Кохезионен</w:t>
      </w:r>
      <w:proofErr w:type="spellEnd"/>
      <w:r w:rsidRPr="00140934">
        <w:rPr>
          <w:b/>
        </w:rPr>
        <w:t xml:space="preserve"> фонд (Регламент 1164/94)</w:t>
      </w:r>
    </w:p>
    <w:p w:rsidR="00FF2021" w:rsidRPr="00140934" w:rsidRDefault="00FF2021" w:rsidP="00FF2021">
      <w:pPr>
        <w:ind w:firstLine="629"/>
        <w:jc w:val="both"/>
        <w:rPr>
          <w:snapToGrid w:val="0"/>
        </w:rPr>
      </w:pPr>
      <w:r w:rsidRPr="00140934">
        <w:rPr>
          <w:snapToGrid w:val="0"/>
        </w:rPr>
        <w:t>За периода по тази програма няма възстановени средства от ЕК и възстановени суми по сметките на Национален фонд.</w:t>
      </w:r>
    </w:p>
    <w:p w:rsidR="00FF2021" w:rsidRPr="00B17EBD" w:rsidRDefault="00FF2021" w:rsidP="002B2EF8">
      <w:pPr>
        <w:spacing w:before="120"/>
        <w:ind w:firstLine="629"/>
        <w:jc w:val="both"/>
        <w:rPr>
          <w:b/>
        </w:rPr>
      </w:pPr>
      <w:r w:rsidRPr="00B17EBD">
        <w:rPr>
          <w:b/>
        </w:rPr>
        <w:t xml:space="preserve">Програма САПАРД </w:t>
      </w:r>
    </w:p>
    <w:p w:rsidR="00FF2021" w:rsidRPr="00B17EBD" w:rsidRDefault="00FF2021" w:rsidP="002B2EF8">
      <w:pPr>
        <w:ind w:firstLine="629"/>
        <w:jc w:val="both"/>
      </w:pPr>
      <w:r w:rsidRPr="00B17EBD">
        <w:t>На 31.12.2009 г. изтече валидността на Годишното финансово споразумение (ГФС) 2006, с което се прекрати и изплащането на субсидии към крайни бенефициенти по програма САПАРД.</w:t>
      </w:r>
    </w:p>
    <w:p w:rsidR="00FF2021" w:rsidRPr="00B17EBD" w:rsidRDefault="00FF2021" w:rsidP="00B816B8">
      <w:pPr>
        <w:ind w:firstLine="629"/>
        <w:jc w:val="both"/>
      </w:pPr>
      <w:r w:rsidRPr="00B17EBD">
        <w:t>През първото полугодие на годината са извършени възстановявания от Агенция САПАРД и НАП по дългове в размер на 0</w:t>
      </w:r>
      <w:r w:rsidR="00883A43">
        <w:t>,</w:t>
      </w:r>
      <w:r w:rsidRPr="00B17EBD">
        <w:t>07 млн. л</w:t>
      </w:r>
      <w:r w:rsidR="00883A43">
        <w:t>е</w:t>
      </w:r>
      <w:r w:rsidRPr="00B17EBD">
        <w:t>в</w:t>
      </w:r>
      <w:r w:rsidR="00883A43">
        <w:t>а</w:t>
      </w:r>
      <w:r w:rsidRPr="00B17EBD">
        <w:t>.</w:t>
      </w:r>
    </w:p>
    <w:p w:rsidR="00FF2021" w:rsidRPr="00CD4E80" w:rsidRDefault="00FF2021" w:rsidP="00FF2021">
      <w:pPr>
        <w:spacing w:before="120"/>
        <w:jc w:val="both"/>
        <w:rPr>
          <w:b/>
        </w:rPr>
      </w:pPr>
      <w:r w:rsidRPr="005D009A">
        <w:rPr>
          <w:color w:val="0070C0"/>
        </w:rPr>
        <w:tab/>
      </w:r>
      <w:r w:rsidRPr="00CD4E80">
        <w:rPr>
          <w:b/>
        </w:rPr>
        <w:t>Двустранни програми за трансгранично сътрудничество по външните граници на Европейския съюз 2007 – 2013 г.</w:t>
      </w:r>
    </w:p>
    <w:p w:rsidR="00FF2021" w:rsidRPr="00CD4E80" w:rsidRDefault="00FF2021" w:rsidP="00FF2021">
      <w:pPr>
        <w:ind w:firstLine="686"/>
        <w:jc w:val="both"/>
        <w:rPr>
          <w:snapToGrid w:val="0"/>
        </w:rPr>
      </w:pPr>
      <w:r w:rsidRPr="00CD4E80">
        <w:rPr>
          <w:snapToGrid w:val="0"/>
        </w:rPr>
        <w:t xml:space="preserve">На 30.03.2018 г. Национален фонд, в качеството си на Сертифициращ орган по тези програми, изпрати към ЕК Окончателни Сертификати, Отчети за разходите и Заявления за окончателно плащане. </w:t>
      </w:r>
    </w:p>
    <w:p w:rsidR="00FF2021" w:rsidRPr="00CD4E80" w:rsidRDefault="00FF2021" w:rsidP="00FF2021">
      <w:pPr>
        <w:ind w:firstLine="686"/>
        <w:jc w:val="both"/>
      </w:pPr>
      <w:r w:rsidRPr="00CD4E80">
        <w:rPr>
          <w:snapToGrid w:val="0"/>
        </w:rPr>
        <w:t xml:space="preserve">За отчетния период сумата на възстановените средства към НФ са в размер на </w:t>
      </w:r>
      <w:r w:rsidRPr="00CD4E80">
        <w:t>0</w:t>
      </w:r>
      <w:r w:rsidR="00883A43">
        <w:t>,</w:t>
      </w:r>
      <w:r w:rsidRPr="00CD4E80">
        <w:t>08 млн.</w:t>
      </w:r>
      <w:r w:rsidR="00883A43">
        <w:t> </w:t>
      </w:r>
      <w:r w:rsidRPr="00CD4E80">
        <w:t>л</w:t>
      </w:r>
      <w:r w:rsidR="00883A43">
        <w:t>е</w:t>
      </w:r>
      <w:r w:rsidRPr="00CD4E80">
        <w:t>в</w:t>
      </w:r>
      <w:r w:rsidR="00883A43">
        <w:t>а</w:t>
      </w:r>
      <w:r w:rsidRPr="00CD4E80">
        <w:t>.</w:t>
      </w:r>
    </w:p>
    <w:p w:rsidR="00FF2021" w:rsidRPr="00036F59" w:rsidRDefault="00FF2021" w:rsidP="00FF2021">
      <w:pPr>
        <w:spacing w:before="120"/>
        <w:ind w:firstLine="686"/>
        <w:jc w:val="both"/>
        <w:rPr>
          <w:b/>
        </w:rPr>
      </w:pPr>
      <w:r w:rsidRPr="00036F59">
        <w:rPr>
          <w:b/>
        </w:rPr>
        <w:t>Двустранни програми за трансгранично сътрудничество по външните граници на Европейския съюз 2014 – 2020 г.</w:t>
      </w:r>
    </w:p>
    <w:p w:rsidR="00FF2021" w:rsidRPr="00036F59" w:rsidRDefault="00FF2021" w:rsidP="00FF2021">
      <w:pPr>
        <w:ind w:firstLine="686"/>
        <w:jc w:val="both"/>
        <w:rPr>
          <w:bCs/>
          <w:snapToGrid w:val="0"/>
        </w:rPr>
      </w:pPr>
      <w:r w:rsidRPr="00036F59">
        <w:rPr>
          <w:bCs/>
          <w:snapToGrid w:val="0"/>
        </w:rPr>
        <w:t>Получените средства през първото полугодие на годината са в размер на 10</w:t>
      </w:r>
      <w:r w:rsidR="00883A43">
        <w:rPr>
          <w:bCs/>
          <w:snapToGrid w:val="0"/>
        </w:rPr>
        <w:t>,</w:t>
      </w:r>
      <w:r w:rsidRPr="00036F59">
        <w:rPr>
          <w:bCs/>
          <w:snapToGrid w:val="0"/>
        </w:rPr>
        <w:t>9 млн. лв., представляващи възстановени средства от ЕК и средства от страните-партньори.</w:t>
      </w:r>
    </w:p>
    <w:p w:rsidR="00FF2021" w:rsidRPr="00036F59" w:rsidRDefault="00FF2021" w:rsidP="00FF2021">
      <w:pPr>
        <w:ind w:firstLine="686"/>
        <w:jc w:val="both"/>
        <w:rPr>
          <w:snapToGrid w:val="0"/>
        </w:rPr>
      </w:pPr>
      <w:r w:rsidRPr="00036F59">
        <w:rPr>
          <w:snapToGrid w:val="0"/>
        </w:rPr>
        <w:t>Сумата на разходите и трансферите (нето) към бюджетни организации в страната, които са направени през същия период по двустранните програми са на обща стойност 16</w:t>
      </w:r>
      <w:r w:rsidR="00883A43">
        <w:rPr>
          <w:snapToGrid w:val="0"/>
        </w:rPr>
        <w:t>,</w:t>
      </w:r>
      <w:r w:rsidRPr="00036F59">
        <w:rPr>
          <w:snapToGrid w:val="0"/>
        </w:rPr>
        <w:t>1 млн. лв.,</w:t>
      </w:r>
      <w:r w:rsidRPr="00036F59">
        <w:t xml:space="preserve"> </w:t>
      </w:r>
      <w:r w:rsidRPr="00036F59">
        <w:rPr>
          <w:snapToGrid w:val="0"/>
        </w:rPr>
        <w:t>включително за плащания към бенефициенти в страната за сметка на финансиране от страната-партньор по тези програми.</w:t>
      </w:r>
      <w:r w:rsidRPr="00036F59">
        <w:t xml:space="preserve"> </w:t>
      </w:r>
      <w:r w:rsidRPr="00036F59">
        <w:rPr>
          <w:snapToGrid w:val="0"/>
        </w:rPr>
        <w:t>Разпределените към администратори в чужбина за сметка на средства от страната-партньор са в размер на -0</w:t>
      </w:r>
      <w:r w:rsidR="00883A43">
        <w:rPr>
          <w:snapToGrid w:val="0"/>
        </w:rPr>
        <w:t>,0</w:t>
      </w:r>
      <w:r w:rsidRPr="00036F59">
        <w:rPr>
          <w:snapToGrid w:val="0"/>
        </w:rPr>
        <w:t>3 млн. л</w:t>
      </w:r>
      <w:r w:rsidR="00883A43">
        <w:rPr>
          <w:snapToGrid w:val="0"/>
        </w:rPr>
        <w:t>е</w:t>
      </w:r>
      <w:r w:rsidRPr="00036F59">
        <w:rPr>
          <w:snapToGrid w:val="0"/>
        </w:rPr>
        <w:t>в</w:t>
      </w:r>
      <w:r w:rsidR="00883A43">
        <w:rPr>
          <w:snapToGrid w:val="0"/>
        </w:rPr>
        <w:t>а</w:t>
      </w:r>
      <w:r w:rsidRPr="00036F59">
        <w:rPr>
          <w:snapToGrid w:val="0"/>
        </w:rPr>
        <w:t>.</w:t>
      </w:r>
    </w:p>
    <w:p w:rsidR="00FF2021" w:rsidRPr="00B64CB3" w:rsidRDefault="00FF2021" w:rsidP="00FF2021">
      <w:pPr>
        <w:spacing w:before="120"/>
        <w:ind w:firstLine="686"/>
        <w:jc w:val="both"/>
        <w:rPr>
          <w:b/>
        </w:rPr>
      </w:pPr>
      <w:r w:rsidRPr="00B64CB3">
        <w:rPr>
          <w:b/>
        </w:rPr>
        <w:t>Финансов механизъм на Европейското икономическо пространство и Норвежки финансов механизъм за периода 2009-2014 г. и 2014-2021 г.</w:t>
      </w:r>
    </w:p>
    <w:p w:rsidR="00FF2021" w:rsidRPr="00B64CB3" w:rsidRDefault="00FF2021" w:rsidP="00FF2021">
      <w:pPr>
        <w:ind w:firstLine="686"/>
        <w:jc w:val="both"/>
        <w:rPr>
          <w:snapToGrid w:val="0"/>
        </w:rPr>
      </w:pPr>
      <w:r>
        <w:rPr>
          <w:snapToGrid w:val="0"/>
        </w:rPr>
        <w:t xml:space="preserve">Получените </w:t>
      </w:r>
      <w:r w:rsidRPr="00B64CB3">
        <w:rPr>
          <w:snapToGrid w:val="0"/>
        </w:rPr>
        <w:t xml:space="preserve">от НФ средства общо по ЕИП и НФМ за периода са в размер на </w:t>
      </w:r>
      <w:r>
        <w:rPr>
          <w:snapToGrid w:val="0"/>
        </w:rPr>
        <w:t>0</w:t>
      </w:r>
      <w:r w:rsidR="00883A43">
        <w:rPr>
          <w:snapToGrid w:val="0"/>
        </w:rPr>
        <w:t>,</w:t>
      </w:r>
      <w:r>
        <w:rPr>
          <w:snapToGrid w:val="0"/>
        </w:rPr>
        <w:t>2 млн.</w:t>
      </w:r>
      <w:r w:rsidR="00883A43">
        <w:rPr>
          <w:snapToGrid w:val="0"/>
        </w:rPr>
        <w:t> </w:t>
      </w:r>
      <w:r>
        <w:rPr>
          <w:snapToGrid w:val="0"/>
        </w:rPr>
        <w:t>лева, а в</w:t>
      </w:r>
      <w:r w:rsidRPr="00B64CB3">
        <w:rPr>
          <w:snapToGrid w:val="0"/>
        </w:rPr>
        <w:t>ъзстановените</w:t>
      </w:r>
      <w:r>
        <w:rPr>
          <w:snapToGrid w:val="0"/>
        </w:rPr>
        <w:t xml:space="preserve"> са в размер на 3</w:t>
      </w:r>
      <w:r w:rsidR="00883A43">
        <w:rPr>
          <w:snapToGrid w:val="0"/>
        </w:rPr>
        <w:t>,</w:t>
      </w:r>
      <w:r w:rsidRPr="00DA227F">
        <w:rPr>
          <w:snapToGrid w:val="0"/>
        </w:rPr>
        <w:t>2 млн. лева</w:t>
      </w:r>
      <w:r w:rsidR="00B816B8">
        <w:rPr>
          <w:snapToGrid w:val="0"/>
        </w:rPr>
        <w:t>.</w:t>
      </w:r>
    </w:p>
    <w:p w:rsidR="00FF2021" w:rsidRPr="00B64CB3" w:rsidRDefault="00FF2021" w:rsidP="00FF2021">
      <w:pPr>
        <w:ind w:firstLine="686"/>
        <w:jc w:val="both"/>
        <w:rPr>
          <w:snapToGrid w:val="0"/>
        </w:rPr>
      </w:pPr>
      <w:r w:rsidRPr="00B64CB3">
        <w:rPr>
          <w:snapToGrid w:val="0"/>
        </w:rPr>
        <w:t xml:space="preserve">Сумата на разходите и трансферите (нето) към 30.06.2018 г. са на обща стойност </w:t>
      </w:r>
      <w:r w:rsidRPr="0083265C">
        <w:rPr>
          <w:snapToGrid w:val="0"/>
        </w:rPr>
        <w:t>0</w:t>
      </w:r>
      <w:r w:rsidR="00883A43">
        <w:rPr>
          <w:snapToGrid w:val="0"/>
        </w:rPr>
        <w:t>,</w:t>
      </w:r>
      <w:r w:rsidRPr="0083265C">
        <w:rPr>
          <w:snapToGrid w:val="0"/>
        </w:rPr>
        <w:t>7</w:t>
      </w:r>
      <w:r w:rsidRPr="00B64CB3">
        <w:rPr>
          <w:snapToGrid w:val="0"/>
        </w:rPr>
        <w:t xml:space="preserve"> млн. л</w:t>
      </w:r>
      <w:r w:rsidR="00883A43">
        <w:rPr>
          <w:snapToGrid w:val="0"/>
        </w:rPr>
        <w:t>е</w:t>
      </w:r>
      <w:r w:rsidRPr="00B64CB3">
        <w:rPr>
          <w:snapToGrid w:val="0"/>
        </w:rPr>
        <w:t>в</w:t>
      </w:r>
      <w:r w:rsidR="00883A43">
        <w:rPr>
          <w:snapToGrid w:val="0"/>
        </w:rPr>
        <w:t>а</w:t>
      </w:r>
      <w:r w:rsidRPr="00B64CB3">
        <w:rPr>
          <w:snapToGrid w:val="0"/>
        </w:rPr>
        <w:t>.</w:t>
      </w:r>
    </w:p>
    <w:p w:rsidR="00FF2021" w:rsidRPr="007054C7" w:rsidRDefault="00FF2021" w:rsidP="00FF2021">
      <w:pPr>
        <w:ind w:firstLine="684"/>
        <w:jc w:val="both"/>
        <w:rPr>
          <w:rFonts w:eastAsia="Calibri"/>
        </w:rPr>
      </w:pPr>
      <w:r w:rsidRPr="00B64CB3">
        <w:rPr>
          <w:rFonts w:eastAsia="Calibri"/>
        </w:rPr>
        <w:t>За периода 01.</w:t>
      </w:r>
      <w:proofErr w:type="spellStart"/>
      <w:r w:rsidRPr="00B64CB3">
        <w:rPr>
          <w:rFonts w:eastAsia="Calibri"/>
        </w:rPr>
        <w:t>01</w:t>
      </w:r>
      <w:proofErr w:type="spellEnd"/>
      <w:r w:rsidRPr="00B64CB3">
        <w:rPr>
          <w:rFonts w:eastAsia="Calibri"/>
        </w:rPr>
        <w:t>.2018</w:t>
      </w:r>
      <w:r w:rsidRPr="007054C7">
        <w:rPr>
          <w:rFonts w:eastAsia="Calibri"/>
        </w:rPr>
        <w:t xml:space="preserve"> г. – 3</w:t>
      </w:r>
      <w:r>
        <w:rPr>
          <w:rFonts w:eastAsia="Calibri"/>
        </w:rPr>
        <w:t>0</w:t>
      </w:r>
      <w:r w:rsidRPr="007054C7">
        <w:rPr>
          <w:rFonts w:eastAsia="Calibri"/>
        </w:rPr>
        <w:t>.0</w:t>
      </w:r>
      <w:r>
        <w:rPr>
          <w:rFonts w:eastAsia="Calibri"/>
        </w:rPr>
        <w:t>6</w:t>
      </w:r>
      <w:r w:rsidRPr="007054C7">
        <w:rPr>
          <w:rFonts w:eastAsia="Calibri"/>
        </w:rPr>
        <w:t>.2018 г.  дирекция „Национален фонд“ е процедирала към ОФМ на ЕИП 2009-2014 г. 9 Окончателни финансови доклад</w:t>
      </w:r>
      <w:r w:rsidR="00883A43">
        <w:rPr>
          <w:rFonts w:eastAsia="Calibri"/>
        </w:rPr>
        <w:t>а</w:t>
      </w:r>
      <w:r w:rsidRPr="007054C7">
        <w:rPr>
          <w:rFonts w:eastAsia="Calibri"/>
        </w:rPr>
        <w:t xml:space="preserve"> и 1 Междинен финансов доклад, </w:t>
      </w:r>
      <w:r w:rsidR="002B2EF8">
        <w:rPr>
          <w:rFonts w:eastAsia="Calibri"/>
        </w:rPr>
        <w:t>в резултат на което</w:t>
      </w:r>
      <w:r w:rsidRPr="007054C7">
        <w:rPr>
          <w:rFonts w:eastAsia="Calibri"/>
        </w:rPr>
        <w:t xml:space="preserve"> се очаква да бъдат възстановени средства към офиса на ОФМ и ЕИП в размер на 17</w:t>
      </w:r>
      <w:r w:rsidR="00883A43">
        <w:rPr>
          <w:rFonts w:eastAsia="Calibri"/>
        </w:rPr>
        <w:t>,</w:t>
      </w:r>
      <w:r w:rsidRPr="007054C7">
        <w:rPr>
          <w:rFonts w:eastAsia="Calibri"/>
        </w:rPr>
        <w:t>0 млн. лева. Заявените (предложени за получаване) средства са в размер на 0</w:t>
      </w:r>
      <w:r w:rsidR="00883A43">
        <w:rPr>
          <w:rFonts w:eastAsia="Calibri"/>
        </w:rPr>
        <w:t>,</w:t>
      </w:r>
      <w:r w:rsidRPr="007054C7">
        <w:rPr>
          <w:rFonts w:eastAsia="Calibri"/>
        </w:rPr>
        <w:t>2 млн. лева.</w:t>
      </w:r>
    </w:p>
    <w:p w:rsidR="00FF2021" w:rsidRPr="007A56F6" w:rsidRDefault="00FF2021" w:rsidP="00FF2021">
      <w:pPr>
        <w:spacing w:before="120"/>
        <w:ind w:firstLine="743"/>
        <w:jc w:val="both"/>
        <w:rPr>
          <w:b/>
        </w:rPr>
      </w:pPr>
      <w:r w:rsidRPr="007A56F6">
        <w:rPr>
          <w:b/>
        </w:rPr>
        <w:t>Българо-швейцарска програма за сътрудничество за намаляване на икономическите и социални неравенства в рамките на разширения Европейски съюз</w:t>
      </w:r>
    </w:p>
    <w:p w:rsidR="00FF2021" w:rsidRPr="007A56F6" w:rsidRDefault="00FF2021" w:rsidP="00FF2021">
      <w:pPr>
        <w:ind w:firstLine="686"/>
        <w:jc w:val="both"/>
        <w:rPr>
          <w:snapToGrid w:val="0"/>
        </w:rPr>
      </w:pPr>
      <w:r w:rsidRPr="007A56F6">
        <w:rPr>
          <w:snapToGrid w:val="0"/>
        </w:rPr>
        <w:t>Получените средства по програмата за периода са в размер на 0</w:t>
      </w:r>
      <w:r w:rsidR="00883A43">
        <w:rPr>
          <w:snapToGrid w:val="0"/>
        </w:rPr>
        <w:t>,</w:t>
      </w:r>
      <w:r w:rsidRPr="007A56F6">
        <w:rPr>
          <w:snapToGrid w:val="0"/>
        </w:rPr>
        <w:t>1 млн. лева.</w:t>
      </w:r>
    </w:p>
    <w:p w:rsidR="00FF2021" w:rsidRPr="007A56F6" w:rsidRDefault="00FF2021" w:rsidP="00012533">
      <w:pPr>
        <w:pStyle w:val="BodyTextIndent"/>
        <w:spacing w:after="240"/>
        <w:ind w:left="0" w:firstLine="686"/>
        <w:jc w:val="both"/>
        <w:rPr>
          <w:bCs/>
        </w:rPr>
      </w:pPr>
      <w:r w:rsidRPr="007A56F6">
        <w:rPr>
          <w:bCs/>
        </w:rPr>
        <w:t>Извършените изходящи трансфери към бенефициенти-бюджетни организации от началото на годината са в размер на 0</w:t>
      </w:r>
      <w:r w:rsidR="00883A43">
        <w:rPr>
          <w:bCs/>
        </w:rPr>
        <w:t>,</w:t>
      </w:r>
      <w:r w:rsidRPr="007A56F6">
        <w:rPr>
          <w:bCs/>
        </w:rPr>
        <w:t>1 млн. л</w:t>
      </w:r>
      <w:r w:rsidR="00883A43">
        <w:rPr>
          <w:bCs/>
        </w:rPr>
        <w:t>е</w:t>
      </w:r>
      <w:r w:rsidRPr="007A56F6">
        <w:rPr>
          <w:bCs/>
        </w:rPr>
        <w:t>в</w:t>
      </w:r>
      <w:r w:rsidR="00883A43">
        <w:rPr>
          <w:bCs/>
        </w:rPr>
        <w:t>а</w:t>
      </w:r>
      <w:r w:rsidRPr="007A56F6">
        <w:rPr>
          <w:bCs/>
        </w:rPr>
        <w:t>.</w:t>
      </w:r>
    </w:p>
    <w:p w:rsidR="00E449C3" w:rsidRPr="00CC0687" w:rsidRDefault="00E449C3" w:rsidP="00012533">
      <w:pPr>
        <w:pStyle w:val="Heading1"/>
        <w:numPr>
          <w:ilvl w:val="0"/>
          <w:numId w:val="10"/>
        </w:numPr>
        <w:spacing w:before="120" w:after="240"/>
        <w:ind w:right="-108"/>
        <w:jc w:val="both"/>
        <w:rPr>
          <w:sz w:val="24"/>
        </w:rPr>
      </w:pPr>
      <w:r w:rsidRPr="00CC0687">
        <w:rPr>
          <w:sz w:val="24"/>
        </w:rPr>
        <w:lastRenderedPageBreak/>
        <w:t>Бюджети на социално и здравно-осигурителните фондове и бюджети по чл. 13, ал. 2 и ал. 3 на Закона за публичните финанси</w:t>
      </w:r>
    </w:p>
    <w:p w:rsidR="00DB70EE" w:rsidRPr="00CC0687" w:rsidRDefault="00DB70EE" w:rsidP="00012533">
      <w:pPr>
        <w:pStyle w:val="Heading1"/>
        <w:numPr>
          <w:ilvl w:val="1"/>
          <w:numId w:val="10"/>
        </w:numPr>
        <w:spacing w:before="120" w:after="120"/>
        <w:ind w:left="788" w:right="-108" w:hanging="431"/>
        <w:jc w:val="both"/>
        <w:rPr>
          <w:sz w:val="24"/>
        </w:rPr>
      </w:pPr>
      <w:r w:rsidRPr="00CC0687">
        <w:rPr>
          <w:sz w:val="24"/>
        </w:rPr>
        <w:t>Социално и здравно-осигурителни фондове</w:t>
      </w:r>
    </w:p>
    <w:p w:rsidR="007C2392" w:rsidRPr="00CC0687" w:rsidRDefault="007C2392" w:rsidP="00D013D9">
      <w:pPr>
        <w:numPr>
          <w:ilvl w:val="1"/>
          <w:numId w:val="6"/>
        </w:numPr>
        <w:spacing w:line="276" w:lineRule="auto"/>
        <w:ind w:left="993"/>
        <w:jc w:val="both"/>
        <w:rPr>
          <w:b/>
          <w:bCs/>
        </w:rPr>
      </w:pPr>
      <w:r w:rsidRPr="00CC0687">
        <w:rPr>
          <w:b/>
        </w:rPr>
        <w:t>Държавно обществено осигуряване</w:t>
      </w:r>
    </w:p>
    <w:p w:rsidR="00CC0687" w:rsidRPr="00D15E6E" w:rsidRDefault="00CC0687" w:rsidP="00D013D9">
      <w:pPr>
        <w:ind w:firstLine="567"/>
        <w:jc w:val="both"/>
        <w:rPr>
          <w:color w:val="0070C0"/>
        </w:rPr>
      </w:pPr>
      <w:r w:rsidRPr="00D15E6E">
        <w:t xml:space="preserve">Общата сума на </w:t>
      </w:r>
      <w:r w:rsidRPr="00D15E6E">
        <w:rPr>
          <w:b/>
        </w:rPr>
        <w:t>приходите и помощите</w:t>
      </w:r>
      <w:r w:rsidRPr="00D15E6E">
        <w:t xml:space="preserve"> по бюджета на Държавното обществено осигуряване (ДОО) към 3</w:t>
      </w:r>
      <w:r w:rsidRPr="00B41DC4">
        <w:rPr>
          <w:lang w:val="en-US"/>
        </w:rPr>
        <w:t>0</w:t>
      </w:r>
      <w:r w:rsidRPr="00D15E6E">
        <w:t>.0</w:t>
      </w:r>
      <w:r w:rsidRPr="00B41DC4">
        <w:rPr>
          <w:lang w:val="en-US"/>
        </w:rPr>
        <w:t>6</w:t>
      </w:r>
      <w:r w:rsidRPr="00D15E6E">
        <w:t xml:space="preserve">.2018 г. възлиза на </w:t>
      </w:r>
      <w:r w:rsidRPr="00B41DC4">
        <w:rPr>
          <w:lang w:val="en-US"/>
        </w:rPr>
        <w:t>3</w:t>
      </w:r>
      <w:r w:rsidRPr="00D15E6E">
        <w:t> </w:t>
      </w:r>
      <w:r w:rsidRPr="00B41DC4">
        <w:rPr>
          <w:lang w:val="en-US"/>
        </w:rPr>
        <w:t>321</w:t>
      </w:r>
      <w:r w:rsidRPr="00D15E6E">
        <w:t>,</w:t>
      </w:r>
      <w:r w:rsidRPr="00B41DC4">
        <w:rPr>
          <w:lang w:val="en-US"/>
        </w:rPr>
        <w:t>8</w:t>
      </w:r>
      <w:r w:rsidRPr="00D15E6E">
        <w:t xml:space="preserve"> млн. лв., което представлява </w:t>
      </w:r>
      <w:r w:rsidRPr="00B41DC4">
        <w:rPr>
          <w:lang w:val="en-US"/>
        </w:rPr>
        <w:t>50</w:t>
      </w:r>
      <w:r w:rsidRPr="00D15E6E">
        <w:t>,</w:t>
      </w:r>
      <w:r w:rsidRPr="00B41DC4">
        <w:rPr>
          <w:lang w:val="en-US"/>
        </w:rPr>
        <w:t>5</w:t>
      </w:r>
      <w:r w:rsidRPr="00D15E6E">
        <w:t xml:space="preserve"> % от заложените в Закона за бюджета на държавното обществено осигуряване за 2018 г. (ЗБДОО) 6 572,3 млн. лева. Най-голям е делът на приходите от осигурителни вноски (98,6 % от общите приходи), които за отчетния период са в размер на </w:t>
      </w:r>
      <w:r w:rsidRPr="00B41DC4">
        <w:rPr>
          <w:lang w:val="en-US"/>
        </w:rPr>
        <w:t>3</w:t>
      </w:r>
      <w:r w:rsidRPr="00D15E6E">
        <w:t> </w:t>
      </w:r>
      <w:r w:rsidRPr="00B41DC4">
        <w:rPr>
          <w:lang w:val="en-US"/>
        </w:rPr>
        <w:t>276</w:t>
      </w:r>
      <w:r w:rsidRPr="00D15E6E">
        <w:t>,</w:t>
      </w:r>
      <w:r w:rsidRPr="00B41DC4">
        <w:rPr>
          <w:lang w:val="en-US"/>
        </w:rPr>
        <w:t>8</w:t>
      </w:r>
      <w:r w:rsidRPr="00D15E6E">
        <w:t xml:space="preserve"> млн. лв., </w:t>
      </w:r>
      <w:r w:rsidRPr="00B41DC4">
        <w:rPr>
          <w:lang w:val="en-US"/>
        </w:rPr>
        <w:t>50</w:t>
      </w:r>
      <w:proofErr w:type="gramStart"/>
      <w:r w:rsidRPr="00D15E6E">
        <w:t>,</w:t>
      </w:r>
      <w:r w:rsidRPr="00B41DC4">
        <w:rPr>
          <w:lang w:val="en-US"/>
        </w:rPr>
        <w:t>3</w:t>
      </w:r>
      <w:proofErr w:type="gramEnd"/>
      <w:r w:rsidRPr="00D15E6E">
        <w:t xml:space="preserve"> % от заложените в ЗБДОО за 2018 година. </w:t>
      </w:r>
    </w:p>
    <w:p w:rsidR="00CC0687" w:rsidRPr="00D15E6E" w:rsidRDefault="00CC0687" w:rsidP="005E3EA2">
      <w:pPr>
        <w:ind w:firstLine="567"/>
        <w:jc w:val="both"/>
        <w:rPr>
          <w:b/>
          <w:bCs/>
        </w:rPr>
      </w:pPr>
      <w:r w:rsidRPr="00D15E6E">
        <w:t xml:space="preserve">Съпоставени с първото </w:t>
      </w:r>
      <w:r w:rsidRPr="00B41DC4">
        <w:t>полугодие</w:t>
      </w:r>
      <w:r w:rsidRPr="00D15E6E">
        <w:t xml:space="preserve"> на 2017 г. приходите по бюджета на ДОО нарастват с </w:t>
      </w:r>
      <w:r w:rsidRPr="00B41DC4">
        <w:t>416</w:t>
      </w:r>
      <w:r w:rsidRPr="00D15E6E">
        <w:t>,</w:t>
      </w:r>
      <w:r w:rsidRPr="00B41DC4">
        <w:t>8</w:t>
      </w:r>
      <w:r w:rsidRPr="00D15E6E">
        <w:t xml:space="preserve"> млн. лв. (1</w:t>
      </w:r>
      <w:r w:rsidRPr="00B41DC4">
        <w:t>4</w:t>
      </w:r>
      <w:r w:rsidRPr="00D15E6E">
        <w:t>,</w:t>
      </w:r>
      <w:r w:rsidRPr="00B41DC4">
        <w:t>3</w:t>
      </w:r>
      <w:r w:rsidRPr="00D15E6E">
        <w:t xml:space="preserve"> %). </w:t>
      </w:r>
      <w:r w:rsidRPr="00AC0C94">
        <w:t xml:space="preserve">Факторите, които оказват влияние върху </w:t>
      </w:r>
      <w:r w:rsidRPr="00D15E6E">
        <w:t>състоянието на приходите през 2018 г. са следните:</w:t>
      </w:r>
    </w:p>
    <w:p w:rsidR="00CC0687" w:rsidRPr="00D15E6E" w:rsidRDefault="00CC0687" w:rsidP="005E3EA2">
      <w:pPr>
        <w:numPr>
          <w:ilvl w:val="0"/>
          <w:numId w:val="21"/>
        </w:numPr>
        <w:tabs>
          <w:tab w:val="num" w:pos="1499"/>
          <w:tab w:val="num" w:pos="2148"/>
        </w:tabs>
        <w:ind w:firstLine="567"/>
        <w:jc w:val="both"/>
      </w:pPr>
      <w:r w:rsidRPr="00D15E6E">
        <w:t>увеличение на осигурителната вноска за фонд „Пенсии” с един процентен пункт от 1 януари 2018 г. – на 19,8 на сто за родените преди 1 януари 1960 г. и на 14,8 на сто за лицата родени след 31 декември 1959 г.;</w:t>
      </w:r>
    </w:p>
    <w:p w:rsidR="00CC0687" w:rsidRPr="00D15E6E" w:rsidRDefault="004877CE" w:rsidP="005E3EA2">
      <w:pPr>
        <w:numPr>
          <w:ilvl w:val="0"/>
          <w:numId w:val="21"/>
        </w:numPr>
        <w:tabs>
          <w:tab w:val="num" w:pos="1499"/>
          <w:tab w:val="num" w:pos="2148"/>
        </w:tabs>
        <w:ind w:firstLine="567"/>
        <w:jc w:val="both"/>
      </w:pPr>
      <w:r w:rsidRPr="00083C6C">
        <w:t>административно увеличение на минималните осигурителни прагове по основните икономически дейности и квалификационни групи професии средно с 3,9 на сто  и увеличение на минималната работна заплата с 10,9 на сто за 2018 г. в сравнение с 2017 г., като</w:t>
      </w:r>
      <w:r w:rsidRPr="00083C6C">
        <w:rPr>
          <w:lang w:val="en-US"/>
        </w:rPr>
        <w:t xml:space="preserve"> </w:t>
      </w:r>
      <w:r w:rsidRPr="00083C6C">
        <w:t>най-ниският минимален осигурителен доход е 510 лв., размерът на минималната работна заплата от началото на 2018 г.</w:t>
      </w:r>
    </w:p>
    <w:p w:rsidR="00CC0687" w:rsidRPr="00D15E6E" w:rsidRDefault="00CC0687" w:rsidP="005E3EA2">
      <w:pPr>
        <w:ind w:firstLine="567"/>
        <w:jc w:val="both"/>
        <w:rPr>
          <w:bCs/>
        </w:rPr>
      </w:pPr>
      <w:r w:rsidRPr="00D15E6E">
        <w:rPr>
          <w:bCs/>
        </w:rPr>
        <w:t xml:space="preserve">Отчетените неданъчни приходи към края на </w:t>
      </w:r>
      <w:r w:rsidRPr="00E00DA3">
        <w:rPr>
          <w:bCs/>
        </w:rPr>
        <w:t>юни</w:t>
      </w:r>
      <w:r w:rsidRPr="00D15E6E">
        <w:rPr>
          <w:bCs/>
        </w:rPr>
        <w:t xml:space="preserve"> 2018 г. по бюджета на ДОО възлизат на </w:t>
      </w:r>
      <w:r w:rsidRPr="00E00DA3">
        <w:rPr>
          <w:bCs/>
        </w:rPr>
        <w:t>45</w:t>
      </w:r>
      <w:r w:rsidRPr="00D15E6E">
        <w:rPr>
          <w:bCs/>
        </w:rPr>
        <w:t>,</w:t>
      </w:r>
      <w:r w:rsidRPr="00E00DA3">
        <w:rPr>
          <w:bCs/>
        </w:rPr>
        <w:t>0</w:t>
      </w:r>
      <w:r w:rsidRPr="00D15E6E">
        <w:rPr>
          <w:bCs/>
        </w:rPr>
        <w:t xml:space="preserve"> млн. лв., в т.ч. </w:t>
      </w:r>
      <w:r w:rsidRPr="00E00DA3">
        <w:rPr>
          <w:bCs/>
        </w:rPr>
        <w:t>31</w:t>
      </w:r>
      <w:r w:rsidRPr="00D15E6E">
        <w:rPr>
          <w:bCs/>
        </w:rPr>
        <w:t>,</w:t>
      </w:r>
      <w:r w:rsidRPr="00E00DA3">
        <w:rPr>
          <w:bCs/>
        </w:rPr>
        <w:t>4</w:t>
      </w:r>
      <w:r w:rsidRPr="00D15E6E">
        <w:rPr>
          <w:bCs/>
        </w:rPr>
        <w:t xml:space="preserve"> млн. лв. постъпили средства от п</w:t>
      </w:r>
      <w:r w:rsidRPr="00D15E6E">
        <w:t xml:space="preserve">рехвърлени </w:t>
      </w:r>
      <w:r w:rsidRPr="00D15E6E">
        <w:rPr>
          <w:lang w:val="en-US"/>
        </w:rPr>
        <w:t>(</w:t>
      </w:r>
      <w:r w:rsidRPr="00D15E6E">
        <w:t>възстановени</w:t>
      </w:r>
      <w:r w:rsidRPr="00D15E6E">
        <w:rPr>
          <w:lang w:val="en-US"/>
        </w:rPr>
        <w:t>)</w:t>
      </w:r>
      <w:r w:rsidRPr="00D15E6E">
        <w:t xml:space="preserve"> акумулирани средства от осигурителни вноски.</w:t>
      </w:r>
      <w:r w:rsidRPr="00D15E6E">
        <w:rPr>
          <w:bCs/>
        </w:rPr>
        <w:t xml:space="preserve"> </w:t>
      </w:r>
    </w:p>
    <w:p w:rsidR="00CC0687" w:rsidRPr="00D15E6E" w:rsidRDefault="00CC0687" w:rsidP="004C6EDF">
      <w:pPr>
        <w:tabs>
          <w:tab w:val="num" w:pos="1499"/>
          <w:tab w:val="num" w:pos="2148"/>
        </w:tabs>
        <w:spacing w:after="120"/>
        <w:ind w:firstLine="567"/>
        <w:jc w:val="both"/>
      </w:pPr>
      <w:r w:rsidRPr="00D15E6E">
        <w:rPr>
          <w:bCs/>
        </w:rPr>
        <w:t xml:space="preserve">Размерът на извършените </w:t>
      </w:r>
      <w:r w:rsidRPr="00D15E6E">
        <w:rPr>
          <w:b/>
          <w:bCs/>
        </w:rPr>
        <w:t xml:space="preserve">разходи </w:t>
      </w:r>
      <w:r w:rsidRPr="00D15E6E">
        <w:rPr>
          <w:bCs/>
        </w:rPr>
        <w:t xml:space="preserve">за първото </w:t>
      </w:r>
      <w:r w:rsidRPr="00017E99">
        <w:rPr>
          <w:bCs/>
        </w:rPr>
        <w:t>полугодие</w:t>
      </w:r>
      <w:r w:rsidRPr="00D15E6E">
        <w:rPr>
          <w:bCs/>
        </w:rPr>
        <w:t xml:space="preserve"> на 201</w:t>
      </w:r>
      <w:r w:rsidRPr="00D15E6E">
        <w:rPr>
          <w:bCs/>
          <w:lang w:val="en-US"/>
        </w:rPr>
        <w:t>8</w:t>
      </w:r>
      <w:r w:rsidRPr="00D15E6E">
        <w:rPr>
          <w:bCs/>
        </w:rPr>
        <w:t xml:space="preserve"> г. по бюджета на ДОО е </w:t>
      </w:r>
      <w:r w:rsidRPr="00017E99">
        <w:rPr>
          <w:bCs/>
        </w:rPr>
        <w:t>5</w:t>
      </w:r>
      <w:r w:rsidRPr="00D15E6E">
        <w:rPr>
          <w:bCs/>
        </w:rPr>
        <w:t> </w:t>
      </w:r>
      <w:r w:rsidRPr="00017E99">
        <w:rPr>
          <w:bCs/>
        </w:rPr>
        <w:t>453</w:t>
      </w:r>
      <w:r w:rsidRPr="00D15E6E">
        <w:rPr>
          <w:bCs/>
        </w:rPr>
        <w:t>,</w:t>
      </w:r>
      <w:r w:rsidRPr="00017E99">
        <w:rPr>
          <w:bCs/>
        </w:rPr>
        <w:t>9</w:t>
      </w:r>
      <w:r w:rsidRPr="00D15E6E">
        <w:rPr>
          <w:bCs/>
        </w:rPr>
        <w:t xml:space="preserve"> млн. лв., което представлява </w:t>
      </w:r>
      <w:r w:rsidRPr="00017E99">
        <w:rPr>
          <w:bCs/>
        </w:rPr>
        <w:t>49</w:t>
      </w:r>
      <w:r w:rsidRPr="00D15E6E">
        <w:rPr>
          <w:bCs/>
        </w:rPr>
        <w:t>,</w:t>
      </w:r>
      <w:r w:rsidRPr="00017E99">
        <w:rPr>
          <w:bCs/>
        </w:rPr>
        <w:t>3</w:t>
      </w:r>
      <w:r w:rsidRPr="00D15E6E">
        <w:rPr>
          <w:bCs/>
        </w:rPr>
        <w:t xml:space="preserve"> % от предвидените  в ЗБДОО за 201</w:t>
      </w:r>
      <w:r w:rsidRPr="00D15E6E">
        <w:rPr>
          <w:bCs/>
          <w:lang w:val="en-US"/>
        </w:rPr>
        <w:t>8</w:t>
      </w:r>
      <w:r w:rsidRPr="00D15E6E">
        <w:rPr>
          <w:bCs/>
        </w:rPr>
        <w:t xml:space="preserve"> г. средства. Спрямо същия период на миналата година, общо разходите по бюджета на ДОО са с </w:t>
      </w:r>
      <w:r w:rsidRPr="00017E99">
        <w:rPr>
          <w:bCs/>
        </w:rPr>
        <w:t>324</w:t>
      </w:r>
      <w:r w:rsidRPr="00D15E6E">
        <w:rPr>
          <w:bCs/>
        </w:rPr>
        <w:t>,</w:t>
      </w:r>
      <w:r w:rsidRPr="00017E99">
        <w:rPr>
          <w:bCs/>
        </w:rPr>
        <w:t>2</w:t>
      </w:r>
      <w:r w:rsidRPr="00D15E6E">
        <w:rPr>
          <w:bCs/>
        </w:rPr>
        <w:t xml:space="preserve"> млн. лв. (</w:t>
      </w:r>
      <w:r w:rsidRPr="00D15E6E">
        <w:rPr>
          <w:bCs/>
          <w:lang w:val="en-US"/>
        </w:rPr>
        <w:t>6</w:t>
      </w:r>
      <w:r w:rsidRPr="00D15E6E">
        <w:rPr>
          <w:bCs/>
        </w:rPr>
        <w:t>,</w:t>
      </w:r>
      <w:r w:rsidRPr="00017E99">
        <w:rPr>
          <w:bCs/>
        </w:rPr>
        <w:t>3</w:t>
      </w:r>
      <w:r w:rsidRPr="00D15E6E">
        <w:rPr>
          <w:bCs/>
        </w:rPr>
        <w:t xml:space="preserve"> %) повече. От структурна гледна точка с най-голям относителен дял в общите разходи са разходите за пенсии, обезщетения и помощи, изплащани на основание Кодекса за социално осигуряване – общо </w:t>
      </w:r>
      <w:r w:rsidRPr="00017E99">
        <w:rPr>
          <w:bCs/>
        </w:rPr>
        <w:t>5</w:t>
      </w:r>
      <w:r w:rsidRPr="00D15E6E">
        <w:rPr>
          <w:bCs/>
        </w:rPr>
        <w:t> </w:t>
      </w:r>
      <w:r w:rsidRPr="00017E99">
        <w:rPr>
          <w:bCs/>
        </w:rPr>
        <w:t>402</w:t>
      </w:r>
      <w:r w:rsidRPr="00D15E6E">
        <w:rPr>
          <w:bCs/>
        </w:rPr>
        <w:t>,</w:t>
      </w:r>
      <w:r w:rsidRPr="00017E99">
        <w:rPr>
          <w:bCs/>
        </w:rPr>
        <w:t>1</w:t>
      </w:r>
      <w:r w:rsidRPr="00D15E6E">
        <w:rPr>
          <w:bCs/>
        </w:rPr>
        <w:t xml:space="preserve"> млн. лв. или 99,</w:t>
      </w:r>
      <w:r w:rsidRPr="00017E99">
        <w:rPr>
          <w:bCs/>
        </w:rPr>
        <w:t>1</w:t>
      </w:r>
      <w:r w:rsidRPr="00D15E6E">
        <w:rPr>
          <w:bCs/>
        </w:rPr>
        <w:t xml:space="preserve"> % от общия размер на разходите за отчетния период. Отчетените разходи за </w:t>
      </w:r>
      <w:r w:rsidRPr="00D15E6E">
        <w:rPr>
          <w:b/>
          <w:bCs/>
        </w:rPr>
        <w:t>пенсии</w:t>
      </w:r>
      <w:r w:rsidRPr="00D15E6E">
        <w:rPr>
          <w:bCs/>
        </w:rPr>
        <w:t xml:space="preserve"> по бюджета на ДОО към 3</w:t>
      </w:r>
      <w:r w:rsidRPr="00017E99">
        <w:rPr>
          <w:bCs/>
        </w:rPr>
        <w:t>0</w:t>
      </w:r>
      <w:r w:rsidRPr="00D15E6E">
        <w:rPr>
          <w:bCs/>
        </w:rPr>
        <w:t>.0</w:t>
      </w:r>
      <w:r w:rsidRPr="00017E99">
        <w:rPr>
          <w:bCs/>
        </w:rPr>
        <w:t>6</w:t>
      </w:r>
      <w:r w:rsidRPr="00D15E6E">
        <w:rPr>
          <w:bCs/>
        </w:rPr>
        <w:t xml:space="preserve">.2018 г. възлизат на </w:t>
      </w:r>
      <w:r w:rsidRPr="00017E99">
        <w:rPr>
          <w:bCs/>
        </w:rPr>
        <w:t>4</w:t>
      </w:r>
      <w:r w:rsidRPr="00D15E6E">
        <w:rPr>
          <w:bCs/>
        </w:rPr>
        <w:t> </w:t>
      </w:r>
      <w:r w:rsidRPr="00017E99">
        <w:rPr>
          <w:bCs/>
        </w:rPr>
        <w:t>643</w:t>
      </w:r>
      <w:r w:rsidRPr="00D15E6E">
        <w:rPr>
          <w:bCs/>
        </w:rPr>
        <w:t>,</w:t>
      </w:r>
      <w:r w:rsidRPr="00017E99">
        <w:rPr>
          <w:bCs/>
        </w:rPr>
        <w:t>9</w:t>
      </w:r>
      <w:r w:rsidRPr="00D15E6E">
        <w:rPr>
          <w:bCs/>
        </w:rPr>
        <w:t xml:space="preserve"> млн. лв., което е с </w:t>
      </w:r>
      <w:r w:rsidRPr="00017E99">
        <w:rPr>
          <w:bCs/>
        </w:rPr>
        <w:t>232</w:t>
      </w:r>
      <w:r w:rsidRPr="00D15E6E">
        <w:rPr>
          <w:bCs/>
        </w:rPr>
        <w:t>,</w:t>
      </w:r>
      <w:r w:rsidRPr="00017E99">
        <w:rPr>
          <w:bCs/>
        </w:rPr>
        <w:t>7</w:t>
      </w:r>
      <w:r w:rsidRPr="00D15E6E">
        <w:rPr>
          <w:bCs/>
        </w:rPr>
        <w:t xml:space="preserve"> млн. лв. повече спрямо първото </w:t>
      </w:r>
      <w:r w:rsidRPr="00017E99">
        <w:rPr>
          <w:bCs/>
        </w:rPr>
        <w:t>полугодие</w:t>
      </w:r>
      <w:r w:rsidRPr="00D15E6E">
        <w:rPr>
          <w:bCs/>
        </w:rPr>
        <w:t xml:space="preserve"> на 2017 г. </w:t>
      </w:r>
      <w:r w:rsidRPr="00D15E6E">
        <w:t xml:space="preserve">Отчетените разходи за </w:t>
      </w:r>
      <w:r w:rsidRPr="00D15E6E">
        <w:rPr>
          <w:b/>
        </w:rPr>
        <w:t>краткосрочни обезщетения и помощи по КСО</w:t>
      </w:r>
      <w:r w:rsidRPr="00D15E6E">
        <w:t xml:space="preserve"> са в размер на </w:t>
      </w:r>
      <w:r w:rsidRPr="00017E99">
        <w:t>758</w:t>
      </w:r>
      <w:r w:rsidRPr="00D15E6E">
        <w:t xml:space="preserve">,2 млн. лева. Спрямо същия период на миналата година изплатените обезщетения по КСО са с </w:t>
      </w:r>
      <w:r w:rsidRPr="00017E99">
        <w:t>6</w:t>
      </w:r>
      <w:r w:rsidRPr="00D15E6E">
        <w:t>6,</w:t>
      </w:r>
      <w:r w:rsidRPr="00017E99">
        <w:t>7</w:t>
      </w:r>
      <w:r w:rsidRPr="00D15E6E">
        <w:t xml:space="preserve"> млн. лв. (</w:t>
      </w:r>
      <w:r w:rsidRPr="00017E99">
        <w:t>9</w:t>
      </w:r>
      <w:r w:rsidRPr="00D15E6E">
        <w:t>,</w:t>
      </w:r>
      <w:r w:rsidRPr="00017E99">
        <w:t>6</w:t>
      </w:r>
      <w:r w:rsidRPr="00D15E6E">
        <w:t xml:space="preserve"> %) повече.</w:t>
      </w:r>
    </w:p>
    <w:p w:rsidR="00CC0687" w:rsidRPr="00D15E6E" w:rsidRDefault="00CC0687" w:rsidP="004C6EDF">
      <w:pPr>
        <w:numPr>
          <w:ilvl w:val="1"/>
          <w:numId w:val="6"/>
        </w:numPr>
        <w:jc w:val="both"/>
        <w:rPr>
          <w:b/>
          <w:bCs/>
        </w:rPr>
      </w:pPr>
      <w:r w:rsidRPr="00D15E6E">
        <w:rPr>
          <w:b/>
          <w:bCs/>
        </w:rPr>
        <w:t>Национална здравноосигурителна каса</w:t>
      </w:r>
    </w:p>
    <w:p w:rsidR="00CC0687" w:rsidRPr="00D15E6E" w:rsidRDefault="00CC0687" w:rsidP="004C6EDF">
      <w:pPr>
        <w:ind w:firstLine="567"/>
        <w:jc w:val="both"/>
        <w:rPr>
          <w:color w:val="0070C0"/>
        </w:rPr>
      </w:pPr>
      <w:r w:rsidRPr="00AC0C94">
        <w:t xml:space="preserve">Общият размер на събраните </w:t>
      </w:r>
      <w:r w:rsidRPr="00AC0C94">
        <w:rPr>
          <w:b/>
        </w:rPr>
        <w:t>приходи</w:t>
      </w:r>
      <w:r w:rsidRPr="00AC0C94">
        <w:t xml:space="preserve"> по бюджета на НЗОК за първото полугодие на 2018 г. възлиза на 1 293,6 млн. лв., което представлява 50,3 % от предвидените със Закона за бюджета на НЗОК (ЗБНЗОК) за 2018 г. – 2 573,8 млн. лева. Постъпленията от здравноосигурителни вноски са в размер на 1 283,4 млн. лв., което е 50,2 % изпълнение на утвърдените със ЗБНЗОК за 2018 г. средства в размер на 2 556,3 млн. лева. Събраните неданъчни приходи за първото полугодие на 2018 г. са 10,2 млн. лв. или 58,1 % от заложените в ЗБНЗОК за 2018 г., като основната част от тях са приходи от глоби и санкции. </w:t>
      </w:r>
    </w:p>
    <w:p w:rsidR="00CC0687" w:rsidRPr="00D15E6E" w:rsidRDefault="00CC0687" w:rsidP="00CC0687">
      <w:pPr>
        <w:ind w:firstLine="567"/>
        <w:jc w:val="both"/>
        <w:rPr>
          <w:color w:val="0070C0"/>
        </w:rPr>
      </w:pPr>
      <w:r w:rsidRPr="00D253BD">
        <w:t xml:space="preserve">Полученият трансфер от МЗ за финансиране на разходите за лекарствени продукти – ваксини и дейности по прилагането им за здравните дейности по чл. 82, ал. 2, т. 3 от Закона за здравето (ЗЗ); за дейности за </w:t>
      </w:r>
      <w:proofErr w:type="spellStart"/>
      <w:r w:rsidRPr="00D253BD">
        <w:t>здравнонеосигурени</w:t>
      </w:r>
      <w:proofErr w:type="spellEnd"/>
      <w:r w:rsidRPr="00D253BD">
        <w:t xml:space="preserve"> лица, включващи: комплексно диспансерно (амбулаторно) наблюдение при пациенти с кожно-венерически и психиатрични заболявания; интензивно лечение; дейности по чл. 82, ал. 1, т. 2 от ЗЗ и за сумите по чл. 37, ал. 6 от Закона за здравното осигуряване е в размер на 17,7 млн. лв., което представлява 73,6 % от заложените със ЗБНЗОК за 2018 г. средства в размер на 24,0 млн. лева. </w:t>
      </w:r>
    </w:p>
    <w:p w:rsidR="00CC0687" w:rsidRPr="00FC2843" w:rsidRDefault="00CC0687" w:rsidP="00CC0687">
      <w:pPr>
        <w:ind w:firstLine="567"/>
        <w:jc w:val="both"/>
      </w:pPr>
      <w:r w:rsidRPr="00FC2843">
        <w:t>Трансферите за здравно осигуряване от централния бюджет за периода са 631,0 млн. лв.</w:t>
      </w:r>
    </w:p>
    <w:p w:rsidR="00CC0687" w:rsidRPr="00FC2843" w:rsidRDefault="00CC0687" w:rsidP="00CC0687">
      <w:pPr>
        <w:ind w:firstLine="567"/>
        <w:jc w:val="both"/>
      </w:pPr>
      <w:r w:rsidRPr="00FC2843">
        <w:lastRenderedPageBreak/>
        <w:t xml:space="preserve">Отчетените </w:t>
      </w:r>
      <w:r w:rsidRPr="00FC2843">
        <w:rPr>
          <w:b/>
        </w:rPr>
        <w:t>разходи</w:t>
      </w:r>
      <w:r w:rsidRPr="00FC2843">
        <w:t xml:space="preserve"> към 30.06.2018 г. са в размер на 1 978,1 млн. лв. и представляват 51,</w:t>
      </w:r>
      <w:r w:rsidRPr="00FC2843">
        <w:rPr>
          <w:lang w:val="en-US"/>
        </w:rPr>
        <w:t>3</w:t>
      </w:r>
      <w:r w:rsidRPr="00FC2843">
        <w:t> % от предвидените в ЗБНЗОК за 201</w:t>
      </w:r>
      <w:r w:rsidRPr="00FC2843">
        <w:rPr>
          <w:lang w:val="en-US"/>
        </w:rPr>
        <w:t>8</w:t>
      </w:r>
      <w:r w:rsidRPr="00FC2843">
        <w:t xml:space="preserve"> г. 3 </w:t>
      </w:r>
      <w:r w:rsidRPr="00FC2843">
        <w:rPr>
          <w:lang w:val="en-US"/>
        </w:rPr>
        <w:t>855</w:t>
      </w:r>
      <w:r w:rsidRPr="00FC2843">
        <w:t>,</w:t>
      </w:r>
      <w:r w:rsidRPr="00FC2843">
        <w:rPr>
          <w:lang w:val="en-US"/>
        </w:rPr>
        <w:t>4</w:t>
      </w:r>
      <w:r w:rsidRPr="00FC2843">
        <w:t xml:space="preserve"> млн. лева. Най-голям относителен дял (9</w:t>
      </w:r>
      <w:r w:rsidRPr="00FC2843">
        <w:rPr>
          <w:lang w:val="en-US"/>
        </w:rPr>
        <w:t>7</w:t>
      </w:r>
      <w:r w:rsidRPr="00FC2843">
        <w:t>,9 %) заемат здравноосигурителните плащания, които възлизат на 1 936,3 млн. лева. В отделните направления на здравноосигурителни плащания, изпълнението на бюджета по предварителни данни за първото полугодие на 201</w:t>
      </w:r>
      <w:r w:rsidRPr="00FC2843">
        <w:rPr>
          <w:lang w:val="en-US"/>
        </w:rPr>
        <w:t>8</w:t>
      </w:r>
      <w:r w:rsidRPr="00FC2843">
        <w:t xml:space="preserve"> г. е следното:</w:t>
      </w:r>
    </w:p>
    <w:p w:rsidR="00CC0687" w:rsidRPr="00FC2843" w:rsidRDefault="00CC0687" w:rsidP="00CC0687">
      <w:pPr>
        <w:numPr>
          <w:ilvl w:val="0"/>
          <w:numId w:val="18"/>
        </w:numPr>
        <w:tabs>
          <w:tab w:val="num" w:pos="0"/>
          <w:tab w:val="left" w:pos="720"/>
          <w:tab w:val="left" w:pos="1134"/>
        </w:tabs>
        <w:ind w:hanging="6169"/>
        <w:jc w:val="both"/>
        <w:rPr>
          <w:bCs/>
        </w:rPr>
      </w:pPr>
      <w:r w:rsidRPr="00FC2843">
        <w:rPr>
          <w:b/>
          <w:i/>
        </w:rPr>
        <w:t xml:space="preserve">Първична </w:t>
      </w:r>
      <w:proofErr w:type="spellStart"/>
      <w:r w:rsidRPr="00FC2843">
        <w:rPr>
          <w:b/>
          <w:i/>
        </w:rPr>
        <w:t>извънболнична</w:t>
      </w:r>
      <w:proofErr w:type="spellEnd"/>
      <w:r w:rsidRPr="00FC2843">
        <w:rPr>
          <w:b/>
          <w:i/>
        </w:rPr>
        <w:t xml:space="preserve"> медицинска помощ</w:t>
      </w:r>
      <w:r w:rsidRPr="00FC2843">
        <w:rPr>
          <w:i/>
        </w:rPr>
        <w:t xml:space="preserve"> –</w:t>
      </w:r>
      <w:r w:rsidRPr="00FC2843">
        <w:t xml:space="preserve"> 100,7 млн. лева;</w:t>
      </w:r>
      <w:r w:rsidRPr="00FC2843">
        <w:rPr>
          <w:bCs/>
        </w:rPr>
        <w:t xml:space="preserve"> </w:t>
      </w:r>
    </w:p>
    <w:p w:rsidR="00CC0687" w:rsidRPr="00FC2843" w:rsidRDefault="00CC0687" w:rsidP="00CC0687">
      <w:pPr>
        <w:numPr>
          <w:ilvl w:val="0"/>
          <w:numId w:val="18"/>
        </w:numPr>
        <w:tabs>
          <w:tab w:val="num" w:pos="0"/>
          <w:tab w:val="left" w:pos="720"/>
          <w:tab w:val="left" w:pos="1134"/>
        </w:tabs>
        <w:ind w:hanging="6169"/>
        <w:jc w:val="both"/>
        <w:rPr>
          <w:i/>
        </w:rPr>
      </w:pPr>
      <w:r w:rsidRPr="00FC2843">
        <w:rPr>
          <w:b/>
          <w:i/>
        </w:rPr>
        <w:t xml:space="preserve">Специализирана </w:t>
      </w:r>
      <w:proofErr w:type="spellStart"/>
      <w:r w:rsidRPr="00FC2843">
        <w:rPr>
          <w:b/>
          <w:i/>
        </w:rPr>
        <w:t>извънболнична</w:t>
      </w:r>
      <w:proofErr w:type="spellEnd"/>
      <w:r w:rsidRPr="00FC2843">
        <w:rPr>
          <w:b/>
          <w:i/>
        </w:rPr>
        <w:t xml:space="preserve"> медицинска помощ </w:t>
      </w:r>
      <w:r w:rsidRPr="00FC2843">
        <w:t xml:space="preserve"> – 111,9 млн. лева;</w:t>
      </w:r>
    </w:p>
    <w:p w:rsidR="00CC0687" w:rsidRPr="00FC2843" w:rsidRDefault="00CC0687" w:rsidP="00CC0687">
      <w:pPr>
        <w:numPr>
          <w:ilvl w:val="0"/>
          <w:numId w:val="18"/>
        </w:numPr>
        <w:tabs>
          <w:tab w:val="num" w:pos="0"/>
          <w:tab w:val="left" w:pos="720"/>
          <w:tab w:val="left" w:pos="1134"/>
        </w:tabs>
        <w:ind w:hanging="6169"/>
        <w:jc w:val="both"/>
        <w:rPr>
          <w:b/>
        </w:rPr>
      </w:pPr>
      <w:proofErr w:type="spellStart"/>
      <w:r w:rsidRPr="00FC2843">
        <w:rPr>
          <w:b/>
          <w:i/>
        </w:rPr>
        <w:t>Дентална</w:t>
      </w:r>
      <w:proofErr w:type="spellEnd"/>
      <w:r w:rsidRPr="00FC2843">
        <w:rPr>
          <w:b/>
          <w:i/>
        </w:rPr>
        <w:t xml:space="preserve"> помощ – </w:t>
      </w:r>
      <w:r w:rsidRPr="00FC2843">
        <w:t>79,3 млн. лева;</w:t>
      </w:r>
    </w:p>
    <w:p w:rsidR="00CC0687" w:rsidRPr="00FC2843" w:rsidRDefault="00CC0687" w:rsidP="00CC0687">
      <w:pPr>
        <w:numPr>
          <w:ilvl w:val="0"/>
          <w:numId w:val="18"/>
        </w:numPr>
        <w:tabs>
          <w:tab w:val="num" w:pos="0"/>
          <w:tab w:val="left" w:pos="720"/>
          <w:tab w:val="left" w:pos="1134"/>
        </w:tabs>
        <w:ind w:hanging="6169"/>
        <w:jc w:val="both"/>
        <w:rPr>
          <w:b/>
          <w:i/>
        </w:rPr>
      </w:pPr>
      <w:r w:rsidRPr="00FC2843">
        <w:rPr>
          <w:b/>
          <w:i/>
        </w:rPr>
        <w:t xml:space="preserve">Медико-диагностична дейност – </w:t>
      </w:r>
      <w:r w:rsidRPr="00FC2843">
        <w:t>39,3 млн. лева;</w:t>
      </w:r>
      <w:r w:rsidRPr="00FC2843">
        <w:rPr>
          <w:b/>
          <w:i/>
        </w:rPr>
        <w:t xml:space="preserve"> </w:t>
      </w:r>
    </w:p>
    <w:p w:rsidR="00CC0687" w:rsidRPr="00923FDB" w:rsidRDefault="00CC0687" w:rsidP="00CC0687">
      <w:pPr>
        <w:numPr>
          <w:ilvl w:val="0"/>
          <w:numId w:val="18"/>
        </w:numPr>
        <w:tabs>
          <w:tab w:val="clear" w:pos="6878"/>
          <w:tab w:val="num" w:pos="0"/>
          <w:tab w:val="num" w:pos="709"/>
          <w:tab w:val="left" w:pos="1134"/>
        </w:tabs>
        <w:ind w:left="1134" w:hanging="425"/>
        <w:jc w:val="both"/>
      </w:pPr>
      <w:r w:rsidRPr="00923FDB">
        <w:rPr>
          <w:b/>
          <w:i/>
        </w:rPr>
        <w:t xml:space="preserve">Лекарствени продукти, медицински изделия и диетични храни за домашно лечение на територията на страната </w:t>
      </w:r>
      <w:r w:rsidRPr="00923FDB">
        <w:rPr>
          <w:b/>
          <w:i/>
          <w:lang w:val="en-US"/>
        </w:rPr>
        <w:t xml:space="preserve"> - </w:t>
      </w:r>
      <w:r w:rsidRPr="00923FDB">
        <w:t>442,6 млн. лв.</w:t>
      </w:r>
    </w:p>
    <w:p w:rsidR="00CC0687" w:rsidRPr="00923FDB" w:rsidRDefault="00CC0687" w:rsidP="00CC0687">
      <w:pPr>
        <w:numPr>
          <w:ilvl w:val="0"/>
          <w:numId w:val="18"/>
        </w:numPr>
        <w:tabs>
          <w:tab w:val="clear" w:pos="6878"/>
          <w:tab w:val="num" w:pos="0"/>
          <w:tab w:val="left" w:pos="1134"/>
          <w:tab w:val="num" w:pos="6096"/>
        </w:tabs>
        <w:ind w:left="1134" w:hanging="425"/>
        <w:jc w:val="both"/>
      </w:pPr>
      <w:r w:rsidRPr="00923FDB">
        <w:rPr>
          <w:b/>
          <w:i/>
          <w:lang w:val="en-US"/>
        </w:rPr>
        <w:t xml:space="preserve"> </w:t>
      </w:r>
      <w:r w:rsidRPr="00923FDB">
        <w:rPr>
          <w:b/>
          <w:i/>
        </w:rPr>
        <w:t xml:space="preserve">Лекарствени продукти за лечение на злокачествени заболявания в условията на болнична медицинска помощ </w:t>
      </w:r>
      <w:r w:rsidRPr="00923FDB">
        <w:t xml:space="preserve"> – 184,1 млн. лева;</w:t>
      </w:r>
    </w:p>
    <w:p w:rsidR="00CC0687" w:rsidRPr="00923FDB" w:rsidRDefault="00CC0687" w:rsidP="00CC0687">
      <w:pPr>
        <w:numPr>
          <w:ilvl w:val="0"/>
          <w:numId w:val="18"/>
        </w:numPr>
        <w:tabs>
          <w:tab w:val="clear" w:pos="6878"/>
          <w:tab w:val="num" w:pos="0"/>
          <w:tab w:val="left" w:pos="720"/>
          <w:tab w:val="num" w:pos="1134"/>
        </w:tabs>
        <w:ind w:left="1134" w:hanging="425"/>
        <w:jc w:val="both"/>
      </w:pPr>
      <w:r w:rsidRPr="00923FDB">
        <w:rPr>
          <w:b/>
          <w:i/>
        </w:rPr>
        <w:t>Медицински изделия, прилагани в болничната медицинска помощ –</w:t>
      </w:r>
      <w:r w:rsidRPr="00923FDB">
        <w:t xml:space="preserve"> 51,5 млн. лева;</w:t>
      </w:r>
    </w:p>
    <w:p w:rsidR="00CC0687" w:rsidRPr="00D15E6E" w:rsidRDefault="00CC0687" w:rsidP="00CC0687">
      <w:pPr>
        <w:numPr>
          <w:ilvl w:val="0"/>
          <w:numId w:val="18"/>
        </w:numPr>
        <w:tabs>
          <w:tab w:val="num" w:pos="0"/>
          <w:tab w:val="left" w:pos="720"/>
          <w:tab w:val="left" w:pos="1134"/>
        </w:tabs>
        <w:ind w:hanging="6169"/>
        <w:jc w:val="both"/>
        <w:rPr>
          <w:color w:val="0070C0"/>
        </w:rPr>
      </w:pPr>
      <w:r w:rsidRPr="00923FDB">
        <w:rPr>
          <w:b/>
          <w:i/>
        </w:rPr>
        <w:t>Болнична медицинска помощ –</w:t>
      </w:r>
      <w:r w:rsidRPr="00923FDB">
        <w:t xml:space="preserve"> 882,2 млн. лева.</w:t>
      </w:r>
      <w:r w:rsidRPr="00923FDB">
        <w:tab/>
      </w:r>
      <w:r w:rsidRPr="00D15E6E">
        <w:rPr>
          <w:color w:val="0070C0"/>
        </w:rPr>
        <w:t xml:space="preserve"> </w:t>
      </w:r>
    </w:p>
    <w:p w:rsidR="00CC0687" w:rsidRPr="00923FDB" w:rsidRDefault="00CC0687" w:rsidP="00CC0687">
      <w:pPr>
        <w:numPr>
          <w:ilvl w:val="0"/>
          <w:numId w:val="18"/>
        </w:numPr>
        <w:tabs>
          <w:tab w:val="num" w:pos="0"/>
          <w:tab w:val="left" w:pos="720"/>
          <w:tab w:val="left" w:pos="1134"/>
        </w:tabs>
        <w:ind w:hanging="6169"/>
        <w:jc w:val="both"/>
      </w:pPr>
      <w:r w:rsidRPr="00923FDB">
        <w:rPr>
          <w:b/>
          <w:i/>
        </w:rPr>
        <w:t xml:space="preserve">Други здравноосигурителни плащания – </w:t>
      </w:r>
      <w:r w:rsidRPr="00923FDB">
        <w:t>44,6 млн. лева.</w:t>
      </w:r>
    </w:p>
    <w:p w:rsidR="00CC0687" w:rsidRPr="00D15E6E" w:rsidRDefault="00CC0687" w:rsidP="005E3EA2">
      <w:pPr>
        <w:spacing w:before="120"/>
        <w:ind w:firstLine="567"/>
        <w:jc w:val="both"/>
        <w:rPr>
          <w:color w:val="0070C0"/>
        </w:rPr>
      </w:pPr>
      <w:r w:rsidRPr="00923FDB">
        <w:t>Като здравноосигурителни плащания следва да се третират и преведените 45,7 млн. лв. трансфери по договори за извършване на медицински услуги към бюджетни организации, в структурата на които има лечебни заведения по чл. 5 от Закона за лечебните заведения. Реално усвоените средства за болнична помощ, вкл. трансферите, възлизат на 1 982,0 млн. лева.</w:t>
      </w:r>
    </w:p>
    <w:p w:rsidR="00CC0687" w:rsidRPr="00923FDB" w:rsidRDefault="00CC0687" w:rsidP="005E3EA2">
      <w:pPr>
        <w:ind w:firstLine="567"/>
        <w:jc w:val="both"/>
      </w:pPr>
      <w:r w:rsidRPr="00923FDB">
        <w:t xml:space="preserve">За периода са отчетени плащания в размер на 17,1 млн. лв. от предоставения трансфер  от Министерството на здравеопазването за дейности за </w:t>
      </w:r>
      <w:proofErr w:type="spellStart"/>
      <w:r w:rsidRPr="00923FDB">
        <w:t>здравнонеосигурени</w:t>
      </w:r>
      <w:proofErr w:type="spellEnd"/>
      <w:r w:rsidRPr="00923FDB">
        <w:t xml:space="preserve"> лица, лекарствени продукти и потребителска такса.</w:t>
      </w:r>
    </w:p>
    <w:p w:rsidR="00CC0687" w:rsidRPr="00D15E6E" w:rsidRDefault="00CC0687" w:rsidP="00CC0687">
      <w:pPr>
        <w:ind w:firstLine="567"/>
        <w:jc w:val="both"/>
        <w:rPr>
          <w:color w:val="0070C0"/>
        </w:rPr>
      </w:pPr>
      <w:r w:rsidRPr="004310F6">
        <w:t xml:space="preserve">По бюджета на НЗОК за 2018 година са утвърдени 49,8 млн. лв. за административни разходи на институцията, които включват разходите за персонал и за </w:t>
      </w:r>
      <w:r w:rsidRPr="0078601E">
        <w:t>текуща издръжка. За първото полугодие са отчетени 23,2 млн. лв., което представлява 46,5 % от годишния разчет. Усвоените средства за административни разходи заемат 1,2 на сто в структурата на общите разходи за отчетния период.</w:t>
      </w:r>
    </w:p>
    <w:p w:rsidR="007C2392" w:rsidRPr="00C7384F" w:rsidRDefault="007C2392" w:rsidP="007C2392">
      <w:pPr>
        <w:pStyle w:val="BodyText2"/>
        <w:spacing w:after="0" w:line="240" w:lineRule="auto"/>
        <w:ind w:left="993"/>
        <w:jc w:val="both"/>
        <w:rPr>
          <w:b/>
          <w:bCs/>
          <w:color w:val="0070C0"/>
          <w:sz w:val="12"/>
        </w:rPr>
      </w:pPr>
    </w:p>
    <w:p w:rsidR="00144BF2" w:rsidRPr="00197FB1" w:rsidRDefault="00AB1C75" w:rsidP="00C7384F">
      <w:pPr>
        <w:pStyle w:val="Heading1"/>
        <w:numPr>
          <w:ilvl w:val="1"/>
          <w:numId w:val="10"/>
        </w:numPr>
        <w:ind w:left="788" w:right="-108" w:hanging="431"/>
        <w:jc w:val="both"/>
        <w:rPr>
          <w:sz w:val="24"/>
        </w:rPr>
      </w:pPr>
      <w:r w:rsidRPr="00197FB1">
        <w:rPr>
          <w:sz w:val="24"/>
        </w:rPr>
        <w:t>Общински бюджети</w:t>
      </w:r>
    </w:p>
    <w:p w:rsidR="00F75EF5" w:rsidRPr="00197FB1" w:rsidRDefault="00F75EF5" w:rsidP="00C7384F">
      <w:pPr>
        <w:numPr>
          <w:ilvl w:val="0"/>
          <w:numId w:val="8"/>
        </w:numPr>
        <w:tabs>
          <w:tab w:val="num" w:pos="540"/>
        </w:tabs>
        <w:spacing w:line="276" w:lineRule="auto"/>
        <w:ind w:left="714" w:hanging="357"/>
        <w:jc w:val="both"/>
        <w:rPr>
          <w:b/>
        </w:rPr>
      </w:pPr>
      <w:r w:rsidRPr="00197FB1">
        <w:rPr>
          <w:b/>
        </w:rPr>
        <w:t>Приходи</w:t>
      </w:r>
    </w:p>
    <w:p w:rsidR="00197FB1" w:rsidRPr="000119C6" w:rsidRDefault="00197FB1" w:rsidP="00C7384F">
      <w:pPr>
        <w:ind w:firstLine="567"/>
        <w:jc w:val="both"/>
        <w:rPr>
          <w:b/>
          <w:color w:val="0070C0"/>
        </w:rPr>
      </w:pPr>
      <w:r w:rsidRPr="005E4C68">
        <w:t>Собствените приходи по бюджетите на общините към 3</w:t>
      </w:r>
      <w:r w:rsidRPr="005E4C68">
        <w:rPr>
          <w:lang w:val="en-US"/>
        </w:rPr>
        <w:t>0</w:t>
      </w:r>
      <w:r w:rsidRPr="005E4C68">
        <w:t>.</w:t>
      </w:r>
      <w:r w:rsidRPr="005E4C68">
        <w:rPr>
          <w:lang w:val="en-US"/>
        </w:rPr>
        <w:t>06.</w:t>
      </w:r>
      <w:r w:rsidRPr="005E4C68">
        <w:t>201</w:t>
      </w:r>
      <w:r w:rsidRPr="005E4C68">
        <w:rPr>
          <w:lang w:val="en-US"/>
        </w:rPr>
        <w:t>8</w:t>
      </w:r>
      <w:r w:rsidRPr="005E4C68">
        <w:t xml:space="preserve"> г. са в размер на </w:t>
      </w:r>
      <w:r w:rsidRPr="005E4C68">
        <w:rPr>
          <w:lang w:val="en-US"/>
        </w:rPr>
        <w:t>1</w:t>
      </w:r>
      <w:r w:rsidRPr="005E4C68">
        <w:t> </w:t>
      </w:r>
      <w:r w:rsidR="000178CA">
        <w:rPr>
          <w:lang w:val="en-US"/>
        </w:rPr>
        <w:t>320,2</w:t>
      </w:r>
      <w:r w:rsidRPr="005E4C68">
        <w:rPr>
          <w:b/>
          <w:bCs/>
          <w:lang w:val="en-US"/>
        </w:rPr>
        <w:t xml:space="preserve"> </w:t>
      </w:r>
      <w:r w:rsidRPr="005E4C68">
        <w:rPr>
          <w:bCs/>
        </w:rPr>
        <w:t>м</w:t>
      </w:r>
      <w:r w:rsidRPr="005E4C68">
        <w:t xml:space="preserve">лн. лв., което представлява </w:t>
      </w:r>
      <w:r w:rsidRPr="005E4C68">
        <w:rPr>
          <w:lang w:val="en-US"/>
        </w:rPr>
        <w:t>57,7</w:t>
      </w:r>
      <w:r w:rsidRPr="005E4C68">
        <w:t> % от разчетените към ЗДБРБ за 201</w:t>
      </w:r>
      <w:r w:rsidRPr="005E4C68">
        <w:rPr>
          <w:lang w:val="en-US"/>
        </w:rPr>
        <w:t>8</w:t>
      </w:r>
      <w:r w:rsidRPr="005E4C68">
        <w:t xml:space="preserve"> г. постъпления в размер на </w:t>
      </w:r>
      <w:r w:rsidRPr="005E4C68">
        <w:rPr>
          <w:bCs/>
        </w:rPr>
        <w:t xml:space="preserve">2 </w:t>
      </w:r>
      <w:r w:rsidRPr="005E4C68">
        <w:rPr>
          <w:bCs/>
          <w:lang w:val="en-US"/>
        </w:rPr>
        <w:t>289,6</w:t>
      </w:r>
      <w:r w:rsidRPr="005E4C68">
        <w:t xml:space="preserve"> млн. лева. Съпоставени със същия период на 201</w:t>
      </w:r>
      <w:r w:rsidRPr="005E4C68">
        <w:rPr>
          <w:lang w:val="en-US"/>
        </w:rPr>
        <w:t>7</w:t>
      </w:r>
      <w:r w:rsidRPr="005E4C68">
        <w:t xml:space="preserve"> г. приходите нарастват с</w:t>
      </w:r>
      <w:r w:rsidR="00632A6F">
        <w:t>ъс</w:t>
      </w:r>
      <w:r w:rsidRPr="005E4C68">
        <w:t xml:space="preserve"> 7,1 % </w:t>
      </w:r>
      <w:r w:rsidRPr="005E4C68">
        <w:rPr>
          <w:lang w:val="en-US"/>
        </w:rPr>
        <w:t>(</w:t>
      </w:r>
      <w:r w:rsidRPr="005E4C68">
        <w:t>87,0 млн. лв</w:t>
      </w:r>
      <w:r w:rsidRPr="00342FA0">
        <w:t>.</w:t>
      </w:r>
      <w:r w:rsidRPr="00342FA0">
        <w:rPr>
          <w:lang w:val="en-US"/>
        </w:rPr>
        <w:t>)</w:t>
      </w:r>
      <w:r w:rsidRPr="00342FA0">
        <w:t xml:space="preserve">. </w:t>
      </w:r>
      <w:r w:rsidRPr="00342FA0">
        <w:rPr>
          <w:i/>
        </w:rPr>
        <w:t>Данъчните приходи</w:t>
      </w:r>
      <w:r w:rsidRPr="00342FA0">
        <w:t xml:space="preserve"> по общинските бюджети са в размер на 579,3 млн. лв. или 59,7 % от годишните разчети към ЗДБРБ за 2018 г.</w:t>
      </w:r>
      <w:r w:rsidRPr="000119C6">
        <w:rPr>
          <w:color w:val="0070C0"/>
        </w:rPr>
        <w:t xml:space="preserve"> </w:t>
      </w:r>
      <w:r w:rsidRPr="00A20F2F">
        <w:t xml:space="preserve">и нарастват със </w:t>
      </w:r>
      <w:r w:rsidRPr="00A20F2F">
        <w:rPr>
          <w:lang w:val="en-US"/>
        </w:rPr>
        <w:t>7</w:t>
      </w:r>
      <w:r w:rsidRPr="00A20F2F">
        <w:t xml:space="preserve">,6 % </w:t>
      </w:r>
      <w:r w:rsidRPr="00A20F2F">
        <w:rPr>
          <w:lang w:val="en-US"/>
        </w:rPr>
        <w:t>(</w:t>
      </w:r>
      <w:r w:rsidRPr="00A20F2F">
        <w:t>40,9 млн. лв.</w:t>
      </w:r>
      <w:r w:rsidRPr="00A20F2F">
        <w:rPr>
          <w:lang w:val="en-US"/>
        </w:rPr>
        <w:t>)</w:t>
      </w:r>
      <w:r w:rsidRPr="00A20F2F">
        <w:t xml:space="preserve"> спрямо същия период на предходната година. </w:t>
      </w:r>
      <w:r w:rsidRPr="00A20F2F">
        <w:rPr>
          <w:bCs/>
        </w:rPr>
        <w:t xml:space="preserve">От </w:t>
      </w:r>
      <w:r w:rsidRPr="00A20F2F">
        <w:rPr>
          <w:bCs/>
          <w:i/>
        </w:rPr>
        <w:t>имуществени данъци по Закона за местните данъци и такси</w:t>
      </w:r>
      <w:r w:rsidRPr="00A20F2F">
        <w:rPr>
          <w:bCs/>
        </w:rPr>
        <w:t xml:space="preserve"> в местните бюджети към 30 юни 2018 г. са постъпили общо 568,9 млн. лв., което представлява 59,9 % от годишния разчет</w:t>
      </w:r>
      <w:r w:rsidRPr="00A20F2F">
        <w:rPr>
          <w:bCs/>
          <w:lang w:val="en-US"/>
        </w:rPr>
        <w:t xml:space="preserve"> </w:t>
      </w:r>
      <w:r w:rsidRPr="00A20F2F">
        <w:rPr>
          <w:bCs/>
        </w:rPr>
        <w:t>и със 7,9 % над постъпленията за същия период на 2017 г. С най-значителен дял в приходите от имуществени данъци е данъкът върху недвижимите имоти – 40,1 %, следват данъка върху превозните средства – 36,2 %, данъка върху придобиване на имущество по дарения и възмезден начин – 22,6 % и туристически данък – 1,0 %.</w:t>
      </w:r>
      <w:r w:rsidRPr="00A20F2F">
        <w:t xml:space="preserve"> През отчетния период по бюджетите на общините са постъпили 10,3 млн. лв. от </w:t>
      </w:r>
      <w:r w:rsidRPr="00A20F2F">
        <w:rPr>
          <w:i/>
        </w:rPr>
        <w:t>патентен данък и данък върху таксиметров превоз на пътници</w:t>
      </w:r>
      <w:r w:rsidRPr="00A20F2F">
        <w:t xml:space="preserve"> (50,9 % от годишния разчет). </w:t>
      </w:r>
    </w:p>
    <w:p w:rsidR="00197FB1" w:rsidRPr="00600228" w:rsidRDefault="00197FB1" w:rsidP="00197FB1">
      <w:pPr>
        <w:ind w:firstLine="567"/>
        <w:jc w:val="both"/>
      </w:pPr>
      <w:r w:rsidRPr="00B814B2">
        <w:t xml:space="preserve">Общият размер на </w:t>
      </w:r>
      <w:r w:rsidRPr="00B814B2">
        <w:rPr>
          <w:i/>
        </w:rPr>
        <w:t>неданъчните приходи</w:t>
      </w:r>
      <w:r w:rsidRPr="00B814B2">
        <w:t xml:space="preserve"> по местните бюджети към края на първото полугодие на 2018 г. е 726,7 млн. лв. или 56,2 % от разчетите към ЗДБРБ за 2018 г. Най-голям относителен дял заемат приходите от общински такси, които възлизат на 505,1 млн. лв</w:t>
      </w:r>
      <w:r w:rsidRPr="00600228">
        <w:t xml:space="preserve">. </w:t>
      </w:r>
      <w:r w:rsidRPr="00600228">
        <w:rPr>
          <w:lang w:val="en-US"/>
        </w:rPr>
        <w:t>(</w:t>
      </w:r>
      <w:r w:rsidR="00217C7A">
        <w:rPr>
          <w:lang w:val="en-US"/>
        </w:rPr>
        <w:t>62</w:t>
      </w:r>
      <w:proofErr w:type="gramStart"/>
      <w:r w:rsidRPr="00600228">
        <w:t>,7</w:t>
      </w:r>
      <w:proofErr w:type="gramEnd"/>
      <w:r w:rsidRPr="00600228">
        <w:t xml:space="preserve"> % от разчетените за годината</w:t>
      </w:r>
      <w:r w:rsidRPr="00600228">
        <w:rPr>
          <w:lang w:val="en-US"/>
        </w:rPr>
        <w:t>)</w:t>
      </w:r>
      <w:r w:rsidRPr="00600228">
        <w:t xml:space="preserve">, следват приходите и доходите от собственост – 133,2 млн. лв. </w:t>
      </w:r>
      <w:r w:rsidRPr="00600228">
        <w:rPr>
          <w:lang w:val="en-US"/>
        </w:rPr>
        <w:t>(</w:t>
      </w:r>
      <w:r w:rsidRPr="00600228">
        <w:t>46</w:t>
      </w:r>
      <w:proofErr w:type="gramStart"/>
      <w:r w:rsidRPr="00600228">
        <w:t>,3</w:t>
      </w:r>
      <w:proofErr w:type="gramEnd"/>
      <w:r w:rsidRPr="00600228">
        <w:t xml:space="preserve"> % от разчетените за 2018 г.</w:t>
      </w:r>
      <w:r w:rsidRPr="00600228">
        <w:rPr>
          <w:lang w:val="en-US"/>
        </w:rPr>
        <w:t>)</w:t>
      </w:r>
      <w:r w:rsidRPr="00600228">
        <w:t>, постъпленията</w:t>
      </w:r>
      <w:r w:rsidRPr="00600228">
        <w:rPr>
          <w:lang w:val="en-US"/>
        </w:rPr>
        <w:t xml:space="preserve"> </w:t>
      </w:r>
      <w:r w:rsidRPr="00600228">
        <w:t xml:space="preserve">от продажба на нефинансови активи – 57,6 млн. лв. </w:t>
      </w:r>
      <w:r w:rsidRPr="00600228">
        <w:rPr>
          <w:lang w:val="en-US"/>
        </w:rPr>
        <w:t>(</w:t>
      </w:r>
      <w:r w:rsidRPr="00600228">
        <w:t>52</w:t>
      </w:r>
      <w:proofErr w:type="gramStart"/>
      <w:r w:rsidRPr="00600228">
        <w:t>,8</w:t>
      </w:r>
      <w:proofErr w:type="gramEnd"/>
      <w:r w:rsidRPr="00600228">
        <w:t xml:space="preserve"> % от разчета за годината</w:t>
      </w:r>
      <w:r w:rsidRPr="00600228">
        <w:rPr>
          <w:lang w:val="en-US"/>
        </w:rPr>
        <w:t>)</w:t>
      </w:r>
      <w:r w:rsidRPr="00600228">
        <w:t>,</w:t>
      </w:r>
      <w:r w:rsidRPr="000119C6">
        <w:rPr>
          <w:color w:val="0070C0"/>
        </w:rPr>
        <w:t xml:space="preserve"> </w:t>
      </w:r>
      <w:r w:rsidRPr="00600228">
        <w:t xml:space="preserve">постъпленията от глоби, санкции и наказателни </w:t>
      </w:r>
      <w:r w:rsidRPr="00600228">
        <w:lastRenderedPageBreak/>
        <w:t xml:space="preserve">лихви – 36,7 млн. лв.  </w:t>
      </w:r>
      <w:r w:rsidRPr="00600228">
        <w:rPr>
          <w:lang w:val="en-US"/>
        </w:rPr>
        <w:t>(</w:t>
      </w:r>
      <w:r w:rsidRPr="00600228">
        <w:t>42</w:t>
      </w:r>
      <w:proofErr w:type="gramStart"/>
      <w:r w:rsidRPr="00600228">
        <w:t>,4</w:t>
      </w:r>
      <w:proofErr w:type="gramEnd"/>
      <w:r w:rsidRPr="00600228">
        <w:t xml:space="preserve"> % от разчета за 2018 г.</w:t>
      </w:r>
      <w:r w:rsidRPr="00600228">
        <w:rPr>
          <w:lang w:val="en-US"/>
        </w:rPr>
        <w:t>)</w:t>
      </w:r>
      <w:r>
        <w:rPr>
          <w:color w:val="0070C0"/>
        </w:rPr>
        <w:t xml:space="preserve"> </w:t>
      </w:r>
      <w:r w:rsidRPr="00600228">
        <w:t xml:space="preserve">и приходите от концесии – 24,4 млн. лв. </w:t>
      </w:r>
      <w:r w:rsidRPr="00600228">
        <w:rPr>
          <w:lang w:val="en-US"/>
        </w:rPr>
        <w:t>(</w:t>
      </w:r>
      <w:r w:rsidRPr="00600228">
        <w:t>51</w:t>
      </w:r>
      <w:proofErr w:type="gramStart"/>
      <w:r w:rsidRPr="00600228">
        <w:t>,9</w:t>
      </w:r>
      <w:proofErr w:type="gramEnd"/>
      <w:r w:rsidRPr="00600228">
        <w:t xml:space="preserve"> % от планираните</w:t>
      </w:r>
      <w:r w:rsidRPr="00600228">
        <w:rPr>
          <w:lang w:val="en-US"/>
        </w:rPr>
        <w:t>)</w:t>
      </w:r>
      <w:r w:rsidRPr="00600228">
        <w:t>.</w:t>
      </w:r>
    </w:p>
    <w:p w:rsidR="00197FB1" w:rsidRPr="00600228" w:rsidRDefault="00197FB1" w:rsidP="00197FB1">
      <w:pPr>
        <w:ind w:firstLine="567"/>
        <w:jc w:val="both"/>
      </w:pPr>
      <w:r w:rsidRPr="00600228">
        <w:t xml:space="preserve">През отчетния период по общинските бюджети са постъпили 14,3 млн. лв. приходи от </w:t>
      </w:r>
      <w:r w:rsidRPr="00600228">
        <w:rPr>
          <w:i/>
        </w:rPr>
        <w:t>помощи</w:t>
      </w:r>
      <w:r w:rsidRPr="00600228">
        <w:t xml:space="preserve">, което е 56,5 % от разчетените за годината 25,2 млн. лева. </w:t>
      </w:r>
    </w:p>
    <w:p w:rsidR="00197FB1" w:rsidRPr="00850F57" w:rsidRDefault="00197FB1" w:rsidP="00D013D9">
      <w:pPr>
        <w:numPr>
          <w:ilvl w:val="0"/>
          <w:numId w:val="8"/>
        </w:numPr>
        <w:tabs>
          <w:tab w:val="num" w:pos="540"/>
        </w:tabs>
        <w:spacing w:before="120" w:line="276" w:lineRule="auto"/>
        <w:ind w:left="714" w:hanging="357"/>
        <w:jc w:val="both"/>
        <w:rPr>
          <w:b/>
        </w:rPr>
      </w:pPr>
      <w:r w:rsidRPr="00850F57">
        <w:rPr>
          <w:b/>
        </w:rPr>
        <w:t>Разходи</w:t>
      </w:r>
    </w:p>
    <w:p w:rsidR="00197FB1" w:rsidRDefault="00197FB1" w:rsidP="00D013D9">
      <w:pPr>
        <w:ind w:firstLine="360"/>
        <w:jc w:val="both"/>
      </w:pPr>
      <w:r w:rsidRPr="00B31558">
        <w:t>Към 30.06.2018 г. общините са отчели общо разходи в размер на 2 710,3 млн. лв., които представляват 49,5 % от разчетите към ЗДБРБ за 2018 г.</w:t>
      </w:r>
      <w:r w:rsidRPr="0080452A">
        <w:t xml:space="preserve"> </w:t>
      </w:r>
    </w:p>
    <w:p w:rsidR="00197FB1" w:rsidRDefault="00197FB1" w:rsidP="00197FB1">
      <w:pPr>
        <w:ind w:firstLine="360"/>
        <w:jc w:val="both"/>
      </w:pPr>
      <w:r w:rsidRPr="003F0978">
        <w:rPr>
          <w:i/>
        </w:rPr>
        <w:t>Нелихвените разходи</w:t>
      </w:r>
      <w:r w:rsidR="00BC2554">
        <w:t xml:space="preserve"> възлизат на  2 693,</w:t>
      </w:r>
      <w:r w:rsidR="00BC2554">
        <w:rPr>
          <w:lang w:val="en-US"/>
        </w:rPr>
        <w:t>1</w:t>
      </w:r>
      <w:r w:rsidRPr="0080452A">
        <w:t xml:space="preserve"> млн. лв. или 49,</w:t>
      </w:r>
      <w:r w:rsidRPr="0080452A">
        <w:rPr>
          <w:lang w:val="en-US"/>
        </w:rPr>
        <w:t>6</w:t>
      </w:r>
      <w:r w:rsidRPr="0080452A">
        <w:t> % от годишния разчет. Разходите за персонал (</w:t>
      </w:r>
      <w:r w:rsidRPr="0080452A">
        <w:rPr>
          <w:bCs/>
        </w:rPr>
        <w:t>заплати и възнаграждения, други възнаграждения и плащания за персонала и осигурителни вноски)</w:t>
      </w:r>
      <w:r w:rsidRPr="000119C6">
        <w:rPr>
          <w:color w:val="0070C0"/>
        </w:rPr>
        <w:t xml:space="preserve"> </w:t>
      </w:r>
      <w:r w:rsidRPr="0080452A">
        <w:t xml:space="preserve">са в размер на 1 399,4 млн. лв. или 49,8 % от планираните за 2018 г. Разходите за издръжка </w:t>
      </w:r>
      <w:r w:rsidRPr="0080452A">
        <w:rPr>
          <w:bCs/>
        </w:rPr>
        <w:t>(вкл. разходи за членски внос и участие в нетърговски организации и дейности, платени данъци, такси и административни санкции)</w:t>
      </w:r>
      <w:r w:rsidRPr="0080452A">
        <w:t xml:space="preserve"> са в размер на 859,2 млн. лв., 55,0 % от годишния разчет. </w:t>
      </w:r>
      <w:r w:rsidRPr="000020E0">
        <w:t>Разходите за субсидии са в размер на 86,8 млн. лева. Тук се отчитат предоставените от общините субсидии за вътрешноградски и междуселищни превози на транспортните фирми и дружества, които се планират в централния бюджет.</w:t>
      </w:r>
      <w:r w:rsidR="001A4589" w:rsidRPr="001A4589">
        <w:rPr>
          <w:bCs/>
        </w:rPr>
        <w:t xml:space="preserve"> Социалните разходи (</w:t>
      </w:r>
      <w:r w:rsidR="001A4589">
        <w:t>текущи</w:t>
      </w:r>
      <w:r w:rsidR="001A4589" w:rsidRPr="000020E0">
        <w:t xml:space="preserve"> трансфери, обезщетения и помощи за домаки</w:t>
      </w:r>
      <w:r w:rsidR="001A4589">
        <w:t>нствата,</w:t>
      </w:r>
      <w:r w:rsidR="001A4589" w:rsidRPr="000020E0">
        <w:t xml:space="preserve"> </w:t>
      </w:r>
      <w:r w:rsidR="001A4589" w:rsidRPr="001A4589">
        <w:rPr>
          <w:bCs/>
        </w:rPr>
        <w:t>вкл. разходите за стипендии)</w:t>
      </w:r>
      <w:r w:rsidRPr="000020E0">
        <w:t xml:space="preserve"> </w:t>
      </w:r>
      <w:r w:rsidR="001A4589">
        <w:t>са в размер на 85,6 млн. лв., което е 70,8</w:t>
      </w:r>
      <w:r w:rsidRPr="000020E0">
        <w:t xml:space="preserve"> % от разчетите към ЗДБРБ за 201</w:t>
      </w:r>
      <w:r w:rsidRPr="000020E0">
        <w:rPr>
          <w:lang w:val="en-US"/>
        </w:rPr>
        <w:t>8</w:t>
      </w:r>
      <w:r w:rsidRPr="000020E0">
        <w:t xml:space="preserve"> г.  </w:t>
      </w:r>
    </w:p>
    <w:p w:rsidR="00197FB1" w:rsidRDefault="00197FB1" w:rsidP="00197FB1">
      <w:pPr>
        <w:ind w:firstLine="360"/>
      </w:pPr>
      <w:r w:rsidRPr="000020E0">
        <w:t>Предоставени</w:t>
      </w:r>
      <w:r>
        <w:t>те</w:t>
      </w:r>
      <w:r w:rsidRPr="000020E0">
        <w:t xml:space="preserve"> текущи и капиталови трансфери за чужбина</w:t>
      </w:r>
      <w:r>
        <w:t xml:space="preserve"> са в размер на 0,3 млн. лв. </w:t>
      </w:r>
    </w:p>
    <w:p w:rsidR="00197FB1" w:rsidRPr="003F0978" w:rsidRDefault="00197FB1" w:rsidP="00197FB1">
      <w:pPr>
        <w:ind w:firstLine="360"/>
      </w:pPr>
      <w:r w:rsidRPr="003F0978">
        <w:t>Капиталовите разходи са в размер на 261,8 млн. лв. или 31,5 % от разчетите към ЗДБРБ за 201</w:t>
      </w:r>
      <w:r w:rsidRPr="003F0978">
        <w:rPr>
          <w:lang w:val="en-US"/>
        </w:rPr>
        <w:t>8</w:t>
      </w:r>
      <w:r w:rsidRPr="003F0978">
        <w:t xml:space="preserve"> година.</w:t>
      </w:r>
    </w:p>
    <w:p w:rsidR="00197FB1" w:rsidRPr="003F0978" w:rsidRDefault="00197FB1" w:rsidP="00197FB1">
      <w:pPr>
        <w:ind w:firstLine="360"/>
        <w:jc w:val="both"/>
      </w:pPr>
      <w:r w:rsidRPr="003F0978">
        <w:rPr>
          <w:i/>
        </w:rPr>
        <w:t>Разходите за лихви</w:t>
      </w:r>
      <w:r w:rsidRPr="003F0978">
        <w:t xml:space="preserve"> възлизат на 1</w:t>
      </w:r>
      <w:r w:rsidRPr="003F0978">
        <w:rPr>
          <w:lang w:val="en-US"/>
        </w:rPr>
        <w:t>7</w:t>
      </w:r>
      <w:r w:rsidRPr="003F0978">
        <w:t>,</w:t>
      </w:r>
      <w:r w:rsidRPr="003F0978">
        <w:rPr>
          <w:lang w:val="en-US"/>
        </w:rPr>
        <w:t>2</w:t>
      </w:r>
      <w:r w:rsidRPr="003F0978">
        <w:t xml:space="preserve"> млн. лв. и са 45,3 % от разчета за 201</w:t>
      </w:r>
      <w:r w:rsidRPr="003F0978">
        <w:rPr>
          <w:lang w:val="en-US"/>
        </w:rPr>
        <w:t>8</w:t>
      </w:r>
      <w:r w:rsidRPr="003F0978">
        <w:t xml:space="preserve"> година. </w:t>
      </w:r>
    </w:p>
    <w:p w:rsidR="00197FB1" w:rsidRPr="003F0978" w:rsidRDefault="00197FB1" w:rsidP="00197FB1">
      <w:pPr>
        <w:tabs>
          <w:tab w:val="center" w:pos="4153"/>
          <w:tab w:val="right" w:pos="8306"/>
        </w:tabs>
        <w:jc w:val="both"/>
        <w:rPr>
          <w:rFonts w:eastAsia="Calibri"/>
        </w:rPr>
      </w:pPr>
      <w:r w:rsidRPr="000119C6">
        <w:rPr>
          <w:color w:val="0070C0"/>
          <w:lang w:val="en-US"/>
        </w:rPr>
        <w:t xml:space="preserve">      </w:t>
      </w:r>
      <w:r w:rsidRPr="003F0978">
        <w:t xml:space="preserve">Общият размер на отчетените разходи за </w:t>
      </w:r>
      <w:proofErr w:type="spellStart"/>
      <w:r w:rsidRPr="003F0978">
        <w:t>дофинансиране</w:t>
      </w:r>
      <w:proofErr w:type="spellEnd"/>
      <w:r w:rsidRPr="003F0978">
        <w:t xml:space="preserve"> на делегираните от държавата дейности с местни приходи е 73,6 млн. лв.</w:t>
      </w:r>
    </w:p>
    <w:p w:rsidR="00197FB1" w:rsidRPr="003F0978" w:rsidRDefault="00197FB1" w:rsidP="00D013D9">
      <w:pPr>
        <w:numPr>
          <w:ilvl w:val="0"/>
          <w:numId w:val="8"/>
        </w:numPr>
        <w:tabs>
          <w:tab w:val="num" w:pos="540"/>
        </w:tabs>
        <w:spacing w:before="120" w:line="276" w:lineRule="auto"/>
        <w:ind w:left="714" w:hanging="357"/>
        <w:jc w:val="both"/>
        <w:rPr>
          <w:b/>
        </w:rPr>
      </w:pPr>
      <w:r w:rsidRPr="003F0978">
        <w:rPr>
          <w:b/>
        </w:rPr>
        <w:t>Финансиране</w:t>
      </w:r>
    </w:p>
    <w:p w:rsidR="00197FB1" w:rsidRDefault="00197FB1" w:rsidP="00D013D9">
      <w:pPr>
        <w:ind w:firstLine="360"/>
        <w:jc w:val="both"/>
      </w:pPr>
      <w:r w:rsidRPr="003A4FCC">
        <w:t>За първото полугодие на 201</w:t>
      </w:r>
      <w:r w:rsidRPr="003A4FCC">
        <w:rPr>
          <w:lang w:val="en-US"/>
        </w:rPr>
        <w:t>8</w:t>
      </w:r>
      <w:r w:rsidRPr="003A4FCC">
        <w:t xml:space="preserve"> г. по общинските бюджети са изплатени </w:t>
      </w:r>
      <w:r w:rsidRPr="003A4FCC">
        <w:rPr>
          <w:i/>
        </w:rPr>
        <w:t>погашения по заеми</w:t>
      </w:r>
      <w:r w:rsidRPr="003A4FCC">
        <w:t xml:space="preserve"> от чужбина  в размер на 1</w:t>
      </w:r>
      <w:r w:rsidRPr="003A4FCC">
        <w:rPr>
          <w:lang w:val="en-US"/>
        </w:rPr>
        <w:t>7</w:t>
      </w:r>
      <w:r w:rsidRPr="003A4FCC">
        <w:t xml:space="preserve">,5 млн. лева, а получените средства от началото на годината по тези заеми са в размер на 115,3 млн. лв. От банки  в страната и други местни лица </w:t>
      </w:r>
      <w:r w:rsidRPr="003A4FCC">
        <w:rPr>
          <w:lang w:val="en-US"/>
        </w:rPr>
        <w:t>(</w:t>
      </w:r>
      <w:r w:rsidRPr="003A4FCC">
        <w:t>ФЛАГ ЕАД, Фонд „Енергийна ефективност“ и др.</w:t>
      </w:r>
      <w:r w:rsidRPr="003A4FCC">
        <w:rPr>
          <w:lang w:val="en-US"/>
        </w:rPr>
        <w:t>)</w:t>
      </w:r>
      <w:r w:rsidRPr="003A4FCC">
        <w:t>, общините са получили заеми в размер на 61,0 млн. лв. и са изплатили погашения в размер на 50,3 млн. лева.</w:t>
      </w:r>
    </w:p>
    <w:p w:rsidR="00197FB1" w:rsidRPr="003A4FCC" w:rsidRDefault="00197FB1" w:rsidP="00197FB1">
      <w:pPr>
        <w:ind w:firstLine="360"/>
        <w:jc w:val="both"/>
      </w:pPr>
      <w:r>
        <w:t>Погашенията по емитирани общински ценни книжа за периода са в размер на 4,</w:t>
      </w:r>
      <w:proofErr w:type="spellStart"/>
      <w:r>
        <w:t>4</w:t>
      </w:r>
      <w:proofErr w:type="spellEnd"/>
      <w:r>
        <w:t xml:space="preserve"> млн. лева.</w:t>
      </w:r>
    </w:p>
    <w:p w:rsidR="00197FB1" w:rsidRPr="00067082" w:rsidRDefault="00197FB1" w:rsidP="00197FB1">
      <w:pPr>
        <w:pStyle w:val="Header"/>
        <w:tabs>
          <w:tab w:val="clear" w:pos="4153"/>
          <w:tab w:val="clear" w:pos="8306"/>
        </w:tabs>
        <w:ind w:firstLine="360"/>
        <w:jc w:val="both"/>
        <w:rPr>
          <w:lang w:val="en-US"/>
        </w:rPr>
      </w:pPr>
      <w:r w:rsidRPr="00067082">
        <w:t xml:space="preserve">Общините приключиха </w:t>
      </w:r>
      <w:r w:rsidR="0055409C" w:rsidRPr="0055409C">
        <w:t xml:space="preserve">първото полугодие </w:t>
      </w:r>
      <w:r w:rsidRPr="00067082">
        <w:t>на 201</w:t>
      </w:r>
      <w:r w:rsidRPr="00067082">
        <w:rPr>
          <w:lang w:val="en-US"/>
        </w:rPr>
        <w:t>8</w:t>
      </w:r>
      <w:r w:rsidRPr="00067082">
        <w:t xml:space="preserve"> г. с бюджетни наличности (по банкови сметки и в каса) в размер на </w:t>
      </w:r>
      <w:r w:rsidRPr="00067082">
        <w:rPr>
          <w:lang w:val="en-US"/>
        </w:rPr>
        <w:t xml:space="preserve">1 </w:t>
      </w:r>
      <w:r w:rsidRPr="00067082">
        <w:t xml:space="preserve">356,6 </w:t>
      </w:r>
      <w:r>
        <w:t>млн. лв.,</w:t>
      </w:r>
      <w:r w:rsidRPr="00067082">
        <w:t xml:space="preserve"> като 496,7 млн. лв. (37,0 %) са отчетени като остатък в делегираните от държавата дейности.</w:t>
      </w:r>
    </w:p>
    <w:p w:rsidR="002C4D33" w:rsidRPr="000119C6" w:rsidRDefault="002C4D33" w:rsidP="00FD362E">
      <w:pPr>
        <w:pStyle w:val="BodyText"/>
        <w:spacing w:after="120"/>
        <w:ind w:firstLine="567"/>
        <w:rPr>
          <w:color w:val="0070C0"/>
          <w:sz w:val="12"/>
          <w:szCs w:val="12"/>
        </w:rPr>
      </w:pPr>
    </w:p>
    <w:p w:rsidR="00D96A20" w:rsidRPr="00453E52" w:rsidRDefault="00D96A20" w:rsidP="00337CA7">
      <w:pPr>
        <w:pStyle w:val="Heading1"/>
        <w:numPr>
          <w:ilvl w:val="1"/>
          <w:numId w:val="10"/>
        </w:numPr>
        <w:spacing w:after="120"/>
        <w:ind w:left="788" w:right="-108" w:hanging="431"/>
        <w:jc w:val="both"/>
        <w:rPr>
          <w:sz w:val="24"/>
        </w:rPr>
      </w:pPr>
      <w:r w:rsidRPr="00453E52">
        <w:rPr>
          <w:sz w:val="24"/>
        </w:rPr>
        <w:t>Бюджети на Българската национална телевизия (БНТ), Българското национално радио (БНР) и Българската телеграфна агенция (БТА)</w:t>
      </w:r>
    </w:p>
    <w:p w:rsidR="00EB6405" w:rsidRDefault="003C667C" w:rsidP="00DC1828">
      <w:pPr>
        <w:ind w:firstLine="567"/>
        <w:jc w:val="both"/>
        <w:rPr>
          <w:szCs w:val="20"/>
        </w:rPr>
      </w:pPr>
      <w:r w:rsidRPr="00453E52">
        <w:rPr>
          <w:b/>
        </w:rPr>
        <w:t>Приходите на БНТ</w:t>
      </w:r>
      <w:r w:rsidRPr="00453E52">
        <w:t xml:space="preserve"> към </w:t>
      </w:r>
      <w:r w:rsidR="00453E52" w:rsidRPr="00453E52">
        <w:t>30</w:t>
      </w:r>
      <w:r w:rsidRPr="00453E52">
        <w:t>.</w:t>
      </w:r>
      <w:r w:rsidR="00453E52" w:rsidRPr="00453E52">
        <w:t>06</w:t>
      </w:r>
      <w:r w:rsidRPr="00453E52">
        <w:t>.201</w:t>
      </w:r>
      <w:r w:rsidRPr="00453E52">
        <w:rPr>
          <w:lang w:val="en-US"/>
        </w:rPr>
        <w:t>8</w:t>
      </w:r>
      <w:r w:rsidRPr="00453E52">
        <w:t xml:space="preserve"> г. са в размер на </w:t>
      </w:r>
      <w:r w:rsidR="00453E52" w:rsidRPr="00453E52">
        <w:t>3,9</w:t>
      </w:r>
      <w:r w:rsidRPr="00453E52">
        <w:t xml:space="preserve"> млн. лв. при планирани за годината 7,5 млн. лв. или за отчетния период са постъпили </w:t>
      </w:r>
      <w:r w:rsidR="00453E52" w:rsidRPr="00453E52">
        <w:t>52,4</w:t>
      </w:r>
      <w:r w:rsidRPr="00453E52">
        <w:t xml:space="preserve"> % от планираните за </w:t>
      </w:r>
      <w:r w:rsidRPr="00EB6405">
        <w:t xml:space="preserve">годината. </w:t>
      </w:r>
      <w:r w:rsidRPr="00EB6405">
        <w:rPr>
          <w:szCs w:val="20"/>
        </w:rPr>
        <w:t>Отчетените приходи са постъпления от продажби на услуги, стоки и продукция (реклама, спонсорство, технически услуги, почивно дело, продажба на програми) и</w:t>
      </w:r>
      <w:r w:rsidRPr="00EB6405">
        <w:rPr>
          <w:b/>
          <w:szCs w:val="20"/>
        </w:rPr>
        <w:t xml:space="preserve"> </w:t>
      </w:r>
      <w:r w:rsidRPr="00EB6405">
        <w:rPr>
          <w:szCs w:val="20"/>
        </w:rPr>
        <w:t xml:space="preserve">наеми на имущество. </w:t>
      </w:r>
    </w:p>
    <w:p w:rsidR="003C667C" w:rsidRPr="0066448E" w:rsidRDefault="003C667C" w:rsidP="00DC1828">
      <w:pPr>
        <w:ind w:firstLine="567"/>
        <w:jc w:val="both"/>
      </w:pPr>
      <w:r w:rsidRPr="00E251C3">
        <w:t xml:space="preserve">Отчетените </w:t>
      </w:r>
      <w:r w:rsidRPr="00E251C3">
        <w:rPr>
          <w:b/>
        </w:rPr>
        <w:t>разходи</w:t>
      </w:r>
      <w:r w:rsidRPr="00E251C3">
        <w:t xml:space="preserve"> </w:t>
      </w:r>
      <w:r w:rsidRPr="00E251C3">
        <w:rPr>
          <w:b/>
        </w:rPr>
        <w:t>на БНТ</w:t>
      </w:r>
      <w:r w:rsidRPr="00E251C3">
        <w:t xml:space="preserve"> към </w:t>
      </w:r>
      <w:r w:rsidR="00E251C3" w:rsidRPr="00E251C3">
        <w:t>30</w:t>
      </w:r>
      <w:r w:rsidRPr="00E251C3">
        <w:t>.</w:t>
      </w:r>
      <w:r w:rsidR="00E251C3" w:rsidRPr="00E251C3">
        <w:t>06</w:t>
      </w:r>
      <w:r w:rsidRPr="00E251C3">
        <w:t xml:space="preserve">.2018 г. са в размер на </w:t>
      </w:r>
      <w:r w:rsidR="00E251C3" w:rsidRPr="00E251C3">
        <w:t>34,1</w:t>
      </w:r>
      <w:r w:rsidRPr="00E251C3">
        <w:t xml:space="preserve"> млн. лв. или </w:t>
      </w:r>
      <w:r w:rsidR="00E251C3" w:rsidRPr="00E251C3">
        <w:t>46,5</w:t>
      </w:r>
      <w:r w:rsidRPr="00E251C3">
        <w:t xml:space="preserve"> % от годишния разчет по ЗДБРБ за 2018 г. </w:t>
      </w:r>
      <w:r w:rsidRPr="00E251C3">
        <w:rPr>
          <w:szCs w:val="20"/>
        </w:rPr>
        <w:t xml:space="preserve">За периода са отчетени </w:t>
      </w:r>
      <w:r w:rsidR="00E251C3" w:rsidRPr="00E251C3">
        <w:rPr>
          <w:szCs w:val="20"/>
        </w:rPr>
        <w:t xml:space="preserve">26,5 </w:t>
      </w:r>
      <w:r w:rsidRPr="00E251C3">
        <w:rPr>
          <w:szCs w:val="20"/>
        </w:rPr>
        <w:t xml:space="preserve">млн. лв. текущи разходи и </w:t>
      </w:r>
      <w:r w:rsidR="00E251C3" w:rsidRPr="00E251C3">
        <w:rPr>
          <w:szCs w:val="20"/>
        </w:rPr>
        <w:t>7,5</w:t>
      </w:r>
      <w:r w:rsidRPr="00E251C3">
        <w:rPr>
          <w:szCs w:val="20"/>
        </w:rPr>
        <w:t xml:space="preserve"> млн. лв</w:t>
      </w:r>
      <w:r w:rsidRPr="0066448E">
        <w:rPr>
          <w:szCs w:val="20"/>
        </w:rPr>
        <w:t xml:space="preserve">. капиталови разходи. По бюджета на БНТ в частта на финансирането са отчетени погашения по търговски кредит  в размер на </w:t>
      </w:r>
      <w:r w:rsidR="0066448E" w:rsidRPr="0066448E">
        <w:rPr>
          <w:szCs w:val="20"/>
        </w:rPr>
        <w:t>5,0</w:t>
      </w:r>
      <w:r w:rsidRPr="0066448E">
        <w:rPr>
          <w:szCs w:val="20"/>
        </w:rPr>
        <w:t xml:space="preserve"> млн. лв., които представляват погашения на задължения по договори от предходната година за такси за разпространение на програмите на БНТ, придобиване на отстъпени права за излъчване на европейски и световни първенства и за придобиване на машини и съоръжения. В разпределението на разходите по бюджета на </w:t>
      </w:r>
      <w:r w:rsidRPr="00623453">
        <w:rPr>
          <w:szCs w:val="20"/>
        </w:rPr>
        <w:t xml:space="preserve">обществената медия е включен преходния остатък за 2017 г. (съгл. чл. 70, ал. 6 от </w:t>
      </w:r>
      <w:r w:rsidR="00623453" w:rsidRPr="00623453">
        <w:rPr>
          <w:szCs w:val="20"/>
        </w:rPr>
        <w:t>Закона за радиото и телевизията</w:t>
      </w:r>
      <w:r w:rsidRPr="00623453">
        <w:rPr>
          <w:szCs w:val="20"/>
        </w:rPr>
        <w:t xml:space="preserve">) в размер на </w:t>
      </w:r>
      <w:r w:rsidRPr="00623453">
        <w:rPr>
          <w:szCs w:val="20"/>
          <w:lang w:val="en-US"/>
        </w:rPr>
        <w:t>2</w:t>
      </w:r>
      <w:r w:rsidRPr="00623453">
        <w:rPr>
          <w:szCs w:val="20"/>
        </w:rPr>
        <w:t xml:space="preserve">,7 млн. лв. За отчетния период  средствата са усвоени за </w:t>
      </w:r>
      <w:r w:rsidRPr="0066448E">
        <w:rPr>
          <w:szCs w:val="20"/>
        </w:rPr>
        <w:lastRenderedPageBreak/>
        <w:t xml:space="preserve">реализирането на основните цели и дейности на БНТ по подготовката, създаването и разпространението на телевизионни програми съгласно разпоредбите на Закона за радиото и телевизията. </w:t>
      </w:r>
    </w:p>
    <w:p w:rsidR="003C667C" w:rsidRPr="00CD2F95" w:rsidRDefault="003C667C" w:rsidP="00DC1828">
      <w:pPr>
        <w:ind w:firstLine="567"/>
        <w:jc w:val="both"/>
        <w:rPr>
          <w:szCs w:val="20"/>
        </w:rPr>
      </w:pPr>
      <w:r w:rsidRPr="00CD2F95">
        <w:t xml:space="preserve">Общо утвърдените </w:t>
      </w:r>
      <w:r w:rsidRPr="00CD2F95">
        <w:rPr>
          <w:b/>
          <w:i/>
        </w:rPr>
        <w:t>бюджетни взаимоотношения на БНТ с централния бюджет</w:t>
      </w:r>
      <w:r w:rsidRPr="00CD2F95">
        <w:t xml:space="preserve"> за 2018 г. са в размер на </w:t>
      </w:r>
      <w:r w:rsidRPr="00CD2F95">
        <w:rPr>
          <w:szCs w:val="20"/>
        </w:rPr>
        <w:t xml:space="preserve">66,9 млн. лв., в т.ч.: 65,4 млн. лв. съгласно чл. 50, т. 2 от ЗДБРБ за 2018 г. и одобрени допълнителни трансфери общо в размер на 1,5 млн. лв. за закупуване на техника за разпространяване на картина и звук от събитията по време на Българското председателство на Съвета на Европейския съюз през 2018 г. съгл. ПМС № 15 от 2018 г. </w:t>
      </w:r>
    </w:p>
    <w:p w:rsidR="003C667C" w:rsidRPr="009E3B55" w:rsidRDefault="003C667C" w:rsidP="00DC1828">
      <w:pPr>
        <w:spacing w:after="120"/>
        <w:ind w:firstLine="567"/>
        <w:jc w:val="both"/>
      </w:pPr>
      <w:r w:rsidRPr="002503BA">
        <w:rPr>
          <w:szCs w:val="20"/>
        </w:rPr>
        <w:t xml:space="preserve">За отчетния период е усвоена сума в размер на </w:t>
      </w:r>
      <w:r w:rsidR="002503BA" w:rsidRPr="002503BA">
        <w:rPr>
          <w:szCs w:val="20"/>
        </w:rPr>
        <w:t>36,1</w:t>
      </w:r>
      <w:r w:rsidRPr="002503BA">
        <w:rPr>
          <w:szCs w:val="20"/>
        </w:rPr>
        <w:t xml:space="preserve"> млн. лв. или </w:t>
      </w:r>
      <w:r w:rsidR="002503BA" w:rsidRPr="002503BA">
        <w:rPr>
          <w:szCs w:val="20"/>
        </w:rPr>
        <w:t>54,0</w:t>
      </w:r>
      <w:r w:rsidRPr="002503BA">
        <w:rPr>
          <w:szCs w:val="20"/>
        </w:rPr>
        <w:t xml:space="preserve"> % от размера на </w:t>
      </w:r>
      <w:r w:rsidRPr="009E3B55">
        <w:rPr>
          <w:szCs w:val="20"/>
        </w:rPr>
        <w:t>бюджетните взаимоотношения на БНТ с централния бюджет.</w:t>
      </w:r>
      <w:r w:rsidRPr="009E3B55">
        <w:t xml:space="preserve"> </w:t>
      </w:r>
    </w:p>
    <w:p w:rsidR="003C667C" w:rsidRPr="00C82AD3" w:rsidRDefault="003C667C" w:rsidP="00DC1828">
      <w:pPr>
        <w:ind w:firstLine="567"/>
        <w:jc w:val="both"/>
      </w:pPr>
      <w:r w:rsidRPr="009E3B55">
        <w:rPr>
          <w:b/>
        </w:rPr>
        <w:t>П</w:t>
      </w:r>
      <w:r w:rsidRPr="009E3B55">
        <w:rPr>
          <w:b/>
          <w:bCs/>
        </w:rPr>
        <w:t>риходите</w:t>
      </w:r>
      <w:r w:rsidRPr="009E3B55">
        <w:rPr>
          <w:b/>
        </w:rPr>
        <w:t xml:space="preserve"> по бюджета на </w:t>
      </w:r>
      <w:r w:rsidRPr="009E3B55">
        <w:rPr>
          <w:b/>
          <w:bCs/>
        </w:rPr>
        <w:t>БНР</w:t>
      </w:r>
      <w:r w:rsidRPr="009E3B55">
        <w:rPr>
          <w:b/>
        </w:rPr>
        <w:t xml:space="preserve"> </w:t>
      </w:r>
      <w:r w:rsidRPr="009E3B55">
        <w:t xml:space="preserve">за първото </w:t>
      </w:r>
      <w:r w:rsidR="009E3B55" w:rsidRPr="009E3B55">
        <w:t>полугодие</w:t>
      </w:r>
      <w:r w:rsidRPr="009E3B55">
        <w:t xml:space="preserve"> на 2018 г. са в размер на 0,</w:t>
      </w:r>
      <w:r w:rsidR="009E3B55" w:rsidRPr="009E3B55">
        <w:t>6</w:t>
      </w:r>
      <w:r w:rsidRPr="009E3B55">
        <w:t xml:space="preserve"> млн. </w:t>
      </w:r>
      <w:r w:rsidRPr="00C82AD3">
        <w:t xml:space="preserve">лв., което представлява </w:t>
      </w:r>
      <w:r w:rsidR="009E3B55" w:rsidRPr="00C82AD3">
        <w:t>30,8</w:t>
      </w:r>
      <w:r w:rsidRPr="00C82AD3">
        <w:t xml:space="preserve"> % от планираните за годината 2,1 млн. лв.</w:t>
      </w:r>
      <w:r w:rsidRPr="00C82AD3">
        <w:rPr>
          <w:szCs w:val="20"/>
        </w:rPr>
        <w:t xml:space="preserve"> Отчетените приходи са постъпления от продажби на услуги, стоки и продукция (реклама, спонсорски съобщения, технически услуги, съвместни проекти, приходи от концертна дейност</w:t>
      </w:r>
      <w:r w:rsidRPr="00C82AD3">
        <w:rPr>
          <w:szCs w:val="20"/>
          <w:lang w:val="en-US"/>
        </w:rPr>
        <w:t xml:space="preserve"> </w:t>
      </w:r>
      <w:r w:rsidRPr="00C82AD3">
        <w:rPr>
          <w:szCs w:val="20"/>
        </w:rPr>
        <w:t>и др.), от наеми на имущество и др.</w:t>
      </w:r>
      <w:r w:rsidRPr="00C82AD3">
        <w:t xml:space="preserve"> </w:t>
      </w:r>
    </w:p>
    <w:p w:rsidR="003C667C" w:rsidRPr="00987AE4" w:rsidRDefault="003C667C" w:rsidP="00DC1828">
      <w:pPr>
        <w:ind w:firstLine="567"/>
        <w:jc w:val="both"/>
        <w:rPr>
          <w:szCs w:val="20"/>
        </w:rPr>
      </w:pPr>
      <w:r w:rsidRPr="00F90377">
        <w:rPr>
          <w:szCs w:val="20"/>
        </w:rPr>
        <w:t xml:space="preserve">Изпълнението на </w:t>
      </w:r>
      <w:r w:rsidRPr="00623453">
        <w:rPr>
          <w:b/>
          <w:szCs w:val="20"/>
        </w:rPr>
        <w:t>разходите</w:t>
      </w:r>
      <w:r w:rsidRPr="00623453">
        <w:rPr>
          <w:szCs w:val="20"/>
        </w:rPr>
        <w:t xml:space="preserve"> </w:t>
      </w:r>
      <w:r w:rsidRPr="00623453">
        <w:rPr>
          <w:b/>
          <w:szCs w:val="20"/>
        </w:rPr>
        <w:t>по бюджета на</w:t>
      </w:r>
      <w:r w:rsidRPr="00623453">
        <w:rPr>
          <w:szCs w:val="20"/>
        </w:rPr>
        <w:t xml:space="preserve"> </w:t>
      </w:r>
      <w:r w:rsidRPr="00623453">
        <w:rPr>
          <w:b/>
          <w:szCs w:val="20"/>
        </w:rPr>
        <w:t xml:space="preserve">БНР </w:t>
      </w:r>
      <w:r w:rsidRPr="00623453">
        <w:rPr>
          <w:szCs w:val="20"/>
        </w:rPr>
        <w:t xml:space="preserve">възлиза на </w:t>
      </w:r>
      <w:r w:rsidR="00F90377" w:rsidRPr="00623453">
        <w:rPr>
          <w:szCs w:val="20"/>
        </w:rPr>
        <w:t>22,3</w:t>
      </w:r>
      <w:r w:rsidRPr="00623453">
        <w:rPr>
          <w:szCs w:val="20"/>
        </w:rPr>
        <w:t xml:space="preserve"> млн. лв. или  </w:t>
      </w:r>
      <w:r w:rsidR="00F90377" w:rsidRPr="00623453">
        <w:rPr>
          <w:szCs w:val="20"/>
        </w:rPr>
        <w:t>50,0</w:t>
      </w:r>
      <w:r w:rsidRPr="00623453">
        <w:rPr>
          <w:szCs w:val="20"/>
        </w:rPr>
        <w:t xml:space="preserve"> % от </w:t>
      </w:r>
      <w:r w:rsidRPr="00987AE4">
        <w:rPr>
          <w:szCs w:val="20"/>
        </w:rPr>
        <w:t xml:space="preserve">предвидените в ЗДБРБ за 2018 г. За периода са отчетени </w:t>
      </w:r>
      <w:r w:rsidR="00623453" w:rsidRPr="00987AE4">
        <w:rPr>
          <w:szCs w:val="20"/>
        </w:rPr>
        <w:t>20,9</w:t>
      </w:r>
      <w:r w:rsidRPr="00987AE4">
        <w:rPr>
          <w:szCs w:val="20"/>
        </w:rPr>
        <w:t xml:space="preserve"> млн. лв. текущи разходи и </w:t>
      </w:r>
      <w:r w:rsidR="00623453" w:rsidRPr="00987AE4">
        <w:rPr>
          <w:szCs w:val="20"/>
        </w:rPr>
        <w:t>1,4</w:t>
      </w:r>
      <w:r w:rsidRPr="00987AE4">
        <w:rPr>
          <w:szCs w:val="20"/>
        </w:rPr>
        <w:t xml:space="preserve"> млн. лв. капиталови разходи. Средствата са усвоени за реализирането на основните цели и дейности на БНР по подготовката, създаването и разпространението на национални и регионални радиопрограми съгласно разпоредбите на Закона за радиото и телевизията. В разпределението на разходите по бюджета на БНР е включен и преходния остатък за 2017 г. (съгл. чл. 70, ал. 6 от Закона за радиото и телевизията) в размер на 2,0 млн. лева. </w:t>
      </w:r>
    </w:p>
    <w:p w:rsidR="003C667C" w:rsidRPr="00475DE8" w:rsidRDefault="003C667C" w:rsidP="00DC1828">
      <w:pPr>
        <w:spacing w:after="240"/>
        <w:ind w:firstLine="567"/>
        <w:jc w:val="both"/>
      </w:pPr>
      <w:r w:rsidRPr="00475DE8">
        <w:t xml:space="preserve">Общо утвърдените </w:t>
      </w:r>
      <w:r w:rsidRPr="00475DE8">
        <w:rPr>
          <w:b/>
          <w:i/>
        </w:rPr>
        <w:t>бюджетни взаимоотношения на БНР с централния бюджет</w:t>
      </w:r>
      <w:r w:rsidRPr="00475DE8">
        <w:t xml:space="preserve"> за 2018 г. са в размер на </w:t>
      </w:r>
      <w:r w:rsidRPr="00475DE8">
        <w:rPr>
          <w:szCs w:val="20"/>
        </w:rPr>
        <w:t xml:space="preserve">42,3 млн. лв. съгласно чл. 50 т.1 от ЗДБРБ за 2018 г. </w:t>
      </w:r>
      <w:r w:rsidRPr="00475DE8">
        <w:rPr>
          <w:b/>
          <w:szCs w:val="20"/>
        </w:rPr>
        <w:t xml:space="preserve"> </w:t>
      </w:r>
      <w:r w:rsidRPr="00475DE8">
        <w:t xml:space="preserve">Към </w:t>
      </w:r>
      <w:r w:rsidR="00475DE8" w:rsidRPr="00475DE8">
        <w:t>30</w:t>
      </w:r>
      <w:r w:rsidRPr="00475DE8">
        <w:t>.</w:t>
      </w:r>
      <w:r w:rsidR="00475DE8" w:rsidRPr="00475DE8">
        <w:t>06</w:t>
      </w:r>
      <w:r w:rsidRPr="00475DE8">
        <w:t xml:space="preserve">.2018 г. отчетените </w:t>
      </w:r>
      <w:r w:rsidRPr="00475DE8">
        <w:rPr>
          <w:b/>
        </w:rPr>
        <w:t>трансфери</w:t>
      </w:r>
      <w:r w:rsidRPr="00475DE8">
        <w:t xml:space="preserve"> от централния бюджет са в размер на </w:t>
      </w:r>
      <w:r w:rsidR="00475DE8" w:rsidRPr="00475DE8">
        <w:t>22,4</w:t>
      </w:r>
      <w:r w:rsidRPr="00475DE8">
        <w:t xml:space="preserve"> млн. лв. </w:t>
      </w:r>
      <w:r w:rsidRPr="00475DE8">
        <w:rPr>
          <w:szCs w:val="20"/>
        </w:rPr>
        <w:t>(</w:t>
      </w:r>
      <w:r w:rsidR="00475DE8" w:rsidRPr="00475DE8">
        <w:rPr>
          <w:szCs w:val="20"/>
        </w:rPr>
        <w:t>53,0</w:t>
      </w:r>
      <w:r w:rsidRPr="00475DE8">
        <w:t> %  от предвидените за годината</w:t>
      </w:r>
      <w:r w:rsidRPr="00475DE8">
        <w:rPr>
          <w:lang w:eastAsia="bg-BG"/>
        </w:rPr>
        <w:t>)</w:t>
      </w:r>
      <w:r w:rsidRPr="00475DE8">
        <w:t xml:space="preserve">. </w:t>
      </w:r>
    </w:p>
    <w:p w:rsidR="003C667C" w:rsidRPr="00D66C42" w:rsidRDefault="003C667C" w:rsidP="003C667C">
      <w:pPr>
        <w:ind w:firstLine="567"/>
        <w:jc w:val="both"/>
        <w:rPr>
          <w:b/>
          <w:szCs w:val="20"/>
        </w:rPr>
      </w:pPr>
      <w:r w:rsidRPr="00D66C42">
        <w:rPr>
          <w:b/>
          <w:szCs w:val="20"/>
        </w:rPr>
        <w:t xml:space="preserve">Приходите на БТА </w:t>
      </w:r>
      <w:r w:rsidRPr="00D66C42">
        <w:rPr>
          <w:szCs w:val="20"/>
        </w:rPr>
        <w:t xml:space="preserve">към </w:t>
      </w:r>
      <w:r w:rsidR="00D66C42" w:rsidRPr="00D66C42">
        <w:rPr>
          <w:szCs w:val="20"/>
        </w:rPr>
        <w:t>30</w:t>
      </w:r>
      <w:r w:rsidRPr="00D66C42">
        <w:rPr>
          <w:szCs w:val="20"/>
        </w:rPr>
        <w:t>.</w:t>
      </w:r>
      <w:r w:rsidR="00D66C42" w:rsidRPr="00D66C42">
        <w:rPr>
          <w:szCs w:val="20"/>
        </w:rPr>
        <w:t>06</w:t>
      </w:r>
      <w:r w:rsidRPr="00D66C42">
        <w:rPr>
          <w:szCs w:val="20"/>
        </w:rPr>
        <w:t>.2018 г. са 0,</w:t>
      </w:r>
      <w:r w:rsidR="00D66C42" w:rsidRPr="00D66C42">
        <w:rPr>
          <w:szCs w:val="20"/>
        </w:rPr>
        <w:t>8</w:t>
      </w:r>
      <w:r w:rsidRPr="00D66C42">
        <w:rPr>
          <w:szCs w:val="20"/>
        </w:rPr>
        <w:t xml:space="preserve"> млн. лв. или </w:t>
      </w:r>
      <w:r w:rsidR="00D66C42" w:rsidRPr="00D66C42">
        <w:rPr>
          <w:szCs w:val="20"/>
        </w:rPr>
        <w:t>46,1</w:t>
      </w:r>
      <w:r w:rsidRPr="00D66C42">
        <w:rPr>
          <w:szCs w:val="20"/>
        </w:rPr>
        <w:t xml:space="preserve"> % от предвидените за годината, като това са основно постъпления от продажба на информационни продукти и услуги.</w:t>
      </w:r>
    </w:p>
    <w:p w:rsidR="003C667C" w:rsidRPr="00744E39" w:rsidRDefault="003C667C" w:rsidP="003C667C">
      <w:pPr>
        <w:ind w:firstLine="567"/>
        <w:jc w:val="both"/>
        <w:rPr>
          <w:szCs w:val="20"/>
        </w:rPr>
      </w:pPr>
      <w:r w:rsidRPr="00D66C42">
        <w:rPr>
          <w:b/>
          <w:szCs w:val="20"/>
        </w:rPr>
        <w:t xml:space="preserve">Отчетените разходи на </w:t>
      </w:r>
      <w:r w:rsidRPr="00D66C42">
        <w:rPr>
          <w:szCs w:val="20"/>
        </w:rPr>
        <w:t xml:space="preserve">БТА за периода са </w:t>
      </w:r>
      <w:r w:rsidR="00D66C42" w:rsidRPr="00D66C42">
        <w:rPr>
          <w:szCs w:val="20"/>
        </w:rPr>
        <w:t>3,</w:t>
      </w:r>
      <w:proofErr w:type="spellStart"/>
      <w:r w:rsidR="00D66C42" w:rsidRPr="00D66C42">
        <w:rPr>
          <w:szCs w:val="20"/>
        </w:rPr>
        <w:t>3</w:t>
      </w:r>
      <w:proofErr w:type="spellEnd"/>
      <w:r w:rsidRPr="00D66C42">
        <w:rPr>
          <w:szCs w:val="20"/>
        </w:rPr>
        <w:t xml:space="preserve"> млн. лв., което е </w:t>
      </w:r>
      <w:r w:rsidR="00D66C42" w:rsidRPr="00D66C42">
        <w:rPr>
          <w:szCs w:val="20"/>
        </w:rPr>
        <w:t>49,7</w:t>
      </w:r>
      <w:r w:rsidRPr="00D66C42">
        <w:rPr>
          <w:szCs w:val="20"/>
        </w:rPr>
        <w:t xml:space="preserve"> % от годишния разчет по ЗДБРБ за 2018 г., в т.ч. разходи за персонал – </w:t>
      </w:r>
      <w:r w:rsidR="00D66C42" w:rsidRPr="00D66C42">
        <w:rPr>
          <w:szCs w:val="20"/>
        </w:rPr>
        <w:t>2,4</w:t>
      </w:r>
      <w:r w:rsidRPr="00D66C42">
        <w:rPr>
          <w:szCs w:val="20"/>
        </w:rPr>
        <w:t xml:space="preserve"> млн. лв. и разходи за издръжка – 0,</w:t>
      </w:r>
      <w:r w:rsidR="00D66C42" w:rsidRPr="00D66C42">
        <w:rPr>
          <w:szCs w:val="20"/>
        </w:rPr>
        <w:t>8</w:t>
      </w:r>
      <w:r w:rsidRPr="00D66C42">
        <w:rPr>
          <w:szCs w:val="20"/>
        </w:rPr>
        <w:t xml:space="preserve"> млн. лв. Общо утвърдените</w:t>
      </w:r>
      <w:r w:rsidRPr="00D66C42">
        <w:rPr>
          <w:b/>
          <w:i/>
        </w:rPr>
        <w:t xml:space="preserve"> бюджетни взаимоотношения на БТА с централния </w:t>
      </w:r>
      <w:r w:rsidRPr="00744E39">
        <w:rPr>
          <w:b/>
          <w:i/>
        </w:rPr>
        <w:t>бюджет</w:t>
      </w:r>
      <w:r w:rsidRPr="00744E39">
        <w:rPr>
          <w:szCs w:val="20"/>
        </w:rPr>
        <w:t xml:space="preserve"> за 2018 г. са в размер на 4,9 млн. лв. Отчетените трансфери са в размер</w:t>
      </w:r>
      <w:r w:rsidRPr="00744E39">
        <w:rPr>
          <w:b/>
          <w:szCs w:val="20"/>
        </w:rPr>
        <w:t xml:space="preserve"> </w:t>
      </w:r>
      <w:r w:rsidRPr="00744E39">
        <w:rPr>
          <w:szCs w:val="20"/>
        </w:rPr>
        <w:t xml:space="preserve">на </w:t>
      </w:r>
      <w:r w:rsidR="00744E39" w:rsidRPr="00744E39">
        <w:rPr>
          <w:szCs w:val="20"/>
        </w:rPr>
        <w:t>2,4</w:t>
      </w:r>
      <w:r w:rsidRPr="00744E39">
        <w:rPr>
          <w:szCs w:val="20"/>
        </w:rPr>
        <w:t xml:space="preserve"> млн. лв. или </w:t>
      </w:r>
      <w:r w:rsidR="00744E39" w:rsidRPr="00744E39">
        <w:rPr>
          <w:szCs w:val="20"/>
        </w:rPr>
        <w:t>49,9</w:t>
      </w:r>
      <w:r w:rsidRPr="00744E39">
        <w:rPr>
          <w:szCs w:val="20"/>
        </w:rPr>
        <w:t xml:space="preserve"> % от средствата, определени за БТА със ЗДБРБ за 2018 година.</w:t>
      </w:r>
    </w:p>
    <w:p w:rsidR="002B3E0D" w:rsidRPr="00D013D9" w:rsidRDefault="002B3E0D" w:rsidP="00BE52A7">
      <w:pPr>
        <w:pStyle w:val="Title"/>
        <w:jc w:val="both"/>
        <w:rPr>
          <w:sz w:val="18"/>
        </w:rPr>
      </w:pPr>
    </w:p>
    <w:p w:rsidR="008D0DFE" w:rsidRDefault="00BE52A7" w:rsidP="00BE52A7">
      <w:pPr>
        <w:pStyle w:val="Title"/>
        <w:jc w:val="both"/>
        <w:rPr>
          <w:lang w:val="en-US"/>
        </w:rPr>
      </w:pPr>
      <w:r w:rsidRPr="00744E39">
        <w:t xml:space="preserve">Министерство на финансите, </w:t>
      </w:r>
      <w:r w:rsidR="00B16BE0">
        <w:t>август</w:t>
      </w:r>
      <w:r w:rsidR="0097264F" w:rsidRPr="00744E39">
        <w:t xml:space="preserve"> </w:t>
      </w:r>
      <w:r w:rsidRPr="00744E39">
        <w:t>201</w:t>
      </w:r>
      <w:r w:rsidR="00FC3D4C" w:rsidRPr="00744E39">
        <w:rPr>
          <w:lang w:val="en-US"/>
        </w:rPr>
        <w:t>8</w:t>
      </w:r>
      <w:r w:rsidRPr="00744E39">
        <w:t xml:space="preserve"> г.</w:t>
      </w:r>
    </w:p>
    <w:p w:rsidR="00D013D9" w:rsidRPr="0007526B" w:rsidRDefault="00D013D9" w:rsidP="00BE52A7">
      <w:pPr>
        <w:pStyle w:val="Title"/>
        <w:jc w:val="both"/>
        <w:rPr>
          <w:sz w:val="20"/>
          <w:lang w:val="en-US"/>
        </w:rPr>
      </w:pPr>
    </w:p>
    <w:sectPr w:rsidR="00D013D9" w:rsidRPr="0007526B" w:rsidSect="002C24D7">
      <w:footerReference w:type="even" r:id="rId10"/>
      <w:footerReference w:type="default" r:id="rId11"/>
      <w:endnotePr>
        <w:numFmt w:val="decimal"/>
      </w:endnotePr>
      <w:type w:val="continuous"/>
      <w:pgSz w:w="11906" w:h="16838"/>
      <w:pgMar w:top="851" w:right="1106" w:bottom="567" w:left="10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13D9" w:rsidRDefault="00D013D9">
      <w:r>
        <w:separator/>
      </w:r>
    </w:p>
  </w:endnote>
  <w:endnote w:type="continuationSeparator" w:id="0">
    <w:p w:rsidR="00D013D9" w:rsidRDefault="00D013D9">
      <w:r>
        <w:continuationSeparator/>
      </w:r>
    </w:p>
  </w:endnote>
  <w:endnote w:type="continuationNotice" w:id="1">
    <w:p w:rsidR="00D013D9" w:rsidRDefault="00D0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utura Bk">
    <w:altName w:val="AvantGarde"/>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D9" w:rsidRDefault="00D013D9"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3D9" w:rsidRDefault="00D013D9" w:rsidP="00A7411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3D9" w:rsidRDefault="00D013D9" w:rsidP="00EA0FC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30016">
      <w:rPr>
        <w:rStyle w:val="PageNumber"/>
        <w:noProof/>
      </w:rPr>
      <w:t>2</w:t>
    </w:r>
    <w:r>
      <w:rPr>
        <w:rStyle w:val="PageNumber"/>
      </w:rPr>
      <w:fldChar w:fldCharType="end"/>
    </w:r>
  </w:p>
  <w:p w:rsidR="00D013D9" w:rsidRDefault="00D013D9" w:rsidP="00A74112">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13D9" w:rsidRDefault="00D013D9">
      <w:r>
        <w:separator/>
      </w:r>
    </w:p>
  </w:footnote>
  <w:footnote w:type="continuationSeparator" w:id="0">
    <w:p w:rsidR="00D013D9" w:rsidRDefault="00D013D9">
      <w:r>
        <w:continuationSeparator/>
      </w:r>
    </w:p>
  </w:footnote>
  <w:footnote w:type="continuationNotice" w:id="1">
    <w:p w:rsidR="00D013D9" w:rsidRDefault="00D013D9"/>
  </w:footnote>
  <w:footnote w:id="2">
    <w:p w:rsidR="00D013D9" w:rsidRDefault="00D013D9" w:rsidP="00E74802">
      <w:pPr>
        <w:pStyle w:val="FootnoteText"/>
        <w:jc w:val="both"/>
      </w:pPr>
      <w:r>
        <w:rPr>
          <w:rStyle w:val="FootnoteReference"/>
        </w:rPr>
        <w:footnoteRef/>
      </w:r>
      <w:r>
        <w:t xml:space="preserve"> </w:t>
      </w:r>
      <w:r w:rsidRPr="00335B65">
        <w:rPr>
          <w:sz w:val="18"/>
          <w:szCs w:val="16"/>
          <w:lang w:val="bg-BG"/>
        </w:rPr>
        <w:t xml:space="preserve">Обхваща държавния бюджет и  бюджетите на общините, </w:t>
      </w:r>
      <w:proofErr w:type="spellStart"/>
      <w:r w:rsidRPr="00335B65">
        <w:rPr>
          <w:sz w:val="18"/>
          <w:szCs w:val="16"/>
          <w:lang w:val="bg-BG"/>
        </w:rPr>
        <w:t>социалноосигурителните</w:t>
      </w:r>
      <w:proofErr w:type="spellEnd"/>
      <w:r w:rsidRPr="00335B65">
        <w:rPr>
          <w:sz w:val="18"/>
          <w:szCs w:val="16"/>
          <w:lang w:val="bg-BG"/>
        </w:rPr>
        <w:t xml:space="preserve"> фондове, ДВУ, БАН, БНР, БНТ, БТА, бюджетите по чл.14, ал.4 от ЗПФ,  както и сметките за средствата от ЕС и сметките за чужди средства на бюджетните организации. Данните за 201</w:t>
      </w:r>
      <w:r>
        <w:rPr>
          <w:sz w:val="18"/>
          <w:szCs w:val="16"/>
          <w:lang w:val="bg-BG"/>
        </w:rPr>
        <w:t>8</w:t>
      </w:r>
      <w:r w:rsidRPr="00335B65">
        <w:rPr>
          <w:sz w:val="18"/>
          <w:szCs w:val="16"/>
          <w:lang w:val="bg-BG"/>
        </w:rPr>
        <w:t xml:space="preserve"> г. са на база месечни отчети, а тези за 201</w:t>
      </w:r>
      <w:r>
        <w:rPr>
          <w:sz w:val="18"/>
          <w:szCs w:val="16"/>
          <w:lang w:val="bg-BG"/>
        </w:rPr>
        <w:t>7</w:t>
      </w:r>
      <w:r w:rsidRPr="00335B65">
        <w:rPr>
          <w:sz w:val="18"/>
          <w:szCs w:val="16"/>
          <w:lang w:val="bg-BG"/>
        </w:rPr>
        <w:t xml:space="preserve"> г. - на база тримесечни отчети на ПРБ.</w:t>
      </w:r>
    </w:p>
  </w:footnote>
  <w:footnote w:id="3">
    <w:p w:rsidR="00D013D9" w:rsidRPr="00B70BD3" w:rsidRDefault="00D013D9" w:rsidP="0062059F">
      <w:pPr>
        <w:pStyle w:val="FootnoteText"/>
        <w:jc w:val="both"/>
        <w:rPr>
          <w:sz w:val="18"/>
          <w:szCs w:val="18"/>
        </w:rPr>
      </w:pPr>
      <w:r w:rsidRPr="00B70BD3">
        <w:rPr>
          <w:rStyle w:val="FootnoteReference"/>
          <w:sz w:val="18"/>
          <w:szCs w:val="18"/>
        </w:rPr>
        <w:footnoteRef/>
      </w:r>
      <w:r w:rsidRPr="00B70BD3">
        <w:rPr>
          <w:sz w:val="18"/>
          <w:szCs w:val="18"/>
        </w:rPr>
        <w:t xml:space="preserve"> </w:t>
      </w:r>
      <w:r w:rsidRPr="00B70BD3">
        <w:rPr>
          <w:sz w:val="18"/>
          <w:szCs w:val="18"/>
          <w:lang w:val="bg-BG"/>
        </w:rPr>
        <w:t>Поради извършено закръгление в млн. лв., някои сумарни позиции в Таблица №1</w:t>
      </w:r>
      <w:r>
        <w:rPr>
          <w:sz w:val="18"/>
          <w:szCs w:val="18"/>
          <w:lang w:val="bg-BG"/>
        </w:rPr>
        <w:t>,</w:t>
      </w:r>
      <w:r w:rsidRPr="00B70BD3">
        <w:rPr>
          <w:sz w:val="18"/>
          <w:szCs w:val="18"/>
          <w:lang w:val="bg-BG"/>
        </w:rPr>
        <w:t xml:space="preserve"> Таблица  №2</w:t>
      </w:r>
      <w:r>
        <w:rPr>
          <w:sz w:val="18"/>
          <w:szCs w:val="18"/>
          <w:lang w:val="bg-BG"/>
        </w:rPr>
        <w:t xml:space="preserve"> и в текста </w:t>
      </w:r>
      <w:r w:rsidRPr="00B70BD3">
        <w:rPr>
          <w:sz w:val="18"/>
          <w:szCs w:val="18"/>
          <w:lang w:val="bg-BG"/>
        </w:rPr>
        <w:t>не се изчерпват от съставните им числа.</w:t>
      </w:r>
    </w:p>
  </w:footnote>
  <w:footnote w:id="4">
    <w:p w:rsidR="00D013D9" w:rsidRPr="00E74802" w:rsidRDefault="00D013D9" w:rsidP="00E74802">
      <w:pPr>
        <w:pStyle w:val="FootnoteText"/>
        <w:jc w:val="both"/>
        <w:rPr>
          <w:sz w:val="18"/>
          <w:szCs w:val="18"/>
          <w:lang w:val="bg-BG"/>
        </w:rPr>
      </w:pPr>
      <w:r w:rsidRPr="00E74802">
        <w:rPr>
          <w:rStyle w:val="FootnoteReference"/>
          <w:sz w:val="18"/>
          <w:szCs w:val="18"/>
          <w:lang w:val="bg-BG"/>
        </w:rPr>
        <w:footnoteRef/>
      </w:r>
      <w:r w:rsidRPr="00E74802">
        <w:rPr>
          <w:sz w:val="18"/>
          <w:szCs w:val="18"/>
          <w:lang w:val="bg-BG"/>
        </w:rPr>
        <w:t xml:space="preserve"> </w:t>
      </w:r>
      <w:r w:rsidRPr="004D0661">
        <w:rPr>
          <w:sz w:val="18"/>
          <w:szCs w:val="18"/>
          <w:lang w:val="bg-BG"/>
        </w:rPr>
        <w:t>Обхватът на показателя фискален резерв е в съответствие с §1, т. 41 от Допълнителните разпоредби на Закона за публичните финанси.</w:t>
      </w:r>
    </w:p>
  </w:footnote>
  <w:footnote w:id="5">
    <w:p w:rsidR="00D013D9" w:rsidRPr="00DF79A3" w:rsidRDefault="00D013D9" w:rsidP="001E7EA4">
      <w:pPr>
        <w:pStyle w:val="FootnoteText"/>
        <w:rPr>
          <w:lang w:val="bg-BG"/>
        </w:rPr>
      </w:pPr>
      <w:r w:rsidRPr="00F97BCC">
        <w:rPr>
          <w:rStyle w:val="FootnoteReference"/>
          <w:lang w:val="bg-BG"/>
        </w:rPr>
        <w:footnoteRef/>
      </w:r>
      <w:r w:rsidRPr="00F97BCC">
        <w:rPr>
          <w:lang w:val="bg-BG"/>
        </w:rPr>
        <w:t xml:space="preserve"> </w:t>
      </w:r>
      <w:r w:rsidRPr="00185D08">
        <w:rPr>
          <w:sz w:val="18"/>
          <w:szCs w:val="16"/>
          <w:lang w:val="bg-BG"/>
        </w:rPr>
        <w:t>Държавният бюджет включва централен бюджет, бюджетите на НС, съдебната власт, министерствата и ведомствата.</w:t>
      </w:r>
    </w:p>
  </w:footnote>
  <w:footnote w:id="6">
    <w:p w:rsidR="00D013D9" w:rsidRPr="00BA6AD2" w:rsidRDefault="00D013D9" w:rsidP="00F226B6">
      <w:pPr>
        <w:pStyle w:val="FootnoteText"/>
        <w:jc w:val="both"/>
        <w:rPr>
          <w:sz w:val="18"/>
          <w:szCs w:val="18"/>
          <w:lang w:val="bg-BG"/>
        </w:rPr>
      </w:pPr>
      <w:r w:rsidRPr="00182A94">
        <w:rPr>
          <w:rStyle w:val="FootnoteReference"/>
          <w:sz w:val="18"/>
          <w:szCs w:val="18"/>
          <w:lang w:val="bg-BG"/>
        </w:rPr>
        <w:footnoteRef/>
      </w:r>
      <w:r w:rsidRPr="00182A94">
        <w:rPr>
          <w:sz w:val="18"/>
          <w:szCs w:val="18"/>
          <w:lang w:val="bg-BG"/>
        </w:rPr>
        <w:t xml:space="preserve"> Поради извършено закръгление в млн. лв., някои сумарни позиции в Таблица №1</w:t>
      </w:r>
      <w:r>
        <w:rPr>
          <w:sz w:val="18"/>
          <w:szCs w:val="18"/>
          <w:lang w:val="bg-BG"/>
        </w:rPr>
        <w:t xml:space="preserve">, </w:t>
      </w:r>
      <w:r w:rsidRPr="00182A94">
        <w:rPr>
          <w:sz w:val="18"/>
          <w:szCs w:val="18"/>
          <w:lang w:val="bg-BG"/>
        </w:rPr>
        <w:t>Таблица №</w:t>
      </w:r>
      <w:r>
        <w:rPr>
          <w:sz w:val="18"/>
          <w:szCs w:val="18"/>
          <w:lang w:val="bg-BG"/>
        </w:rPr>
        <w:t>2</w:t>
      </w:r>
      <w:r w:rsidRPr="00182A94">
        <w:rPr>
          <w:sz w:val="18"/>
          <w:szCs w:val="18"/>
          <w:lang w:val="bg-BG"/>
        </w:rPr>
        <w:t xml:space="preserve"> и в текста не се изчерпват от </w:t>
      </w:r>
      <w:r w:rsidRPr="00BA6AD2">
        <w:rPr>
          <w:sz w:val="18"/>
          <w:szCs w:val="18"/>
          <w:lang w:val="bg-BG"/>
        </w:rPr>
        <w:t>съставните им числа.</w:t>
      </w:r>
    </w:p>
  </w:footnote>
  <w:footnote w:id="7">
    <w:p w:rsidR="00D013D9" w:rsidRPr="006C2AFF" w:rsidRDefault="00D013D9" w:rsidP="00EB0322">
      <w:pPr>
        <w:pStyle w:val="FootnoteText"/>
        <w:jc w:val="both"/>
        <w:rPr>
          <w:sz w:val="18"/>
          <w:szCs w:val="18"/>
        </w:rPr>
      </w:pPr>
      <w:r w:rsidRPr="00B94753">
        <w:rPr>
          <w:rStyle w:val="FootnoteReference"/>
          <w:sz w:val="18"/>
          <w:szCs w:val="18"/>
        </w:rPr>
        <w:footnoteRef/>
      </w:r>
      <w:r w:rsidRPr="00B94753">
        <w:rPr>
          <w:sz w:val="18"/>
          <w:szCs w:val="18"/>
        </w:rPr>
        <w:t xml:space="preserve"> </w:t>
      </w:r>
      <w:proofErr w:type="gramStart"/>
      <w:r w:rsidRPr="00B94753">
        <w:rPr>
          <w:sz w:val="18"/>
          <w:szCs w:val="18"/>
        </w:rPr>
        <w:t xml:space="preserve">В </w:t>
      </w:r>
      <w:proofErr w:type="spellStart"/>
      <w:r w:rsidRPr="00B94753">
        <w:rPr>
          <w:sz w:val="18"/>
          <w:szCs w:val="18"/>
        </w:rPr>
        <w:t>позицията</w:t>
      </w:r>
      <w:proofErr w:type="spellEnd"/>
      <w:r w:rsidRPr="00B94753">
        <w:rPr>
          <w:sz w:val="18"/>
          <w:szCs w:val="18"/>
        </w:rPr>
        <w:t xml:space="preserve"> "</w:t>
      </w:r>
      <w:proofErr w:type="spellStart"/>
      <w:r w:rsidRPr="00B94753">
        <w:rPr>
          <w:sz w:val="18"/>
          <w:szCs w:val="18"/>
        </w:rPr>
        <w:t>Резерв</w:t>
      </w:r>
      <w:proofErr w:type="spellEnd"/>
      <w:r w:rsidRPr="00B94753">
        <w:rPr>
          <w:sz w:val="18"/>
          <w:szCs w:val="18"/>
        </w:rPr>
        <w:t xml:space="preserve"> </w:t>
      </w:r>
      <w:proofErr w:type="spellStart"/>
      <w:r w:rsidRPr="00B94753">
        <w:rPr>
          <w:sz w:val="18"/>
          <w:szCs w:val="18"/>
        </w:rPr>
        <w:t>за</w:t>
      </w:r>
      <w:proofErr w:type="spellEnd"/>
      <w:r w:rsidRPr="00B94753">
        <w:rPr>
          <w:sz w:val="18"/>
          <w:szCs w:val="18"/>
        </w:rPr>
        <w:t xml:space="preserve"> </w:t>
      </w:r>
      <w:proofErr w:type="spellStart"/>
      <w:r w:rsidRPr="00B94753">
        <w:rPr>
          <w:sz w:val="18"/>
          <w:szCs w:val="18"/>
        </w:rPr>
        <w:t>непредвидени</w:t>
      </w:r>
      <w:proofErr w:type="spellEnd"/>
      <w:r w:rsidRPr="00B94753">
        <w:rPr>
          <w:sz w:val="18"/>
          <w:szCs w:val="18"/>
        </w:rPr>
        <w:t xml:space="preserve"> и </w:t>
      </w:r>
      <w:proofErr w:type="spellStart"/>
      <w:r w:rsidRPr="00B94753">
        <w:rPr>
          <w:sz w:val="18"/>
          <w:szCs w:val="18"/>
        </w:rPr>
        <w:t>неотложни</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посочват</w:t>
      </w:r>
      <w:proofErr w:type="spellEnd"/>
      <w:r w:rsidRPr="00B94753">
        <w:rPr>
          <w:sz w:val="18"/>
          <w:szCs w:val="18"/>
        </w:rPr>
        <w:t xml:space="preserve"> </w:t>
      </w:r>
      <w:proofErr w:type="spellStart"/>
      <w:r w:rsidRPr="00B94753">
        <w:rPr>
          <w:sz w:val="18"/>
          <w:szCs w:val="18"/>
        </w:rPr>
        <w:t>само</w:t>
      </w:r>
      <w:proofErr w:type="spellEnd"/>
      <w:r w:rsidRPr="00B94753">
        <w:rPr>
          <w:sz w:val="18"/>
          <w:szCs w:val="18"/>
        </w:rPr>
        <w:t xml:space="preserve"> </w:t>
      </w:r>
      <w:proofErr w:type="spellStart"/>
      <w:r w:rsidRPr="00B94753">
        <w:rPr>
          <w:sz w:val="18"/>
          <w:szCs w:val="18"/>
        </w:rPr>
        <w:t>данните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разчет</w:t>
      </w:r>
      <w:proofErr w:type="spellEnd"/>
      <w:r w:rsidRPr="00B94753">
        <w:rPr>
          <w:sz w:val="18"/>
          <w:szCs w:val="18"/>
        </w:rPr>
        <w:t>.</w:t>
      </w:r>
      <w:proofErr w:type="gramEnd"/>
      <w:r w:rsidRPr="00B94753">
        <w:rPr>
          <w:sz w:val="18"/>
          <w:szCs w:val="18"/>
        </w:rPr>
        <w:t xml:space="preserve"> </w:t>
      </w:r>
      <w:proofErr w:type="spellStart"/>
      <w:proofErr w:type="gramStart"/>
      <w:r w:rsidRPr="00B94753">
        <w:rPr>
          <w:sz w:val="18"/>
          <w:szCs w:val="18"/>
        </w:rPr>
        <w:t>Разходите</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отчет</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отразяват</w:t>
      </w:r>
      <w:proofErr w:type="spellEnd"/>
      <w:r w:rsidRPr="00B94753">
        <w:rPr>
          <w:sz w:val="18"/>
          <w:szCs w:val="18"/>
        </w:rPr>
        <w:t xml:space="preserve"> </w:t>
      </w:r>
      <w:proofErr w:type="spellStart"/>
      <w:r w:rsidRPr="00B94753">
        <w:rPr>
          <w:sz w:val="18"/>
          <w:szCs w:val="18"/>
        </w:rPr>
        <w:t>по</w:t>
      </w:r>
      <w:proofErr w:type="spellEnd"/>
      <w:r w:rsidRPr="00B94753">
        <w:rPr>
          <w:sz w:val="18"/>
          <w:szCs w:val="18"/>
        </w:rPr>
        <w:t xml:space="preserve"> </w:t>
      </w:r>
      <w:proofErr w:type="spellStart"/>
      <w:r w:rsidRPr="00B94753">
        <w:rPr>
          <w:sz w:val="18"/>
          <w:szCs w:val="18"/>
        </w:rPr>
        <w:t>съответните</w:t>
      </w:r>
      <w:proofErr w:type="spellEnd"/>
      <w:r w:rsidRPr="00B94753">
        <w:rPr>
          <w:sz w:val="18"/>
          <w:szCs w:val="18"/>
        </w:rPr>
        <w:t xml:space="preserve"> </w:t>
      </w:r>
      <w:proofErr w:type="spellStart"/>
      <w:r w:rsidRPr="00B94753">
        <w:rPr>
          <w:sz w:val="18"/>
          <w:szCs w:val="18"/>
        </w:rPr>
        <w:t>разходни</w:t>
      </w:r>
      <w:proofErr w:type="spellEnd"/>
      <w:r w:rsidRPr="00B94753">
        <w:rPr>
          <w:sz w:val="18"/>
          <w:szCs w:val="18"/>
        </w:rPr>
        <w:t xml:space="preserve"> </w:t>
      </w:r>
      <w:proofErr w:type="spellStart"/>
      <w:r w:rsidRPr="00B94753">
        <w:rPr>
          <w:sz w:val="18"/>
          <w:szCs w:val="18"/>
        </w:rPr>
        <w:t>позиции</w:t>
      </w:r>
      <w:proofErr w:type="spellEnd"/>
      <w:r w:rsidRPr="00B94753">
        <w:rPr>
          <w:sz w:val="18"/>
          <w:szCs w:val="18"/>
        </w:rPr>
        <w:t xml:space="preserve">, </w:t>
      </w:r>
      <w:proofErr w:type="spellStart"/>
      <w:r w:rsidRPr="00B94753">
        <w:rPr>
          <w:sz w:val="18"/>
          <w:szCs w:val="18"/>
        </w:rPr>
        <w:t>към</w:t>
      </w:r>
      <w:proofErr w:type="spellEnd"/>
      <w:r w:rsidRPr="00B94753">
        <w:rPr>
          <w:sz w:val="18"/>
          <w:szCs w:val="18"/>
        </w:rPr>
        <w:t xml:space="preserve"> </w:t>
      </w:r>
      <w:proofErr w:type="spellStart"/>
      <w:r w:rsidRPr="00B94753">
        <w:rPr>
          <w:sz w:val="18"/>
          <w:szCs w:val="18"/>
        </w:rPr>
        <w:t>които</w:t>
      </w:r>
      <w:proofErr w:type="spellEnd"/>
      <w:r w:rsidRPr="00B94753">
        <w:rPr>
          <w:sz w:val="18"/>
          <w:szCs w:val="18"/>
        </w:rPr>
        <w:t xml:space="preserve"> </w:t>
      </w:r>
      <w:proofErr w:type="spellStart"/>
      <w:r w:rsidRPr="00B94753">
        <w:rPr>
          <w:sz w:val="18"/>
          <w:szCs w:val="18"/>
        </w:rPr>
        <w:t>се</w:t>
      </w:r>
      <w:proofErr w:type="spellEnd"/>
      <w:r w:rsidRPr="00B94753">
        <w:rPr>
          <w:sz w:val="18"/>
          <w:szCs w:val="18"/>
        </w:rPr>
        <w:t xml:space="preserve"> </w:t>
      </w:r>
      <w:proofErr w:type="spellStart"/>
      <w:r w:rsidRPr="00B94753">
        <w:rPr>
          <w:sz w:val="18"/>
          <w:szCs w:val="18"/>
        </w:rPr>
        <w:t>отнасят</w:t>
      </w:r>
      <w:proofErr w:type="spellEnd"/>
      <w:r w:rsidRPr="00B94753">
        <w:rPr>
          <w:sz w:val="18"/>
          <w:szCs w:val="18"/>
        </w:rPr>
        <w:t xml:space="preserve"> </w:t>
      </w:r>
      <w:proofErr w:type="spellStart"/>
      <w:r w:rsidRPr="00B94753">
        <w:rPr>
          <w:sz w:val="18"/>
          <w:szCs w:val="18"/>
        </w:rPr>
        <w:t>извършените</w:t>
      </w:r>
      <w:proofErr w:type="spellEnd"/>
      <w:r w:rsidRPr="00B94753">
        <w:rPr>
          <w:sz w:val="18"/>
          <w:szCs w:val="18"/>
        </w:rPr>
        <w:t xml:space="preserve"> </w:t>
      </w:r>
      <w:proofErr w:type="spellStart"/>
      <w:r w:rsidRPr="00B94753">
        <w:rPr>
          <w:sz w:val="18"/>
          <w:szCs w:val="18"/>
        </w:rPr>
        <w:t>разходи</w:t>
      </w:r>
      <w:proofErr w:type="spellEnd"/>
      <w:r w:rsidRPr="00B94753">
        <w:rPr>
          <w:sz w:val="18"/>
          <w:szCs w:val="18"/>
        </w:rPr>
        <w:t>.</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E6090"/>
    <w:multiLevelType w:val="hybridMultilevel"/>
    <w:tmpl w:val="92F660C8"/>
    <w:lvl w:ilvl="0" w:tplc="0402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nsid w:val="00892FFA"/>
    <w:multiLevelType w:val="hybridMultilevel"/>
    <w:tmpl w:val="94A88EA6"/>
    <w:lvl w:ilvl="0" w:tplc="257A31AA">
      <w:start w:val="1"/>
      <w:numFmt w:val="bullet"/>
      <w:lvlText w:val=""/>
      <w:lvlJc w:val="left"/>
      <w:pPr>
        <w:ind w:left="1069" w:hanging="360"/>
      </w:pPr>
      <w:rPr>
        <w:rFonts w:ascii="Symbol" w:hAnsi="Symbol" w:hint="default"/>
        <w:b/>
        <w:color w:val="auto"/>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2">
    <w:nsid w:val="0F3230CB"/>
    <w:multiLevelType w:val="hybridMultilevel"/>
    <w:tmpl w:val="48F0886C"/>
    <w:lvl w:ilvl="0" w:tplc="0012154E">
      <w:start w:val="1"/>
      <w:numFmt w:val="bullet"/>
      <w:lvlText w:val=""/>
      <w:lvlJc w:val="left"/>
      <w:pPr>
        <w:tabs>
          <w:tab w:val="num" w:pos="2157"/>
        </w:tabs>
        <w:ind w:left="2157" w:hanging="357"/>
      </w:pPr>
      <w:rPr>
        <w:rFonts w:ascii="Wingdings" w:hAnsi="Wingdings" w:hint="default"/>
        <w:color w:val="auto"/>
        <w:sz w:val="24"/>
        <w:szCs w:val="24"/>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
    <w:nsid w:val="1194083D"/>
    <w:multiLevelType w:val="hybridMultilevel"/>
    <w:tmpl w:val="B434DC02"/>
    <w:lvl w:ilvl="0" w:tplc="54C466F6">
      <w:numFmt w:val="bullet"/>
      <w:lvlText w:val="-"/>
      <w:lvlJc w:val="left"/>
      <w:pPr>
        <w:tabs>
          <w:tab w:val="num" w:pos="1500"/>
        </w:tabs>
        <w:ind w:left="1500" w:hanging="360"/>
      </w:pPr>
      <w:rPr>
        <w:rFonts w:ascii="Times New Roman" w:eastAsia="Times New Roman" w:hAnsi="Times New Roman"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nsid w:val="14105CA9"/>
    <w:multiLevelType w:val="hybridMultilevel"/>
    <w:tmpl w:val="2D5A56EE"/>
    <w:lvl w:ilvl="0" w:tplc="88C42E5E">
      <w:start w:val="1"/>
      <w:numFmt w:val="decimal"/>
      <w:pStyle w:val="ParagraphNumbering"/>
      <w:lvlText w:val="%1.     "/>
      <w:lvlJc w:val="left"/>
      <w:pPr>
        <w:tabs>
          <w:tab w:val="num" w:pos="1260"/>
        </w:tabs>
        <w:ind w:left="540" w:firstLine="0"/>
      </w:pPr>
      <w:rPr>
        <w:rFonts w:hint="default"/>
        <w:b/>
      </w:rPr>
    </w:lvl>
    <w:lvl w:ilvl="1" w:tplc="F6E687FE">
      <w:start w:val="1"/>
      <w:numFmt w:val="upperRoman"/>
      <w:lvlText w:val="%2."/>
      <w:lvlJc w:val="right"/>
      <w:pPr>
        <w:tabs>
          <w:tab w:val="num" w:pos="1260"/>
        </w:tabs>
        <w:ind w:left="1260" w:hanging="180"/>
      </w:pPr>
      <w:rPr>
        <w:b/>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rPr>
        <w:b/>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CEE0108"/>
    <w:multiLevelType w:val="hybridMultilevel"/>
    <w:tmpl w:val="8222E77A"/>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6">
    <w:nsid w:val="20EE040C"/>
    <w:multiLevelType w:val="hybridMultilevel"/>
    <w:tmpl w:val="DF5C7CEA"/>
    <w:lvl w:ilvl="0" w:tplc="04020005">
      <w:start w:val="1"/>
      <w:numFmt w:val="bullet"/>
      <w:lvlText w:val=""/>
      <w:lvlJc w:val="left"/>
      <w:pPr>
        <w:tabs>
          <w:tab w:val="num" w:pos="360"/>
        </w:tabs>
        <w:ind w:left="360" w:hanging="360"/>
      </w:pPr>
      <w:rPr>
        <w:rFonts w:ascii="Wingdings" w:hAnsi="Wingdings" w:hint="default"/>
        <w:color w:val="auto"/>
        <w:sz w:val="28"/>
        <w:u w:color="FFFFFF"/>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
    <w:nsid w:val="25A20358"/>
    <w:multiLevelType w:val="hybridMultilevel"/>
    <w:tmpl w:val="E1D8CE2E"/>
    <w:lvl w:ilvl="0" w:tplc="B8369D36">
      <w:start w:val="1"/>
      <w:numFmt w:val="bullet"/>
      <w:lvlText w:val=""/>
      <w:lvlJc w:val="left"/>
      <w:pPr>
        <w:tabs>
          <w:tab w:val="num" w:pos="898"/>
        </w:tabs>
        <w:ind w:left="0" w:firstLine="360"/>
      </w:pPr>
      <w:rPr>
        <w:rFonts w:ascii="Symbol" w:hAnsi="Symbol" w:hint="default"/>
        <w:color w:val="auto"/>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nsid w:val="288D6CFF"/>
    <w:multiLevelType w:val="hybridMultilevel"/>
    <w:tmpl w:val="8E9EC7B0"/>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nsid w:val="2F8B1941"/>
    <w:multiLevelType w:val="hybridMultilevel"/>
    <w:tmpl w:val="269A2F3C"/>
    <w:lvl w:ilvl="0" w:tplc="1AC8DDA4">
      <w:start w:val="1"/>
      <w:numFmt w:val="bullet"/>
      <w:lvlText w:val=""/>
      <w:lvlJc w:val="left"/>
      <w:pPr>
        <w:tabs>
          <w:tab w:val="num" w:pos="1440"/>
        </w:tabs>
        <w:ind w:left="740" w:firstLine="340"/>
      </w:pPr>
      <w:rPr>
        <w:rFonts w:ascii="Wingdings" w:hAnsi="Wingdings" w:hint="default"/>
        <w:sz w:val="24"/>
        <w:szCs w:val="24"/>
      </w:rPr>
    </w:lvl>
    <w:lvl w:ilvl="1" w:tplc="B8089F6A">
      <w:start w:val="1"/>
      <w:numFmt w:val="bullet"/>
      <w:lvlText w:val=""/>
      <w:lvlJc w:val="left"/>
      <w:pPr>
        <w:tabs>
          <w:tab w:val="num" w:pos="1437"/>
        </w:tabs>
        <w:ind w:left="1437" w:hanging="357"/>
      </w:pPr>
      <w:rPr>
        <w:rFonts w:ascii="Wingdings" w:hAnsi="Wingdings" w:hint="default"/>
        <w:color w:val="auto"/>
        <w:sz w:val="28"/>
        <w:szCs w:val="24"/>
        <w:u w:color="FFFFFF"/>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nsid w:val="34706099"/>
    <w:multiLevelType w:val="hybridMultilevel"/>
    <w:tmpl w:val="517EAAC6"/>
    <w:lvl w:ilvl="0" w:tplc="04020005">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1">
    <w:nsid w:val="40506C4C"/>
    <w:multiLevelType w:val="hybridMultilevel"/>
    <w:tmpl w:val="8E46A080"/>
    <w:lvl w:ilvl="0" w:tplc="0402000B">
      <w:start w:val="1"/>
      <w:numFmt w:val="bullet"/>
      <w:lvlText w:val=""/>
      <w:lvlJc w:val="left"/>
      <w:pPr>
        <w:tabs>
          <w:tab w:val="num" w:pos="720"/>
        </w:tabs>
        <w:ind w:left="720" w:hanging="360"/>
      </w:pPr>
      <w:rPr>
        <w:rFonts w:ascii="Wingdings" w:hAnsi="Wingdings" w:hint="default"/>
      </w:rPr>
    </w:lvl>
    <w:lvl w:ilvl="1" w:tplc="0402000F">
      <w:start w:val="1"/>
      <w:numFmt w:val="decimal"/>
      <w:lvlText w:val="%2."/>
      <w:lvlJc w:val="left"/>
      <w:pPr>
        <w:tabs>
          <w:tab w:val="num" w:pos="1440"/>
        </w:tabs>
        <w:ind w:left="1440" w:hanging="360"/>
      </w:pPr>
      <w:rPr>
        <w:rFont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nsid w:val="489254F4"/>
    <w:multiLevelType w:val="hybridMultilevel"/>
    <w:tmpl w:val="A78E9870"/>
    <w:lvl w:ilvl="0" w:tplc="0409000B">
      <w:start w:val="1"/>
      <w:numFmt w:val="bullet"/>
      <w:lvlText w:val=""/>
      <w:lvlJc w:val="left"/>
      <w:pPr>
        <w:tabs>
          <w:tab w:val="num" w:pos="360"/>
        </w:tabs>
        <w:ind w:left="360" w:hanging="360"/>
      </w:pPr>
      <w:rPr>
        <w:rFonts w:ascii="Wingdings" w:hAnsi="Wingdings" w:hint="default"/>
      </w:rPr>
    </w:lvl>
    <w:lvl w:ilvl="1" w:tplc="8DDE1D3E">
      <w:start w:val="1"/>
      <w:numFmt w:val="bullet"/>
      <w:lvlText w:val=""/>
      <w:lvlJc w:val="left"/>
      <w:pPr>
        <w:tabs>
          <w:tab w:val="num" w:pos="1383"/>
        </w:tabs>
        <w:ind w:left="683" w:firstLine="340"/>
      </w:pPr>
      <w:rPr>
        <w:rFonts w:ascii="Wingdings" w:hAnsi="Wingdings" w:hint="default"/>
      </w:rPr>
    </w:lvl>
    <w:lvl w:ilvl="2" w:tplc="04090005" w:tentative="1">
      <w:start w:val="1"/>
      <w:numFmt w:val="bullet"/>
      <w:lvlText w:val=""/>
      <w:lvlJc w:val="left"/>
      <w:pPr>
        <w:tabs>
          <w:tab w:val="num" w:pos="2103"/>
        </w:tabs>
        <w:ind w:left="2103" w:hanging="360"/>
      </w:pPr>
      <w:rPr>
        <w:rFonts w:ascii="Wingdings" w:hAnsi="Wingdings" w:hint="default"/>
      </w:rPr>
    </w:lvl>
    <w:lvl w:ilvl="3" w:tplc="04090001" w:tentative="1">
      <w:start w:val="1"/>
      <w:numFmt w:val="bullet"/>
      <w:lvlText w:val=""/>
      <w:lvlJc w:val="left"/>
      <w:pPr>
        <w:tabs>
          <w:tab w:val="num" w:pos="2823"/>
        </w:tabs>
        <w:ind w:left="2823" w:hanging="360"/>
      </w:pPr>
      <w:rPr>
        <w:rFonts w:ascii="Symbol" w:hAnsi="Symbol" w:hint="default"/>
      </w:rPr>
    </w:lvl>
    <w:lvl w:ilvl="4" w:tplc="04090003" w:tentative="1">
      <w:start w:val="1"/>
      <w:numFmt w:val="bullet"/>
      <w:lvlText w:val="o"/>
      <w:lvlJc w:val="left"/>
      <w:pPr>
        <w:tabs>
          <w:tab w:val="num" w:pos="3543"/>
        </w:tabs>
        <w:ind w:left="3543" w:hanging="360"/>
      </w:pPr>
      <w:rPr>
        <w:rFonts w:ascii="Courier New" w:hAnsi="Courier New" w:hint="default"/>
      </w:rPr>
    </w:lvl>
    <w:lvl w:ilvl="5" w:tplc="04090005" w:tentative="1">
      <w:start w:val="1"/>
      <w:numFmt w:val="bullet"/>
      <w:lvlText w:val=""/>
      <w:lvlJc w:val="left"/>
      <w:pPr>
        <w:tabs>
          <w:tab w:val="num" w:pos="4263"/>
        </w:tabs>
        <w:ind w:left="4263" w:hanging="360"/>
      </w:pPr>
      <w:rPr>
        <w:rFonts w:ascii="Wingdings" w:hAnsi="Wingdings" w:hint="default"/>
      </w:rPr>
    </w:lvl>
    <w:lvl w:ilvl="6" w:tplc="04090001" w:tentative="1">
      <w:start w:val="1"/>
      <w:numFmt w:val="bullet"/>
      <w:lvlText w:val=""/>
      <w:lvlJc w:val="left"/>
      <w:pPr>
        <w:tabs>
          <w:tab w:val="num" w:pos="4983"/>
        </w:tabs>
        <w:ind w:left="4983" w:hanging="360"/>
      </w:pPr>
      <w:rPr>
        <w:rFonts w:ascii="Symbol" w:hAnsi="Symbol" w:hint="default"/>
      </w:rPr>
    </w:lvl>
    <w:lvl w:ilvl="7" w:tplc="04090003" w:tentative="1">
      <w:start w:val="1"/>
      <w:numFmt w:val="bullet"/>
      <w:lvlText w:val="o"/>
      <w:lvlJc w:val="left"/>
      <w:pPr>
        <w:tabs>
          <w:tab w:val="num" w:pos="5703"/>
        </w:tabs>
        <w:ind w:left="5703" w:hanging="360"/>
      </w:pPr>
      <w:rPr>
        <w:rFonts w:ascii="Courier New" w:hAnsi="Courier New" w:hint="default"/>
      </w:rPr>
    </w:lvl>
    <w:lvl w:ilvl="8" w:tplc="04090005" w:tentative="1">
      <w:start w:val="1"/>
      <w:numFmt w:val="bullet"/>
      <w:lvlText w:val=""/>
      <w:lvlJc w:val="left"/>
      <w:pPr>
        <w:tabs>
          <w:tab w:val="num" w:pos="6423"/>
        </w:tabs>
        <w:ind w:left="6423" w:hanging="360"/>
      </w:pPr>
      <w:rPr>
        <w:rFonts w:ascii="Wingdings" w:hAnsi="Wingdings" w:hint="default"/>
      </w:rPr>
    </w:lvl>
  </w:abstractNum>
  <w:abstractNum w:abstractNumId="13">
    <w:nsid w:val="4A5F564A"/>
    <w:multiLevelType w:val="hybridMultilevel"/>
    <w:tmpl w:val="19C03E34"/>
    <w:lvl w:ilvl="0" w:tplc="B8089F6A">
      <w:start w:val="1"/>
      <w:numFmt w:val="bullet"/>
      <w:lvlText w:val=""/>
      <w:lvlJc w:val="left"/>
      <w:pPr>
        <w:tabs>
          <w:tab w:val="num" w:pos="6878"/>
        </w:tabs>
        <w:ind w:left="6878" w:hanging="357"/>
      </w:pPr>
      <w:rPr>
        <w:rFonts w:ascii="Wingdings" w:hAnsi="Wingdings" w:hint="default"/>
        <w:color w:val="auto"/>
        <w:sz w:val="28"/>
        <w:u w:color="FFFFFF"/>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4B1C3D5E"/>
    <w:multiLevelType w:val="hybridMultilevel"/>
    <w:tmpl w:val="05085AC2"/>
    <w:lvl w:ilvl="0" w:tplc="EDA44120">
      <w:start w:val="1"/>
      <w:numFmt w:val="bullet"/>
      <w:lvlText w:val="-"/>
      <w:lvlJc w:val="left"/>
      <w:pPr>
        <w:tabs>
          <w:tab w:val="num" w:pos="700"/>
        </w:tabs>
        <w:ind w:left="700" w:hanging="360"/>
      </w:pPr>
      <w:rPr>
        <w:rFonts w:ascii="Mangal" w:hAnsi="Manga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CEB1EBB"/>
    <w:multiLevelType w:val="hybridMultilevel"/>
    <w:tmpl w:val="A7840AB6"/>
    <w:lvl w:ilvl="0" w:tplc="531CAAA0">
      <w:start w:val="1"/>
      <w:numFmt w:val="bullet"/>
      <w:lvlText w:val=""/>
      <w:lvlJc w:val="left"/>
      <w:pPr>
        <w:tabs>
          <w:tab w:val="num" w:pos="540"/>
        </w:tabs>
        <w:ind w:left="540" w:hanging="360"/>
      </w:pPr>
      <w:rPr>
        <w:rFonts w:ascii="Wingdings" w:hAnsi="Wingdings" w:hint="default"/>
        <w:color w:val="auto"/>
      </w:rPr>
    </w:lvl>
    <w:lvl w:ilvl="1" w:tplc="60389F1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F0D78F0"/>
    <w:multiLevelType w:val="hybridMultilevel"/>
    <w:tmpl w:val="33664FCA"/>
    <w:lvl w:ilvl="0" w:tplc="5AC6C2E0">
      <w:start w:val="1"/>
      <w:numFmt w:val="bullet"/>
      <w:lvlText w:val=""/>
      <w:lvlJc w:val="left"/>
      <w:pPr>
        <w:tabs>
          <w:tab w:val="num" w:pos="1346"/>
        </w:tabs>
        <w:ind w:left="984" w:firstLine="96"/>
      </w:pPr>
      <w:rPr>
        <w:rFonts w:ascii="Symbol" w:hAnsi="Symbol" w:hint="default"/>
        <w:color w:val="auto"/>
      </w:rPr>
    </w:lvl>
    <w:lvl w:ilvl="1" w:tplc="04020003" w:tentative="1">
      <w:start w:val="1"/>
      <w:numFmt w:val="bullet"/>
      <w:lvlText w:val="o"/>
      <w:lvlJc w:val="left"/>
      <w:pPr>
        <w:tabs>
          <w:tab w:val="num" w:pos="1383"/>
        </w:tabs>
        <w:ind w:left="1383" w:hanging="360"/>
      </w:pPr>
      <w:rPr>
        <w:rFonts w:ascii="Courier New" w:hAnsi="Courier New" w:cs="Courier New" w:hint="default"/>
      </w:rPr>
    </w:lvl>
    <w:lvl w:ilvl="2" w:tplc="04020005" w:tentative="1">
      <w:start w:val="1"/>
      <w:numFmt w:val="bullet"/>
      <w:lvlText w:val=""/>
      <w:lvlJc w:val="left"/>
      <w:pPr>
        <w:tabs>
          <w:tab w:val="num" w:pos="2103"/>
        </w:tabs>
        <w:ind w:left="2103" w:hanging="360"/>
      </w:pPr>
      <w:rPr>
        <w:rFonts w:ascii="Wingdings" w:hAnsi="Wingdings" w:hint="default"/>
      </w:rPr>
    </w:lvl>
    <w:lvl w:ilvl="3" w:tplc="04020001" w:tentative="1">
      <w:start w:val="1"/>
      <w:numFmt w:val="bullet"/>
      <w:lvlText w:val=""/>
      <w:lvlJc w:val="left"/>
      <w:pPr>
        <w:tabs>
          <w:tab w:val="num" w:pos="2823"/>
        </w:tabs>
        <w:ind w:left="2823" w:hanging="360"/>
      </w:pPr>
      <w:rPr>
        <w:rFonts w:ascii="Symbol" w:hAnsi="Symbol" w:hint="default"/>
      </w:rPr>
    </w:lvl>
    <w:lvl w:ilvl="4" w:tplc="04020003" w:tentative="1">
      <w:start w:val="1"/>
      <w:numFmt w:val="bullet"/>
      <w:lvlText w:val="o"/>
      <w:lvlJc w:val="left"/>
      <w:pPr>
        <w:tabs>
          <w:tab w:val="num" w:pos="3543"/>
        </w:tabs>
        <w:ind w:left="3543" w:hanging="360"/>
      </w:pPr>
      <w:rPr>
        <w:rFonts w:ascii="Courier New" w:hAnsi="Courier New" w:cs="Courier New" w:hint="default"/>
      </w:rPr>
    </w:lvl>
    <w:lvl w:ilvl="5" w:tplc="04020005" w:tentative="1">
      <w:start w:val="1"/>
      <w:numFmt w:val="bullet"/>
      <w:lvlText w:val=""/>
      <w:lvlJc w:val="left"/>
      <w:pPr>
        <w:tabs>
          <w:tab w:val="num" w:pos="4263"/>
        </w:tabs>
        <w:ind w:left="4263" w:hanging="360"/>
      </w:pPr>
      <w:rPr>
        <w:rFonts w:ascii="Wingdings" w:hAnsi="Wingdings" w:hint="default"/>
      </w:rPr>
    </w:lvl>
    <w:lvl w:ilvl="6" w:tplc="04020001" w:tentative="1">
      <w:start w:val="1"/>
      <w:numFmt w:val="bullet"/>
      <w:lvlText w:val=""/>
      <w:lvlJc w:val="left"/>
      <w:pPr>
        <w:tabs>
          <w:tab w:val="num" w:pos="4983"/>
        </w:tabs>
        <w:ind w:left="4983" w:hanging="360"/>
      </w:pPr>
      <w:rPr>
        <w:rFonts w:ascii="Symbol" w:hAnsi="Symbol" w:hint="default"/>
      </w:rPr>
    </w:lvl>
    <w:lvl w:ilvl="7" w:tplc="04020003" w:tentative="1">
      <w:start w:val="1"/>
      <w:numFmt w:val="bullet"/>
      <w:lvlText w:val="o"/>
      <w:lvlJc w:val="left"/>
      <w:pPr>
        <w:tabs>
          <w:tab w:val="num" w:pos="5703"/>
        </w:tabs>
        <w:ind w:left="5703" w:hanging="360"/>
      </w:pPr>
      <w:rPr>
        <w:rFonts w:ascii="Courier New" w:hAnsi="Courier New" w:cs="Courier New" w:hint="default"/>
      </w:rPr>
    </w:lvl>
    <w:lvl w:ilvl="8" w:tplc="04020005" w:tentative="1">
      <w:start w:val="1"/>
      <w:numFmt w:val="bullet"/>
      <w:lvlText w:val=""/>
      <w:lvlJc w:val="left"/>
      <w:pPr>
        <w:tabs>
          <w:tab w:val="num" w:pos="6423"/>
        </w:tabs>
        <w:ind w:left="6423" w:hanging="360"/>
      </w:pPr>
      <w:rPr>
        <w:rFonts w:ascii="Wingdings" w:hAnsi="Wingdings" w:hint="default"/>
      </w:rPr>
    </w:lvl>
  </w:abstractNum>
  <w:abstractNum w:abstractNumId="17">
    <w:nsid w:val="53A41434"/>
    <w:multiLevelType w:val="hybridMultilevel"/>
    <w:tmpl w:val="D4069CA2"/>
    <w:lvl w:ilvl="0" w:tplc="AB6E2D68">
      <w:start w:val="1"/>
      <w:numFmt w:val="bullet"/>
      <w:lvlText w:val=""/>
      <w:lvlJc w:val="left"/>
      <w:pPr>
        <w:tabs>
          <w:tab w:val="num" w:pos="700"/>
        </w:tabs>
        <w:ind w:left="700" w:hanging="360"/>
      </w:pPr>
      <w:rPr>
        <w:rFonts w:ascii="Wingdings" w:hAnsi="Wingdings" w:hint="default"/>
        <w:color w:val="auto"/>
        <w:sz w:val="24"/>
        <w:szCs w:val="24"/>
      </w:rPr>
    </w:lvl>
    <w:lvl w:ilvl="1" w:tplc="7DDCFFB6">
      <w:start w:val="1"/>
      <w:numFmt w:val="bullet"/>
      <w:lvlText w:val=""/>
      <w:lvlJc w:val="left"/>
      <w:pPr>
        <w:tabs>
          <w:tab w:val="num" w:pos="1440"/>
        </w:tabs>
        <w:ind w:left="1440" w:hanging="360"/>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5D92F24"/>
    <w:multiLevelType w:val="hybridMultilevel"/>
    <w:tmpl w:val="C3E23384"/>
    <w:lvl w:ilvl="0" w:tplc="0402000D">
      <w:start w:val="1"/>
      <w:numFmt w:val="bullet"/>
      <w:lvlText w:val=""/>
      <w:lvlJc w:val="left"/>
      <w:pPr>
        <w:ind w:left="1320" w:hanging="360"/>
      </w:pPr>
      <w:rPr>
        <w:rFonts w:ascii="Wingdings" w:hAnsi="Wingdings" w:hint="default"/>
      </w:rPr>
    </w:lvl>
    <w:lvl w:ilvl="1" w:tplc="04020003" w:tentative="1">
      <w:start w:val="1"/>
      <w:numFmt w:val="bullet"/>
      <w:lvlText w:val="o"/>
      <w:lvlJc w:val="left"/>
      <w:pPr>
        <w:ind w:left="2040" w:hanging="360"/>
      </w:pPr>
      <w:rPr>
        <w:rFonts w:ascii="Courier New" w:hAnsi="Courier New" w:cs="Courier New" w:hint="default"/>
      </w:rPr>
    </w:lvl>
    <w:lvl w:ilvl="2" w:tplc="04020005" w:tentative="1">
      <w:start w:val="1"/>
      <w:numFmt w:val="bullet"/>
      <w:lvlText w:val=""/>
      <w:lvlJc w:val="left"/>
      <w:pPr>
        <w:ind w:left="2760" w:hanging="360"/>
      </w:pPr>
      <w:rPr>
        <w:rFonts w:ascii="Wingdings" w:hAnsi="Wingdings" w:hint="default"/>
      </w:rPr>
    </w:lvl>
    <w:lvl w:ilvl="3" w:tplc="04020001" w:tentative="1">
      <w:start w:val="1"/>
      <w:numFmt w:val="bullet"/>
      <w:lvlText w:val=""/>
      <w:lvlJc w:val="left"/>
      <w:pPr>
        <w:ind w:left="3480" w:hanging="360"/>
      </w:pPr>
      <w:rPr>
        <w:rFonts w:ascii="Symbol" w:hAnsi="Symbol" w:hint="default"/>
      </w:rPr>
    </w:lvl>
    <w:lvl w:ilvl="4" w:tplc="04020003" w:tentative="1">
      <w:start w:val="1"/>
      <w:numFmt w:val="bullet"/>
      <w:lvlText w:val="o"/>
      <w:lvlJc w:val="left"/>
      <w:pPr>
        <w:ind w:left="4200" w:hanging="360"/>
      </w:pPr>
      <w:rPr>
        <w:rFonts w:ascii="Courier New" w:hAnsi="Courier New" w:cs="Courier New" w:hint="default"/>
      </w:rPr>
    </w:lvl>
    <w:lvl w:ilvl="5" w:tplc="04020005" w:tentative="1">
      <w:start w:val="1"/>
      <w:numFmt w:val="bullet"/>
      <w:lvlText w:val=""/>
      <w:lvlJc w:val="left"/>
      <w:pPr>
        <w:ind w:left="4920" w:hanging="360"/>
      </w:pPr>
      <w:rPr>
        <w:rFonts w:ascii="Wingdings" w:hAnsi="Wingdings" w:hint="default"/>
      </w:rPr>
    </w:lvl>
    <w:lvl w:ilvl="6" w:tplc="04020001" w:tentative="1">
      <w:start w:val="1"/>
      <w:numFmt w:val="bullet"/>
      <w:lvlText w:val=""/>
      <w:lvlJc w:val="left"/>
      <w:pPr>
        <w:ind w:left="5640" w:hanging="360"/>
      </w:pPr>
      <w:rPr>
        <w:rFonts w:ascii="Symbol" w:hAnsi="Symbol" w:hint="default"/>
      </w:rPr>
    </w:lvl>
    <w:lvl w:ilvl="7" w:tplc="04020003" w:tentative="1">
      <w:start w:val="1"/>
      <w:numFmt w:val="bullet"/>
      <w:lvlText w:val="o"/>
      <w:lvlJc w:val="left"/>
      <w:pPr>
        <w:ind w:left="6360" w:hanging="360"/>
      </w:pPr>
      <w:rPr>
        <w:rFonts w:ascii="Courier New" w:hAnsi="Courier New" w:cs="Courier New" w:hint="default"/>
      </w:rPr>
    </w:lvl>
    <w:lvl w:ilvl="8" w:tplc="04020005" w:tentative="1">
      <w:start w:val="1"/>
      <w:numFmt w:val="bullet"/>
      <w:lvlText w:val=""/>
      <w:lvlJc w:val="left"/>
      <w:pPr>
        <w:ind w:left="7080" w:hanging="360"/>
      </w:pPr>
      <w:rPr>
        <w:rFonts w:ascii="Wingdings" w:hAnsi="Wingdings" w:hint="default"/>
      </w:rPr>
    </w:lvl>
  </w:abstractNum>
  <w:abstractNum w:abstractNumId="19">
    <w:nsid w:val="582E15B7"/>
    <w:multiLevelType w:val="hybridMultilevel"/>
    <w:tmpl w:val="B862F89C"/>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0">
    <w:nsid w:val="643A5E75"/>
    <w:multiLevelType w:val="hybridMultilevel"/>
    <w:tmpl w:val="F88C976A"/>
    <w:lvl w:ilvl="0" w:tplc="04020001">
      <w:start w:val="1"/>
      <w:numFmt w:val="bullet"/>
      <w:lvlText w:val=""/>
      <w:lvlJc w:val="left"/>
      <w:pPr>
        <w:tabs>
          <w:tab w:val="num" w:pos="1101"/>
        </w:tabs>
        <w:ind w:left="1101" w:hanging="360"/>
      </w:pPr>
      <w:rPr>
        <w:rFonts w:ascii="Symbol" w:hAnsi="Symbol" w:hint="default"/>
      </w:rPr>
    </w:lvl>
    <w:lvl w:ilvl="1" w:tplc="04020003">
      <w:start w:val="1"/>
      <w:numFmt w:val="bullet"/>
      <w:lvlText w:val="o"/>
      <w:lvlJc w:val="left"/>
      <w:pPr>
        <w:tabs>
          <w:tab w:val="num" w:pos="1821"/>
        </w:tabs>
        <w:ind w:left="1821" w:hanging="360"/>
      </w:pPr>
      <w:rPr>
        <w:rFonts w:ascii="Courier New" w:hAnsi="Courier New" w:cs="Courier New" w:hint="default"/>
      </w:rPr>
    </w:lvl>
    <w:lvl w:ilvl="2" w:tplc="04020005" w:tentative="1">
      <w:start w:val="1"/>
      <w:numFmt w:val="bullet"/>
      <w:lvlText w:val=""/>
      <w:lvlJc w:val="left"/>
      <w:pPr>
        <w:tabs>
          <w:tab w:val="num" w:pos="2541"/>
        </w:tabs>
        <w:ind w:left="2541" w:hanging="360"/>
      </w:pPr>
      <w:rPr>
        <w:rFonts w:ascii="Wingdings" w:hAnsi="Wingdings" w:hint="default"/>
      </w:rPr>
    </w:lvl>
    <w:lvl w:ilvl="3" w:tplc="04020001" w:tentative="1">
      <w:start w:val="1"/>
      <w:numFmt w:val="bullet"/>
      <w:lvlText w:val=""/>
      <w:lvlJc w:val="left"/>
      <w:pPr>
        <w:tabs>
          <w:tab w:val="num" w:pos="3261"/>
        </w:tabs>
        <w:ind w:left="3261" w:hanging="360"/>
      </w:pPr>
      <w:rPr>
        <w:rFonts w:ascii="Symbol" w:hAnsi="Symbol" w:hint="default"/>
      </w:rPr>
    </w:lvl>
    <w:lvl w:ilvl="4" w:tplc="04020003" w:tentative="1">
      <w:start w:val="1"/>
      <w:numFmt w:val="bullet"/>
      <w:lvlText w:val="o"/>
      <w:lvlJc w:val="left"/>
      <w:pPr>
        <w:tabs>
          <w:tab w:val="num" w:pos="3981"/>
        </w:tabs>
        <w:ind w:left="3981" w:hanging="360"/>
      </w:pPr>
      <w:rPr>
        <w:rFonts w:ascii="Courier New" w:hAnsi="Courier New" w:cs="Courier New" w:hint="default"/>
      </w:rPr>
    </w:lvl>
    <w:lvl w:ilvl="5" w:tplc="04020005" w:tentative="1">
      <w:start w:val="1"/>
      <w:numFmt w:val="bullet"/>
      <w:lvlText w:val=""/>
      <w:lvlJc w:val="left"/>
      <w:pPr>
        <w:tabs>
          <w:tab w:val="num" w:pos="4701"/>
        </w:tabs>
        <w:ind w:left="4701" w:hanging="360"/>
      </w:pPr>
      <w:rPr>
        <w:rFonts w:ascii="Wingdings" w:hAnsi="Wingdings" w:hint="default"/>
      </w:rPr>
    </w:lvl>
    <w:lvl w:ilvl="6" w:tplc="04020001" w:tentative="1">
      <w:start w:val="1"/>
      <w:numFmt w:val="bullet"/>
      <w:lvlText w:val=""/>
      <w:lvlJc w:val="left"/>
      <w:pPr>
        <w:tabs>
          <w:tab w:val="num" w:pos="5421"/>
        </w:tabs>
        <w:ind w:left="5421" w:hanging="360"/>
      </w:pPr>
      <w:rPr>
        <w:rFonts w:ascii="Symbol" w:hAnsi="Symbol" w:hint="default"/>
      </w:rPr>
    </w:lvl>
    <w:lvl w:ilvl="7" w:tplc="04020003" w:tentative="1">
      <w:start w:val="1"/>
      <w:numFmt w:val="bullet"/>
      <w:lvlText w:val="o"/>
      <w:lvlJc w:val="left"/>
      <w:pPr>
        <w:tabs>
          <w:tab w:val="num" w:pos="6141"/>
        </w:tabs>
        <w:ind w:left="6141" w:hanging="360"/>
      </w:pPr>
      <w:rPr>
        <w:rFonts w:ascii="Courier New" w:hAnsi="Courier New" w:cs="Courier New" w:hint="default"/>
      </w:rPr>
    </w:lvl>
    <w:lvl w:ilvl="8" w:tplc="04020005" w:tentative="1">
      <w:start w:val="1"/>
      <w:numFmt w:val="bullet"/>
      <w:lvlText w:val=""/>
      <w:lvlJc w:val="left"/>
      <w:pPr>
        <w:tabs>
          <w:tab w:val="num" w:pos="6861"/>
        </w:tabs>
        <w:ind w:left="6861" w:hanging="360"/>
      </w:pPr>
      <w:rPr>
        <w:rFonts w:ascii="Wingdings" w:hAnsi="Wingdings" w:hint="default"/>
      </w:rPr>
    </w:lvl>
  </w:abstractNum>
  <w:abstractNum w:abstractNumId="21">
    <w:nsid w:val="65CD370F"/>
    <w:multiLevelType w:val="hybridMultilevel"/>
    <w:tmpl w:val="F0D23F02"/>
    <w:lvl w:ilvl="0" w:tplc="708AF0F2">
      <w:start w:val="1"/>
      <w:numFmt w:val="bullet"/>
      <w:lvlText w:val=""/>
      <w:lvlJc w:val="left"/>
      <w:pPr>
        <w:tabs>
          <w:tab w:val="num" w:pos="700"/>
        </w:tabs>
        <w:ind w:left="700" w:hanging="360"/>
      </w:pPr>
      <w:rPr>
        <w:rFonts w:ascii="Symbol" w:hAnsi="Symbol" w:hint="default"/>
      </w:rPr>
    </w:lvl>
    <w:lvl w:ilvl="1" w:tplc="C7466056">
      <w:start w:val="1"/>
      <w:numFmt w:val="bullet"/>
      <w:lvlText w:val=""/>
      <w:lvlJc w:val="left"/>
      <w:pPr>
        <w:tabs>
          <w:tab w:val="num" w:pos="1440"/>
        </w:tabs>
        <w:ind w:left="740" w:firstLine="34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679E6BBC"/>
    <w:multiLevelType w:val="hybridMultilevel"/>
    <w:tmpl w:val="A3186A2C"/>
    <w:lvl w:ilvl="0" w:tplc="3B28C328">
      <w:start w:val="1"/>
      <w:numFmt w:val="bullet"/>
      <w:lvlText w:val="♦"/>
      <w:lvlJc w:val="left"/>
      <w:pPr>
        <w:tabs>
          <w:tab w:val="num" w:pos="2880"/>
        </w:tabs>
        <w:ind w:left="2880" w:hanging="360"/>
      </w:pPr>
      <w:rPr>
        <w:rFonts w:ascii="Courier New" w:hAnsi="Courier New" w:hint="default"/>
        <w:sz w:val="24"/>
        <w:szCs w:val="24"/>
      </w:rPr>
    </w:lvl>
    <w:lvl w:ilvl="1" w:tplc="8D0EC7F8">
      <w:start w:val="1"/>
      <w:numFmt w:val="bullet"/>
      <w:lvlText w:val=""/>
      <w:lvlJc w:val="left"/>
      <w:pPr>
        <w:tabs>
          <w:tab w:val="num" w:pos="2160"/>
        </w:tabs>
        <w:ind w:left="2160" w:hanging="360"/>
      </w:pPr>
      <w:rPr>
        <w:rFonts w:ascii="Wingdings" w:hAnsi="Wingdings" w:hint="default"/>
        <w:color w:val="auto"/>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3">
    <w:nsid w:val="68B65AC9"/>
    <w:multiLevelType w:val="hybridMultilevel"/>
    <w:tmpl w:val="313EA526"/>
    <w:lvl w:ilvl="0" w:tplc="257A31AA">
      <w:start w:val="1"/>
      <w:numFmt w:val="bullet"/>
      <w:lvlText w:val=""/>
      <w:lvlJc w:val="left"/>
      <w:pPr>
        <w:tabs>
          <w:tab w:val="num" w:pos="540"/>
        </w:tabs>
        <w:ind w:left="30" w:firstLine="15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9204032"/>
    <w:multiLevelType w:val="hybridMultilevel"/>
    <w:tmpl w:val="5A7CE09A"/>
    <w:lvl w:ilvl="0" w:tplc="3B28C328">
      <w:start w:val="1"/>
      <w:numFmt w:val="bullet"/>
      <w:lvlText w:val="♦"/>
      <w:lvlJc w:val="left"/>
      <w:pPr>
        <w:tabs>
          <w:tab w:val="num" w:pos="2880"/>
        </w:tabs>
        <w:ind w:left="2880" w:hanging="360"/>
      </w:pPr>
      <w:rPr>
        <w:rFonts w:ascii="Courier New" w:hAnsi="Courier New" w:hint="default"/>
        <w:sz w:val="24"/>
        <w:szCs w:val="24"/>
      </w:rPr>
    </w:lvl>
    <w:lvl w:ilvl="1" w:tplc="7DDCFFB6">
      <w:start w:val="1"/>
      <w:numFmt w:val="bullet"/>
      <w:lvlText w:val=""/>
      <w:lvlJc w:val="left"/>
      <w:pPr>
        <w:tabs>
          <w:tab w:val="num" w:pos="2160"/>
        </w:tabs>
        <w:ind w:left="2160" w:hanging="360"/>
      </w:pPr>
      <w:rPr>
        <w:rFonts w:ascii="Wingdings" w:hAnsi="Wingdings" w:hint="default"/>
        <w:sz w:val="24"/>
        <w:szCs w:val="24"/>
      </w:rPr>
    </w:lvl>
    <w:lvl w:ilvl="2" w:tplc="F3BE7F08">
      <w:start w:val="1"/>
      <w:numFmt w:val="bullet"/>
      <w:lvlText w:val=""/>
      <w:lvlJc w:val="left"/>
      <w:pPr>
        <w:tabs>
          <w:tab w:val="num" w:pos="2880"/>
        </w:tabs>
        <w:ind w:left="2880" w:hanging="360"/>
      </w:pPr>
      <w:rPr>
        <w:rFonts w:ascii="Wingdings" w:hAnsi="Wingdings" w:hint="default"/>
        <w:color w:val="000000"/>
        <w:sz w:val="24"/>
        <w:szCs w:val="24"/>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25">
    <w:nsid w:val="6E544B1C"/>
    <w:multiLevelType w:val="hybridMultilevel"/>
    <w:tmpl w:val="F19A58DE"/>
    <w:lvl w:ilvl="0" w:tplc="0402000B">
      <w:start w:val="1"/>
      <w:numFmt w:val="bullet"/>
      <w:lvlText w:val=""/>
      <w:lvlJc w:val="left"/>
      <w:pPr>
        <w:ind w:left="780" w:hanging="360"/>
      </w:pPr>
      <w:rPr>
        <w:rFonts w:ascii="Wingdings" w:hAnsi="Wingdings" w:hint="default"/>
      </w:rPr>
    </w:lvl>
    <w:lvl w:ilvl="1" w:tplc="04020003" w:tentative="1">
      <w:start w:val="1"/>
      <w:numFmt w:val="bullet"/>
      <w:lvlText w:val="o"/>
      <w:lvlJc w:val="left"/>
      <w:pPr>
        <w:ind w:left="1500" w:hanging="360"/>
      </w:pPr>
      <w:rPr>
        <w:rFonts w:ascii="Courier New" w:hAnsi="Courier New" w:cs="Courier New" w:hint="default"/>
      </w:rPr>
    </w:lvl>
    <w:lvl w:ilvl="2" w:tplc="04020005" w:tentative="1">
      <w:start w:val="1"/>
      <w:numFmt w:val="bullet"/>
      <w:lvlText w:val=""/>
      <w:lvlJc w:val="left"/>
      <w:pPr>
        <w:ind w:left="2220" w:hanging="360"/>
      </w:pPr>
      <w:rPr>
        <w:rFonts w:ascii="Wingdings" w:hAnsi="Wingdings" w:hint="default"/>
      </w:rPr>
    </w:lvl>
    <w:lvl w:ilvl="3" w:tplc="04020001" w:tentative="1">
      <w:start w:val="1"/>
      <w:numFmt w:val="bullet"/>
      <w:lvlText w:val=""/>
      <w:lvlJc w:val="left"/>
      <w:pPr>
        <w:ind w:left="2940" w:hanging="360"/>
      </w:pPr>
      <w:rPr>
        <w:rFonts w:ascii="Symbol" w:hAnsi="Symbol" w:hint="default"/>
      </w:rPr>
    </w:lvl>
    <w:lvl w:ilvl="4" w:tplc="04020003" w:tentative="1">
      <w:start w:val="1"/>
      <w:numFmt w:val="bullet"/>
      <w:lvlText w:val="o"/>
      <w:lvlJc w:val="left"/>
      <w:pPr>
        <w:ind w:left="3660" w:hanging="360"/>
      </w:pPr>
      <w:rPr>
        <w:rFonts w:ascii="Courier New" w:hAnsi="Courier New" w:cs="Courier New" w:hint="default"/>
      </w:rPr>
    </w:lvl>
    <w:lvl w:ilvl="5" w:tplc="04020005" w:tentative="1">
      <w:start w:val="1"/>
      <w:numFmt w:val="bullet"/>
      <w:lvlText w:val=""/>
      <w:lvlJc w:val="left"/>
      <w:pPr>
        <w:ind w:left="4380" w:hanging="360"/>
      </w:pPr>
      <w:rPr>
        <w:rFonts w:ascii="Wingdings" w:hAnsi="Wingdings" w:hint="default"/>
      </w:rPr>
    </w:lvl>
    <w:lvl w:ilvl="6" w:tplc="04020001" w:tentative="1">
      <w:start w:val="1"/>
      <w:numFmt w:val="bullet"/>
      <w:lvlText w:val=""/>
      <w:lvlJc w:val="left"/>
      <w:pPr>
        <w:ind w:left="5100" w:hanging="360"/>
      </w:pPr>
      <w:rPr>
        <w:rFonts w:ascii="Symbol" w:hAnsi="Symbol" w:hint="default"/>
      </w:rPr>
    </w:lvl>
    <w:lvl w:ilvl="7" w:tplc="04020003" w:tentative="1">
      <w:start w:val="1"/>
      <w:numFmt w:val="bullet"/>
      <w:lvlText w:val="o"/>
      <w:lvlJc w:val="left"/>
      <w:pPr>
        <w:ind w:left="5820" w:hanging="360"/>
      </w:pPr>
      <w:rPr>
        <w:rFonts w:ascii="Courier New" w:hAnsi="Courier New" w:cs="Courier New" w:hint="default"/>
      </w:rPr>
    </w:lvl>
    <w:lvl w:ilvl="8" w:tplc="04020005" w:tentative="1">
      <w:start w:val="1"/>
      <w:numFmt w:val="bullet"/>
      <w:lvlText w:val=""/>
      <w:lvlJc w:val="left"/>
      <w:pPr>
        <w:ind w:left="6540" w:hanging="360"/>
      </w:pPr>
      <w:rPr>
        <w:rFonts w:ascii="Wingdings" w:hAnsi="Wingdings" w:hint="default"/>
      </w:rPr>
    </w:lvl>
  </w:abstractNum>
  <w:abstractNum w:abstractNumId="26">
    <w:nsid w:val="6F1E15D4"/>
    <w:multiLevelType w:val="hybridMultilevel"/>
    <w:tmpl w:val="9DAEC4A6"/>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nsid w:val="70676522"/>
    <w:multiLevelType w:val="hybridMultilevel"/>
    <w:tmpl w:val="4E68849A"/>
    <w:lvl w:ilvl="0" w:tplc="0402000D">
      <w:start w:val="1"/>
      <w:numFmt w:val="bullet"/>
      <w:lvlText w:val=""/>
      <w:lvlJc w:val="left"/>
      <w:pPr>
        <w:ind w:left="1425" w:hanging="360"/>
      </w:pPr>
      <w:rPr>
        <w:rFonts w:ascii="Wingdings" w:hAnsi="Wingdings" w:hint="default"/>
      </w:rPr>
    </w:lvl>
    <w:lvl w:ilvl="1" w:tplc="04020003" w:tentative="1">
      <w:start w:val="1"/>
      <w:numFmt w:val="bullet"/>
      <w:lvlText w:val="o"/>
      <w:lvlJc w:val="left"/>
      <w:pPr>
        <w:ind w:left="2145" w:hanging="360"/>
      </w:pPr>
      <w:rPr>
        <w:rFonts w:ascii="Courier New" w:hAnsi="Courier New" w:cs="Courier New" w:hint="default"/>
      </w:rPr>
    </w:lvl>
    <w:lvl w:ilvl="2" w:tplc="04020005" w:tentative="1">
      <w:start w:val="1"/>
      <w:numFmt w:val="bullet"/>
      <w:lvlText w:val=""/>
      <w:lvlJc w:val="left"/>
      <w:pPr>
        <w:ind w:left="2865" w:hanging="360"/>
      </w:pPr>
      <w:rPr>
        <w:rFonts w:ascii="Wingdings" w:hAnsi="Wingdings" w:hint="default"/>
      </w:rPr>
    </w:lvl>
    <w:lvl w:ilvl="3" w:tplc="04020001" w:tentative="1">
      <w:start w:val="1"/>
      <w:numFmt w:val="bullet"/>
      <w:lvlText w:val=""/>
      <w:lvlJc w:val="left"/>
      <w:pPr>
        <w:ind w:left="3585" w:hanging="360"/>
      </w:pPr>
      <w:rPr>
        <w:rFonts w:ascii="Symbol" w:hAnsi="Symbol" w:hint="default"/>
      </w:rPr>
    </w:lvl>
    <w:lvl w:ilvl="4" w:tplc="04020003" w:tentative="1">
      <w:start w:val="1"/>
      <w:numFmt w:val="bullet"/>
      <w:lvlText w:val="o"/>
      <w:lvlJc w:val="left"/>
      <w:pPr>
        <w:ind w:left="4305" w:hanging="360"/>
      </w:pPr>
      <w:rPr>
        <w:rFonts w:ascii="Courier New" w:hAnsi="Courier New" w:cs="Courier New" w:hint="default"/>
      </w:rPr>
    </w:lvl>
    <w:lvl w:ilvl="5" w:tplc="04020005" w:tentative="1">
      <w:start w:val="1"/>
      <w:numFmt w:val="bullet"/>
      <w:lvlText w:val=""/>
      <w:lvlJc w:val="left"/>
      <w:pPr>
        <w:ind w:left="5025" w:hanging="360"/>
      </w:pPr>
      <w:rPr>
        <w:rFonts w:ascii="Wingdings" w:hAnsi="Wingdings" w:hint="default"/>
      </w:rPr>
    </w:lvl>
    <w:lvl w:ilvl="6" w:tplc="04020001" w:tentative="1">
      <w:start w:val="1"/>
      <w:numFmt w:val="bullet"/>
      <w:lvlText w:val=""/>
      <w:lvlJc w:val="left"/>
      <w:pPr>
        <w:ind w:left="5745" w:hanging="360"/>
      </w:pPr>
      <w:rPr>
        <w:rFonts w:ascii="Symbol" w:hAnsi="Symbol" w:hint="default"/>
      </w:rPr>
    </w:lvl>
    <w:lvl w:ilvl="7" w:tplc="04020003" w:tentative="1">
      <w:start w:val="1"/>
      <w:numFmt w:val="bullet"/>
      <w:lvlText w:val="o"/>
      <w:lvlJc w:val="left"/>
      <w:pPr>
        <w:ind w:left="6465" w:hanging="360"/>
      </w:pPr>
      <w:rPr>
        <w:rFonts w:ascii="Courier New" w:hAnsi="Courier New" w:cs="Courier New" w:hint="default"/>
      </w:rPr>
    </w:lvl>
    <w:lvl w:ilvl="8" w:tplc="04020005" w:tentative="1">
      <w:start w:val="1"/>
      <w:numFmt w:val="bullet"/>
      <w:lvlText w:val=""/>
      <w:lvlJc w:val="left"/>
      <w:pPr>
        <w:ind w:left="7185" w:hanging="360"/>
      </w:pPr>
      <w:rPr>
        <w:rFonts w:ascii="Wingdings" w:hAnsi="Wingdings" w:hint="default"/>
      </w:rPr>
    </w:lvl>
  </w:abstractNum>
  <w:abstractNum w:abstractNumId="28">
    <w:nsid w:val="71812127"/>
    <w:multiLevelType w:val="multilevel"/>
    <w:tmpl w:val="FDE86A66"/>
    <w:lvl w:ilvl="0">
      <w:start w:val="1"/>
      <w:numFmt w:val="decimal"/>
      <w:lvlText w:val="%1."/>
      <w:lvlJc w:val="left"/>
      <w:pPr>
        <w:tabs>
          <w:tab w:val="num" w:pos="532"/>
        </w:tabs>
        <w:ind w:left="532" w:hanging="390"/>
      </w:pPr>
      <w:rPr>
        <w:rFonts w:hint="default"/>
      </w:rPr>
    </w:lvl>
    <w:lvl w:ilvl="1">
      <w:start w:val="1"/>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29">
    <w:nsid w:val="74400184"/>
    <w:multiLevelType w:val="hybridMultilevel"/>
    <w:tmpl w:val="93A0FF94"/>
    <w:lvl w:ilvl="0" w:tplc="A0881FC2">
      <w:start w:val="1"/>
      <w:numFmt w:val="bullet"/>
      <w:lvlText w:val=""/>
      <w:lvlJc w:val="left"/>
      <w:pPr>
        <w:tabs>
          <w:tab w:val="num" w:pos="1440"/>
        </w:tabs>
        <w:ind w:left="740" w:firstLine="340"/>
      </w:pPr>
      <w:rPr>
        <w:rFonts w:ascii="Wingdings" w:hAnsi="Wingdings" w:hint="default"/>
        <w:color w:val="000000"/>
        <w:sz w:val="24"/>
        <w:szCs w:val="24"/>
      </w:rPr>
    </w:lvl>
    <w:lvl w:ilvl="1" w:tplc="CAE42808">
      <w:start w:val="1"/>
      <w:numFmt w:val="bullet"/>
      <w:lvlText w:val=""/>
      <w:lvlJc w:val="left"/>
      <w:pPr>
        <w:tabs>
          <w:tab w:val="num" w:pos="1440"/>
        </w:tabs>
        <w:ind w:left="1440" w:hanging="360"/>
      </w:pPr>
      <w:rPr>
        <w:rFonts w:ascii="Wingdings" w:hAnsi="Wingdings" w:hint="default"/>
        <w:color w:val="000000"/>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nsid w:val="74896D38"/>
    <w:multiLevelType w:val="hybridMultilevel"/>
    <w:tmpl w:val="ADA8828A"/>
    <w:lvl w:ilvl="0" w:tplc="0402000D">
      <w:start w:val="1"/>
      <w:numFmt w:val="bullet"/>
      <w:lvlText w:val=""/>
      <w:lvlJc w:val="left"/>
      <w:pPr>
        <w:tabs>
          <w:tab w:val="num" w:pos="1500"/>
        </w:tabs>
        <w:ind w:left="1500" w:hanging="360"/>
      </w:pPr>
      <w:rPr>
        <w:rFonts w:ascii="Wingdings" w:hAnsi="Wingdings" w:hint="default"/>
      </w:rPr>
    </w:lvl>
    <w:lvl w:ilvl="1" w:tplc="04020003" w:tentative="1">
      <w:start w:val="1"/>
      <w:numFmt w:val="bullet"/>
      <w:lvlText w:val="o"/>
      <w:lvlJc w:val="left"/>
      <w:pPr>
        <w:tabs>
          <w:tab w:val="num" w:pos="2220"/>
        </w:tabs>
        <w:ind w:left="2220" w:hanging="360"/>
      </w:pPr>
      <w:rPr>
        <w:rFonts w:ascii="Courier New" w:hAnsi="Courier New" w:cs="Courier New" w:hint="default"/>
      </w:rPr>
    </w:lvl>
    <w:lvl w:ilvl="2" w:tplc="04020005" w:tentative="1">
      <w:start w:val="1"/>
      <w:numFmt w:val="bullet"/>
      <w:lvlText w:val=""/>
      <w:lvlJc w:val="left"/>
      <w:pPr>
        <w:tabs>
          <w:tab w:val="num" w:pos="2940"/>
        </w:tabs>
        <w:ind w:left="2940" w:hanging="360"/>
      </w:pPr>
      <w:rPr>
        <w:rFonts w:ascii="Wingdings" w:hAnsi="Wingdings" w:hint="default"/>
      </w:rPr>
    </w:lvl>
    <w:lvl w:ilvl="3" w:tplc="04020001" w:tentative="1">
      <w:start w:val="1"/>
      <w:numFmt w:val="bullet"/>
      <w:lvlText w:val=""/>
      <w:lvlJc w:val="left"/>
      <w:pPr>
        <w:tabs>
          <w:tab w:val="num" w:pos="3660"/>
        </w:tabs>
        <w:ind w:left="3660" w:hanging="360"/>
      </w:pPr>
      <w:rPr>
        <w:rFonts w:ascii="Symbol" w:hAnsi="Symbol" w:hint="default"/>
      </w:rPr>
    </w:lvl>
    <w:lvl w:ilvl="4" w:tplc="04020003" w:tentative="1">
      <w:start w:val="1"/>
      <w:numFmt w:val="bullet"/>
      <w:lvlText w:val="o"/>
      <w:lvlJc w:val="left"/>
      <w:pPr>
        <w:tabs>
          <w:tab w:val="num" w:pos="4380"/>
        </w:tabs>
        <w:ind w:left="4380" w:hanging="360"/>
      </w:pPr>
      <w:rPr>
        <w:rFonts w:ascii="Courier New" w:hAnsi="Courier New" w:cs="Courier New" w:hint="default"/>
      </w:rPr>
    </w:lvl>
    <w:lvl w:ilvl="5" w:tplc="04020005" w:tentative="1">
      <w:start w:val="1"/>
      <w:numFmt w:val="bullet"/>
      <w:lvlText w:val=""/>
      <w:lvlJc w:val="left"/>
      <w:pPr>
        <w:tabs>
          <w:tab w:val="num" w:pos="5100"/>
        </w:tabs>
        <w:ind w:left="5100" w:hanging="360"/>
      </w:pPr>
      <w:rPr>
        <w:rFonts w:ascii="Wingdings" w:hAnsi="Wingdings" w:hint="default"/>
      </w:rPr>
    </w:lvl>
    <w:lvl w:ilvl="6" w:tplc="04020001" w:tentative="1">
      <w:start w:val="1"/>
      <w:numFmt w:val="bullet"/>
      <w:lvlText w:val=""/>
      <w:lvlJc w:val="left"/>
      <w:pPr>
        <w:tabs>
          <w:tab w:val="num" w:pos="5820"/>
        </w:tabs>
        <w:ind w:left="5820" w:hanging="360"/>
      </w:pPr>
      <w:rPr>
        <w:rFonts w:ascii="Symbol" w:hAnsi="Symbol" w:hint="default"/>
      </w:rPr>
    </w:lvl>
    <w:lvl w:ilvl="7" w:tplc="04020003" w:tentative="1">
      <w:start w:val="1"/>
      <w:numFmt w:val="bullet"/>
      <w:lvlText w:val="o"/>
      <w:lvlJc w:val="left"/>
      <w:pPr>
        <w:tabs>
          <w:tab w:val="num" w:pos="6540"/>
        </w:tabs>
        <w:ind w:left="6540" w:hanging="360"/>
      </w:pPr>
      <w:rPr>
        <w:rFonts w:ascii="Courier New" w:hAnsi="Courier New" w:cs="Courier New" w:hint="default"/>
      </w:rPr>
    </w:lvl>
    <w:lvl w:ilvl="8" w:tplc="04020005" w:tentative="1">
      <w:start w:val="1"/>
      <w:numFmt w:val="bullet"/>
      <w:lvlText w:val=""/>
      <w:lvlJc w:val="left"/>
      <w:pPr>
        <w:tabs>
          <w:tab w:val="num" w:pos="7260"/>
        </w:tabs>
        <w:ind w:left="7260" w:hanging="360"/>
      </w:pPr>
      <w:rPr>
        <w:rFonts w:ascii="Wingdings" w:hAnsi="Wingdings" w:hint="default"/>
      </w:rPr>
    </w:lvl>
  </w:abstractNum>
  <w:abstractNum w:abstractNumId="31">
    <w:nsid w:val="79D837F9"/>
    <w:multiLevelType w:val="hybridMultilevel"/>
    <w:tmpl w:val="21AA00B6"/>
    <w:lvl w:ilvl="0" w:tplc="3B28C328">
      <w:start w:val="1"/>
      <w:numFmt w:val="bullet"/>
      <w:lvlText w:val="♦"/>
      <w:lvlJc w:val="left"/>
      <w:pPr>
        <w:tabs>
          <w:tab w:val="num" w:pos="2880"/>
        </w:tabs>
        <w:ind w:left="2880" w:hanging="360"/>
      </w:pPr>
      <w:rPr>
        <w:rFonts w:ascii="Courier New" w:hAnsi="Courier New" w:hint="default"/>
        <w:sz w:val="24"/>
        <w:szCs w:val="24"/>
      </w:rPr>
    </w:lvl>
    <w:lvl w:ilvl="1" w:tplc="72E4233E">
      <w:start w:val="1"/>
      <w:numFmt w:val="bullet"/>
      <w:lvlText w:val=""/>
      <w:lvlJc w:val="left"/>
      <w:pPr>
        <w:tabs>
          <w:tab w:val="num" w:pos="2160"/>
        </w:tabs>
        <w:ind w:left="2160" w:hanging="360"/>
      </w:pPr>
      <w:rPr>
        <w:rFonts w:ascii="Symbol" w:hAnsi="Symbol" w:hint="default"/>
        <w:sz w:val="24"/>
        <w:szCs w:val="24"/>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2"/>
  </w:num>
  <w:num w:numId="3">
    <w:abstractNumId w:val="23"/>
  </w:num>
  <w:num w:numId="4">
    <w:abstractNumId w:val="9"/>
  </w:num>
  <w:num w:numId="5">
    <w:abstractNumId w:val="26"/>
  </w:num>
  <w:num w:numId="6">
    <w:abstractNumId w:val="17"/>
  </w:num>
  <w:num w:numId="7">
    <w:abstractNumId w:val="21"/>
  </w:num>
  <w:num w:numId="8">
    <w:abstractNumId w:val="11"/>
  </w:num>
  <w:num w:numId="9">
    <w:abstractNumId w:val="15"/>
  </w:num>
  <w:num w:numId="10">
    <w:abstractNumId w:val="28"/>
  </w:num>
  <w:num w:numId="11">
    <w:abstractNumId w:val="22"/>
  </w:num>
  <w:num w:numId="12">
    <w:abstractNumId w:val="20"/>
  </w:num>
  <w:num w:numId="13">
    <w:abstractNumId w:val="3"/>
  </w:num>
  <w:num w:numId="14">
    <w:abstractNumId w:val="31"/>
  </w:num>
  <w:num w:numId="15">
    <w:abstractNumId w:val="29"/>
  </w:num>
  <w:num w:numId="16">
    <w:abstractNumId w:val="2"/>
  </w:num>
  <w:num w:numId="17">
    <w:abstractNumId w:val="24"/>
  </w:num>
  <w:num w:numId="18">
    <w:abstractNumId w:val="13"/>
  </w:num>
  <w:num w:numId="19">
    <w:abstractNumId w:val="6"/>
  </w:num>
  <w:num w:numId="20">
    <w:abstractNumId w:val="16"/>
  </w:num>
  <w:num w:numId="21">
    <w:abstractNumId w:val="7"/>
  </w:num>
  <w:num w:numId="22">
    <w:abstractNumId w:val="8"/>
  </w:num>
  <w:num w:numId="23">
    <w:abstractNumId w:val="30"/>
  </w:num>
  <w:num w:numId="24">
    <w:abstractNumId w:val="14"/>
  </w:num>
  <w:num w:numId="25">
    <w:abstractNumId w:val="18"/>
  </w:num>
  <w:num w:numId="26">
    <w:abstractNumId w:val="5"/>
  </w:num>
  <w:num w:numId="27">
    <w:abstractNumId w:val="10"/>
  </w:num>
  <w:num w:numId="28">
    <w:abstractNumId w:val="25"/>
  </w:num>
  <w:num w:numId="29">
    <w:abstractNumId w:val="0"/>
  </w:num>
  <w:num w:numId="30">
    <w:abstractNumId w:val="19"/>
  </w:num>
  <w:num w:numId="31">
    <w:abstractNumId w:val="27"/>
  </w:num>
  <w:num w:numId="32">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E15"/>
    <w:rsid w:val="00000EF0"/>
    <w:rsid w:val="00002BD7"/>
    <w:rsid w:val="00002D9C"/>
    <w:rsid w:val="00004264"/>
    <w:rsid w:val="000063FC"/>
    <w:rsid w:val="0000691E"/>
    <w:rsid w:val="000111D3"/>
    <w:rsid w:val="000119C6"/>
    <w:rsid w:val="00012533"/>
    <w:rsid w:val="00012AE6"/>
    <w:rsid w:val="00013B93"/>
    <w:rsid w:val="00013C59"/>
    <w:rsid w:val="000146EA"/>
    <w:rsid w:val="000158A2"/>
    <w:rsid w:val="000175C7"/>
    <w:rsid w:val="000178CA"/>
    <w:rsid w:val="000215BD"/>
    <w:rsid w:val="00021A5F"/>
    <w:rsid w:val="000221B7"/>
    <w:rsid w:val="000229E1"/>
    <w:rsid w:val="00022D9E"/>
    <w:rsid w:val="0002351F"/>
    <w:rsid w:val="0002477E"/>
    <w:rsid w:val="000249B9"/>
    <w:rsid w:val="000256B4"/>
    <w:rsid w:val="00025953"/>
    <w:rsid w:val="00025F45"/>
    <w:rsid w:val="00026903"/>
    <w:rsid w:val="0002693A"/>
    <w:rsid w:val="00026AD5"/>
    <w:rsid w:val="00027951"/>
    <w:rsid w:val="000307D3"/>
    <w:rsid w:val="000311EA"/>
    <w:rsid w:val="00031377"/>
    <w:rsid w:val="00031593"/>
    <w:rsid w:val="000320C8"/>
    <w:rsid w:val="00032966"/>
    <w:rsid w:val="00033ACB"/>
    <w:rsid w:val="00034135"/>
    <w:rsid w:val="00034FE3"/>
    <w:rsid w:val="000359FA"/>
    <w:rsid w:val="0003621F"/>
    <w:rsid w:val="00036A1B"/>
    <w:rsid w:val="000378DC"/>
    <w:rsid w:val="0004080C"/>
    <w:rsid w:val="0004098D"/>
    <w:rsid w:val="00040C20"/>
    <w:rsid w:val="000411D9"/>
    <w:rsid w:val="00041338"/>
    <w:rsid w:val="00042634"/>
    <w:rsid w:val="0004338F"/>
    <w:rsid w:val="000436DD"/>
    <w:rsid w:val="00043AA0"/>
    <w:rsid w:val="00043AB2"/>
    <w:rsid w:val="00043E35"/>
    <w:rsid w:val="0004426E"/>
    <w:rsid w:val="00044273"/>
    <w:rsid w:val="0004753C"/>
    <w:rsid w:val="00050A1B"/>
    <w:rsid w:val="00051E5E"/>
    <w:rsid w:val="00052C5C"/>
    <w:rsid w:val="00053D51"/>
    <w:rsid w:val="000546BF"/>
    <w:rsid w:val="00054E02"/>
    <w:rsid w:val="00055007"/>
    <w:rsid w:val="00055A61"/>
    <w:rsid w:val="00056221"/>
    <w:rsid w:val="00056D9D"/>
    <w:rsid w:val="0005737D"/>
    <w:rsid w:val="00057886"/>
    <w:rsid w:val="00060A02"/>
    <w:rsid w:val="00060B42"/>
    <w:rsid w:val="0006166E"/>
    <w:rsid w:val="00061758"/>
    <w:rsid w:val="00063235"/>
    <w:rsid w:val="00063E15"/>
    <w:rsid w:val="000642B9"/>
    <w:rsid w:val="0006477A"/>
    <w:rsid w:val="00064AF3"/>
    <w:rsid w:val="00064C44"/>
    <w:rsid w:val="00064E39"/>
    <w:rsid w:val="00065A46"/>
    <w:rsid w:val="000663D1"/>
    <w:rsid w:val="00066EED"/>
    <w:rsid w:val="00067283"/>
    <w:rsid w:val="00071F12"/>
    <w:rsid w:val="00072D22"/>
    <w:rsid w:val="00073DF5"/>
    <w:rsid w:val="000751C1"/>
    <w:rsid w:val="00075256"/>
    <w:rsid w:val="0007526B"/>
    <w:rsid w:val="000768B3"/>
    <w:rsid w:val="00080AB2"/>
    <w:rsid w:val="00080EF5"/>
    <w:rsid w:val="0008155D"/>
    <w:rsid w:val="000819F9"/>
    <w:rsid w:val="00081AFD"/>
    <w:rsid w:val="00082679"/>
    <w:rsid w:val="00082BD9"/>
    <w:rsid w:val="0008327E"/>
    <w:rsid w:val="000832E5"/>
    <w:rsid w:val="0008357F"/>
    <w:rsid w:val="00085E01"/>
    <w:rsid w:val="00085E1A"/>
    <w:rsid w:val="00086FA7"/>
    <w:rsid w:val="00087295"/>
    <w:rsid w:val="0008745A"/>
    <w:rsid w:val="000878C4"/>
    <w:rsid w:val="0009002F"/>
    <w:rsid w:val="000900E3"/>
    <w:rsid w:val="000902B5"/>
    <w:rsid w:val="00090D1D"/>
    <w:rsid w:val="00091196"/>
    <w:rsid w:val="00091BCE"/>
    <w:rsid w:val="000937AB"/>
    <w:rsid w:val="000937E0"/>
    <w:rsid w:val="000943E4"/>
    <w:rsid w:val="00094A6C"/>
    <w:rsid w:val="0009743A"/>
    <w:rsid w:val="000A09BA"/>
    <w:rsid w:val="000A301B"/>
    <w:rsid w:val="000A3F57"/>
    <w:rsid w:val="000A5B32"/>
    <w:rsid w:val="000B09E5"/>
    <w:rsid w:val="000B0CE6"/>
    <w:rsid w:val="000B11FB"/>
    <w:rsid w:val="000B175F"/>
    <w:rsid w:val="000B1A24"/>
    <w:rsid w:val="000B1E59"/>
    <w:rsid w:val="000B2CBE"/>
    <w:rsid w:val="000B52FA"/>
    <w:rsid w:val="000B5F1E"/>
    <w:rsid w:val="000B62C7"/>
    <w:rsid w:val="000B7234"/>
    <w:rsid w:val="000B7447"/>
    <w:rsid w:val="000B7C4F"/>
    <w:rsid w:val="000B7E66"/>
    <w:rsid w:val="000C06FE"/>
    <w:rsid w:val="000C0FA1"/>
    <w:rsid w:val="000C13A5"/>
    <w:rsid w:val="000C2FAC"/>
    <w:rsid w:val="000C5ACF"/>
    <w:rsid w:val="000C5C6D"/>
    <w:rsid w:val="000C69AE"/>
    <w:rsid w:val="000C6CB5"/>
    <w:rsid w:val="000C6CF3"/>
    <w:rsid w:val="000C7303"/>
    <w:rsid w:val="000C7BB6"/>
    <w:rsid w:val="000D0538"/>
    <w:rsid w:val="000D0AB1"/>
    <w:rsid w:val="000D2516"/>
    <w:rsid w:val="000D2B33"/>
    <w:rsid w:val="000D2BE7"/>
    <w:rsid w:val="000D3942"/>
    <w:rsid w:val="000D3FA7"/>
    <w:rsid w:val="000D49F5"/>
    <w:rsid w:val="000D4BEB"/>
    <w:rsid w:val="000D6D92"/>
    <w:rsid w:val="000D725A"/>
    <w:rsid w:val="000D740D"/>
    <w:rsid w:val="000D78E4"/>
    <w:rsid w:val="000E1529"/>
    <w:rsid w:val="000E1EAF"/>
    <w:rsid w:val="000E1FB5"/>
    <w:rsid w:val="000E234B"/>
    <w:rsid w:val="000E2894"/>
    <w:rsid w:val="000E39DF"/>
    <w:rsid w:val="000E5205"/>
    <w:rsid w:val="000E5295"/>
    <w:rsid w:val="000E5483"/>
    <w:rsid w:val="000E5EE9"/>
    <w:rsid w:val="000E632B"/>
    <w:rsid w:val="000E76B3"/>
    <w:rsid w:val="000F04F4"/>
    <w:rsid w:val="000F26DE"/>
    <w:rsid w:val="000F3534"/>
    <w:rsid w:val="000F3EA1"/>
    <w:rsid w:val="000F47A8"/>
    <w:rsid w:val="000F5080"/>
    <w:rsid w:val="000F5EF4"/>
    <w:rsid w:val="000F5F76"/>
    <w:rsid w:val="000F6B35"/>
    <w:rsid w:val="0010026D"/>
    <w:rsid w:val="0010055E"/>
    <w:rsid w:val="001006E1"/>
    <w:rsid w:val="00100CE5"/>
    <w:rsid w:val="001011A4"/>
    <w:rsid w:val="001017B7"/>
    <w:rsid w:val="0010212B"/>
    <w:rsid w:val="00102523"/>
    <w:rsid w:val="00102869"/>
    <w:rsid w:val="001028F7"/>
    <w:rsid w:val="00102BA6"/>
    <w:rsid w:val="001046B0"/>
    <w:rsid w:val="00104BB5"/>
    <w:rsid w:val="001053A6"/>
    <w:rsid w:val="00106081"/>
    <w:rsid w:val="0010649F"/>
    <w:rsid w:val="0010683E"/>
    <w:rsid w:val="00107258"/>
    <w:rsid w:val="001077FA"/>
    <w:rsid w:val="00107F93"/>
    <w:rsid w:val="0011244D"/>
    <w:rsid w:val="00116D77"/>
    <w:rsid w:val="001179C1"/>
    <w:rsid w:val="00117C68"/>
    <w:rsid w:val="001202E6"/>
    <w:rsid w:val="00120CC7"/>
    <w:rsid w:val="00122FCA"/>
    <w:rsid w:val="00123862"/>
    <w:rsid w:val="00123B59"/>
    <w:rsid w:val="00124FB9"/>
    <w:rsid w:val="001260AA"/>
    <w:rsid w:val="001264C3"/>
    <w:rsid w:val="001269AE"/>
    <w:rsid w:val="00127D25"/>
    <w:rsid w:val="00131B05"/>
    <w:rsid w:val="00132AD1"/>
    <w:rsid w:val="00133033"/>
    <w:rsid w:val="0013308F"/>
    <w:rsid w:val="00133644"/>
    <w:rsid w:val="001342F2"/>
    <w:rsid w:val="0013522E"/>
    <w:rsid w:val="00135A23"/>
    <w:rsid w:val="00136DA4"/>
    <w:rsid w:val="001371FA"/>
    <w:rsid w:val="00141B03"/>
    <w:rsid w:val="00142979"/>
    <w:rsid w:val="00142ABD"/>
    <w:rsid w:val="00142EDB"/>
    <w:rsid w:val="00143814"/>
    <w:rsid w:val="001445AC"/>
    <w:rsid w:val="00144B67"/>
    <w:rsid w:val="00144BF2"/>
    <w:rsid w:val="0014585D"/>
    <w:rsid w:val="00145AD1"/>
    <w:rsid w:val="001462A0"/>
    <w:rsid w:val="001466F3"/>
    <w:rsid w:val="00146C11"/>
    <w:rsid w:val="00150706"/>
    <w:rsid w:val="00151260"/>
    <w:rsid w:val="001514CB"/>
    <w:rsid w:val="001528EE"/>
    <w:rsid w:val="00152B9C"/>
    <w:rsid w:val="00153077"/>
    <w:rsid w:val="001535F3"/>
    <w:rsid w:val="00153DF3"/>
    <w:rsid w:val="00154247"/>
    <w:rsid w:val="00154FA1"/>
    <w:rsid w:val="00156B18"/>
    <w:rsid w:val="00156F40"/>
    <w:rsid w:val="00157673"/>
    <w:rsid w:val="00157B70"/>
    <w:rsid w:val="00157EC4"/>
    <w:rsid w:val="00157EF5"/>
    <w:rsid w:val="001606A4"/>
    <w:rsid w:val="00160A10"/>
    <w:rsid w:val="00160C5B"/>
    <w:rsid w:val="0016116C"/>
    <w:rsid w:val="00161F90"/>
    <w:rsid w:val="001623A2"/>
    <w:rsid w:val="00162F68"/>
    <w:rsid w:val="00163645"/>
    <w:rsid w:val="00165FF0"/>
    <w:rsid w:val="00166023"/>
    <w:rsid w:val="00170EFE"/>
    <w:rsid w:val="00171F8E"/>
    <w:rsid w:val="0017216E"/>
    <w:rsid w:val="00172AEE"/>
    <w:rsid w:val="00175539"/>
    <w:rsid w:val="00175890"/>
    <w:rsid w:val="00176340"/>
    <w:rsid w:val="00176E98"/>
    <w:rsid w:val="00177307"/>
    <w:rsid w:val="00180811"/>
    <w:rsid w:val="0018154E"/>
    <w:rsid w:val="00181FCA"/>
    <w:rsid w:val="001820C4"/>
    <w:rsid w:val="001824F0"/>
    <w:rsid w:val="00182A94"/>
    <w:rsid w:val="00182D63"/>
    <w:rsid w:val="00183392"/>
    <w:rsid w:val="0018398A"/>
    <w:rsid w:val="00183D5F"/>
    <w:rsid w:val="00183EA5"/>
    <w:rsid w:val="00184502"/>
    <w:rsid w:val="001845D5"/>
    <w:rsid w:val="001850C5"/>
    <w:rsid w:val="0018526D"/>
    <w:rsid w:val="00185A12"/>
    <w:rsid w:val="00185D08"/>
    <w:rsid w:val="00186C81"/>
    <w:rsid w:val="00186DF9"/>
    <w:rsid w:val="00190983"/>
    <w:rsid w:val="0019151C"/>
    <w:rsid w:val="00191AA6"/>
    <w:rsid w:val="00191F79"/>
    <w:rsid w:val="0019213B"/>
    <w:rsid w:val="0019232E"/>
    <w:rsid w:val="0019239F"/>
    <w:rsid w:val="001924F6"/>
    <w:rsid w:val="00192CDB"/>
    <w:rsid w:val="00193F20"/>
    <w:rsid w:val="001941E4"/>
    <w:rsid w:val="00195CF2"/>
    <w:rsid w:val="001965AA"/>
    <w:rsid w:val="001968E4"/>
    <w:rsid w:val="001971AE"/>
    <w:rsid w:val="00197278"/>
    <w:rsid w:val="00197392"/>
    <w:rsid w:val="00197EC3"/>
    <w:rsid w:val="00197FB1"/>
    <w:rsid w:val="001A0601"/>
    <w:rsid w:val="001A0BB0"/>
    <w:rsid w:val="001A1837"/>
    <w:rsid w:val="001A1C51"/>
    <w:rsid w:val="001A236F"/>
    <w:rsid w:val="001A28BA"/>
    <w:rsid w:val="001A3051"/>
    <w:rsid w:val="001A3387"/>
    <w:rsid w:val="001A4589"/>
    <w:rsid w:val="001A5350"/>
    <w:rsid w:val="001A59AF"/>
    <w:rsid w:val="001A6777"/>
    <w:rsid w:val="001A718F"/>
    <w:rsid w:val="001B20E4"/>
    <w:rsid w:val="001B2FCD"/>
    <w:rsid w:val="001B3285"/>
    <w:rsid w:val="001B370A"/>
    <w:rsid w:val="001B3E1C"/>
    <w:rsid w:val="001B44DB"/>
    <w:rsid w:val="001B5EA6"/>
    <w:rsid w:val="001C0F05"/>
    <w:rsid w:val="001C110F"/>
    <w:rsid w:val="001C2EE5"/>
    <w:rsid w:val="001C4B35"/>
    <w:rsid w:val="001C4CCF"/>
    <w:rsid w:val="001C501A"/>
    <w:rsid w:val="001C6573"/>
    <w:rsid w:val="001C6BA6"/>
    <w:rsid w:val="001C726D"/>
    <w:rsid w:val="001C78CA"/>
    <w:rsid w:val="001D01FB"/>
    <w:rsid w:val="001D15E5"/>
    <w:rsid w:val="001D2381"/>
    <w:rsid w:val="001D2CE9"/>
    <w:rsid w:val="001D3E63"/>
    <w:rsid w:val="001D40DA"/>
    <w:rsid w:val="001D6081"/>
    <w:rsid w:val="001D6F2E"/>
    <w:rsid w:val="001D755A"/>
    <w:rsid w:val="001E0367"/>
    <w:rsid w:val="001E11E2"/>
    <w:rsid w:val="001E2B1A"/>
    <w:rsid w:val="001E3753"/>
    <w:rsid w:val="001E383E"/>
    <w:rsid w:val="001E4456"/>
    <w:rsid w:val="001E44C8"/>
    <w:rsid w:val="001E4E88"/>
    <w:rsid w:val="001E4FFF"/>
    <w:rsid w:val="001E5BEE"/>
    <w:rsid w:val="001E68EE"/>
    <w:rsid w:val="001E751C"/>
    <w:rsid w:val="001E77C4"/>
    <w:rsid w:val="001E7EA4"/>
    <w:rsid w:val="001F00B7"/>
    <w:rsid w:val="001F1092"/>
    <w:rsid w:val="001F2337"/>
    <w:rsid w:val="001F367C"/>
    <w:rsid w:val="001F4EB9"/>
    <w:rsid w:val="001F4FDB"/>
    <w:rsid w:val="001F540A"/>
    <w:rsid w:val="001F5D2F"/>
    <w:rsid w:val="001F5FA3"/>
    <w:rsid w:val="001F6F0C"/>
    <w:rsid w:val="001F74B9"/>
    <w:rsid w:val="002002AA"/>
    <w:rsid w:val="002019D1"/>
    <w:rsid w:val="00201E8F"/>
    <w:rsid w:val="002023B3"/>
    <w:rsid w:val="00203052"/>
    <w:rsid w:val="00204779"/>
    <w:rsid w:val="00204799"/>
    <w:rsid w:val="00204EBE"/>
    <w:rsid w:val="002051EA"/>
    <w:rsid w:val="002060C2"/>
    <w:rsid w:val="00207674"/>
    <w:rsid w:val="002076D5"/>
    <w:rsid w:val="002111F3"/>
    <w:rsid w:val="002117F4"/>
    <w:rsid w:val="002118E8"/>
    <w:rsid w:val="00212116"/>
    <w:rsid w:val="00212798"/>
    <w:rsid w:val="00213180"/>
    <w:rsid w:val="002136EF"/>
    <w:rsid w:val="00213D58"/>
    <w:rsid w:val="00213EB4"/>
    <w:rsid w:val="002142CA"/>
    <w:rsid w:val="0021481A"/>
    <w:rsid w:val="00214D1A"/>
    <w:rsid w:val="00214EEA"/>
    <w:rsid w:val="00215254"/>
    <w:rsid w:val="00215ADA"/>
    <w:rsid w:val="00216326"/>
    <w:rsid w:val="00216AAD"/>
    <w:rsid w:val="00216C9A"/>
    <w:rsid w:val="00217096"/>
    <w:rsid w:val="00217C7A"/>
    <w:rsid w:val="0022027B"/>
    <w:rsid w:val="00220699"/>
    <w:rsid w:val="00220CF8"/>
    <w:rsid w:val="00220D8D"/>
    <w:rsid w:val="0022151A"/>
    <w:rsid w:val="002215FD"/>
    <w:rsid w:val="002216C7"/>
    <w:rsid w:val="00221E48"/>
    <w:rsid w:val="00222228"/>
    <w:rsid w:val="00223892"/>
    <w:rsid w:val="00223F09"/>
    <w:rsid w:val="002245C8"/>
    <w:rsid w:val="0022465E"/>
    <w:rsid w:val="00225168"/>
    <w:rsid w:val="00230016"/>
    <w:rsid w:val="0023041D"/>
    <w:rsid w:val="00231385"/>
    <w:rsid w:val="002316E9"/>
    <w:rsid w:val="002326C1"/>
    <w:rsid w:val="00232A8A"/>
    <w:rsid w:val="00233032"/>
    <w:rsid w:val="00233D50"/>
    <w:rsid w:val="00240C3D"/>
    <w:rsid w:val="00240D9B"/>
    <w:rsid w:val="00243641"/>
    <w:rsid w:val="00244642"/>
    <w:rsid w:val="00244D15"/>
    <w:rsid w:val="00244E1B"/>
    <w:rsid w:val="00245474"/>
    <w:rsid w:val="002462FC"/>
    <w:rsid w:val="00246417"/>
    <w:rsid w:val="0024752F"/>
    <w:rsid w:val="00247C3E"/>
    <w:rsid w:val="002500E6"/>
    <w:rsid w:val="00250302"/>
    <w:rsid w:val="002503BA"/>
    <w:rsid w:val="00251005"/>
    <w:rsid w:val="0025173F"/>
    <w:rsid w:val="002529E3"/>
    <w:rsid w:val="00252E78"/>
    <w:rsid w:val="002545AB"/>
    <w:rsid w:val="00254667"/>
    <w:rsid w:val="0025469B"/>
    <w:rsid w:val="00255101"/>
    <w:rsid w:val="002553EF"/>
    <w:rsid w:val="0025556C"/>
    <w:rsid w:val="002555A1"/>
    <w:rsid w:val="002557F9"/>
    <w:rsid w:val="002559EF"/>
    <w:rsid w:val="0025637F"/>
    <w:rsid w:val="002567D3"/>
    <w:rsid w:val="00257669"/>
    <w:rsid w:val="00257837"/>
    <w:rsid w:val="002605A7"/>
    <w:rsid w:val="00261653"/>
    <w:rsid w:val="00262391"/>
    <w:rsid w:val="0026368D"/>
    <w:rsid w:val="00263A27"/>
    <w:rsid w:val="0026424C"/>
    <w:rsid w:val="00266AF5"/>
    <w:rsid w:val="00266D04"/>
    <w:rsid w:val="00267867"/>
    <w:rsid w:val="0027076E"/>
    <w:rsid w:val="002715E5"/>
    <w:rsid w:val="00271642"/>
    <w:rsid w:val="00271AF4"/>
    <w:rsid w:val="00272747"/>
    <w:rsid w:val="00272812"/>
    <w:rsid w:val="00273AF1"/>
    <w:rsid w:val="00273EB1"/>
    <w:rsid w:val="002742C4"/>
    <w:rsid w:val="0027478C"/>
    <w:rsid w:val="002747FE"/>
    <w:rsid w:val="002749F4"/>
    <w:rsid w:val="00280569"/>
    <w:rsid w:val="0028159B"/>
    <w:rsid w:val="00283343"/>
    <w:rsid w:val="00283475"/>
    <w:rsid w:val="002841B8"/>
    <w:rsid w:val="002843A3"/>
    <w:rsid w:val="00284488"/>
    <w:rsid w:val="00285044"/>
    <w:rsid w:val="00285594"/>
    <w:rsid w:val="00285654"/>
    <w:rsid w:val="00285BC7"/>
    <w:rsid w:val="0028636E"/>
    <w:rsid w:val="00286740"/>
    <w:rsid w:val="00286AC4"/>
    <w:rsid w:val="00287F6C"/>
    <w:rsid w:val="00290876"/>
    <w:rsid w:val="00290EE6"/>
    <w:rsid w:val="00292884"/>
    <w:rsid w:val="00292971"/>
    <w:rsid w:val="00292EC1"/>
    <w:rsid w:val="00293051"/>
    <w:rsid w:val="0029338A"/>
    <w:rsid w:val="00293D1E"/>
    <w:rsid w:val="00294B02"/>
    <w:rsid w:val="00294D83"/>
    <w:rsid w:val="0029593D"/>
    <w:rsid w:val="00295C97"/>
    <w:rsid w:val="002961BB"/>
    <w:rsid w:val="002968B1"/>
    <w:rsid w:val="002968FE"/>
    <w:rsid w:val="00296F46"/>
    <w:rsid w:val="0029717D"/>
    <w:rsid w:val="00297C07"/>
    <w:rsid w:val="002A1277"/>
    <w:rsid w:val="002A29F2"/>
    <w:rsid w:val="002A3C2E"/>
    <w:rsid w:val="002A50A9"/>
    <w:rsid w:val="002A5F57"/>
    <w:rsid w:val="002A6CBF"/>
    <w:rsid w:val="002A748F"/>
    <w:rsid w:val="002B02E8"/>
    <w:rsid w:val="002B1377"/>
    <w:rsid w:val="002B14CD"/>
    <w:rsid w:val="002B2304"/>
    <w:rsid w:val="002B25DE"/>
    <w:rsid w:val="002B2668"/>
    <w:rsid w:val="002B2B8E"/>
    <w:rsid w:val="002B2EF8"/>
    <w:rsid w:val="002B3E0D"/>
    <w:rsid w:val="002B3E89"/>
    <w:rsid w:val="002B484C"/>
    <w:rsid w:val="002B5D34"/>
    <w:rsid w:val="002B695A"/>
    <w:rsid w:val="002B7904"/>
    <w:rsid w:val="002B79DA"/>
    <w:rsid w:val="002B7F97"/>
    <w:rsid w:val="002C0110"/>
    <w:rsid w:val="002C096A"/>
    <w:rsid w:val="002C12D6"/>
    <w:rsid w:val="002C18B7"/>
    <w:rsid w:val="002C1B26"/>
    <w:rsid w:val="002C23BF"/>
    <w:rsid w:val="002C24D7"/>
    <w:rsid w:val="002C286D"/>
    <w:rsid w:val="002C2CAC"/>
    <w:rsid w:val="002C2F4E"/>
    <w:rsid w:val="002C33B7"/>
    <w:rsid w:val="002C418B"/>
    <w:rsid w:val="002C468E"/>
    <w:rsid w:val="002C4D33"/>
    <w:rsid w:val="002C6996"/>
    <w:rsid w:val="002C69F6"/>
    <w:rsid w:val="002C6C5B"/>
    <w:rsid w:val="002C7537"/>
    <w:rsid w:val="002D00C7"/>
    <w:rsid w:val="002D0399"/>
    <w:rsid w:val="002D0882"/>
    <w:rsid w:val="002D1067"/>
    <w:rsid w:val="002D11C6"/>
    <w:rsid w:val="002D1252"/>
    <w:rsid w:val="002D17E3"/>
    <w:rsid w:val="002D2B07"/>
    <w:rsid w:val="002D2DC4"/>
    <w:rsid w:val="002D2FA5"/>
    <w:rsid w:val="002D3AE3"/>
    <w:rsid w:val="002D3F6E"/>
    <w:rsid w:val="002D516B"/>
    <w:rsid w:val="002D527A"/>
    <w:rsid w:val="002D5811"/>
    <w:rsid w:val="002D6978"/>
    <w:rsid w:val="002D6A0C"/>
    <w:rsid w:val="002D6A9D"/>
    <w:rsid w:val="002D72DE"/>
    <w:rsid w:val="002D7651"/>
    <w:rsid w:val="002D7BAD"/>
    <w:rsid w:val="002E029F"/>
    <w:rsid w:val="002E130D"/>
    <w:rsid w:val="002E1ADD"/>
    <w:rsid w:val="002E1EDB"/>
    <w:rsid w:val="002E2255"/>
    <w:rsid w:val="002E4150"/>
    <w:rsid w:val="002E43D0"/>
    <w:rsid w:val="002E49A6"/>
    <w:rsid w:val="002E7F57"/>
    <w:rsid w:val="002F013B"/>
    <w:rsid w:val="002F0511"/>
    <w:rsid w:val="002F094A"/>
    <w:rsid w:val="002F209C"/>
    <w:rsid w:val="002F2AA4"/>
    <w:rsid w:val="002F37A8"/>
    <w:rsid w:val="002F3E25"/>
    <w:rsid w:val="002F4E32"/>
    <w:rsid w:val="002F5021"/>
    <w:rsid w:val="002F50A5"/>
    <w:rsid w:val="002F5497"/>
    <w:rsid w:val="002F56B6"/>
    <w:rsid w:val="002F6391"/>
    <w:rsid w:val="002F68BA"/>
    <w:rsid w:val="002F6AC3"/>
    <w:rsid w:val="002F781A"/>
    <w:rsid w:val="002F7EAC"/>
    <w:rsid w:val="00300566"/>
    <w:rsid w:val="003006DA"/>
    <w:rsid w:val="00300DE1"/>
    <w:rsid w:val="00300E8B"/>
    <w:rsid w:val="0030108C"/>
    <w:rsid w:val="003015BA"/>
    <w:rsid w:val="00301E6A"/>
    <w:rsid w:val="00302CD2"/>
    <w:rsid w:val="00303208"/>
    <w:rsid w:val="00303427"/>
    <w:rsid w:val="0030350B"/>
    <w:rsid w:val="00303543"/>
    <w:rsid w:val="00303716"/>
    <w:rsid w:val="00304129"/>
    <w:rsid w:val="00304DDA"/>
    <w:rsid w:val="00305F56"/>
    <w:rsid w:val="00307BFD"/>
    <w:rsid w:val="00307E09"/>
    <w:rsid w:val="00307E4B"/>
    <w:rsid w:val="00307F21"/>
    <w:rsid w:val="003114FA"/>
    <w:rsid w:val="00312B38"/>
    <w:rsid w:val="00313907"/>
    <w:rsid w:val="00313A44"/>
    <w:rsid w:val="00314D1E"/>
    <w:rsid w:val="00315241"/>
    <w:rsid w:val="0031729F"/>
    <w:rsid w:val="00320B2A"/>
    <w:rsid w:val="00320F20"/>
    <w:rsid w:val="00321743"/>
    <w:rsid w:val="00322FA8"/>
    <w:rsid w:val="00325472"/>
    <w:rsid w:val="00325769"/>
    <w:rsid w:val="00325AC3"/>
    <w:rsid w:val="00326155"/>
    <w:rsid w:val="003308A9"/>
    <w:rsid w:val="0033105F"/>
    <w:rsid w:val="003310A7"/>
    <w:rsid w:val="003311C5"/>
    <w:rsid w:val="00331492"/>
    <w:rsid w:val="00332972"/>
    <w:rsid w:val="0033309B"/>
    <w:rsid w:val="00333789"/>
    <w:rsid w:val="00333B5E"/>
    <w:rsid w:val="0033470F"/>
    <w:rsid w:val="00334766"/>
    <w:rsid w:val="00334E1E"/>
    <w:rsid w:val="00335348"/>
    <w:rsid w:val="00335F25"/>
    <w:rsid w:val="00336631"/>
    <w:rsid w:val="003368A9"/>
    <w:rsid w:val="00337793"/>
    <w:rsid w:val="00337863"/>
    <w:rsid w:val="00337CA7"/>
    <w:rsid w:val="003418A7"/>
    <w:rsid w:val="00342205"/>
    <w:rsid w:val="003423EB"/>
    <w:rsid w:val="003429F1"/>
    <w:rsid w:val="00342B71"/>
    <w:rsid w:val="00342EDD"/>
    <w:rsid w:val="0034309B"/>
    <w:rsid w:val="00343737"/>
    <w:rsid w:val="00344353"/>
    <w:rsid w:val="00344B38"/>
    <w:rsid w:val="003459AC"/>
    <w:rsid w:val="003464BD"/>
    <w:rsid w:val="00346E32"/>
    <w:rsid w:val="0034755B"/>
    <w:rsid w:val="00351513"/>
    <w:rsid w:val="00351BD9"/>
    <w:rsid w:val="00352F76"/>
    <w:rsid w:val="003533A4"/>
    <w:rsid w:val="0035368F"/>
    <w:rsid w:val="00354E8D"/>
    <w:rsid w:val="0035525B"/>
    <w:rsid w:val="003554A7"/>
    <w:rsid w:val="00355C2D"/>
    <w:rsid w:val="00356CE8"/>
    <w:rsid w:val="00357974"/>
    <w:rsid w:val="003579F2"/>
    <w:rsid w:val="00360058"/>
    <w:rsid w:val="00360470"/>
    <w:rsid w:val="00360BE6"/>
    <w:rsid w:val="00361524"/>
    <w:rsid w:val="00361EAF"/>
    <w:rsid w:val="00361FC7"/>
    <w:rsid w:val="00362463"/>
    <w:rsid w:val="0036257D"/>
    <w:rsid w:val="00363014"/>
    <w:rsid w:val="0036316C"/>
    <w:rsid w:val="00363315"/>
    <w:rsid w:val="0036333F"/>
    <w:rsid w:val="003636BA"/>
    <w:rsid w:val="00363C1A"/>
    <w:rsid w:val="00363E99"/>
    <w:rsid w:val="00365690"/>
    <w:rsid w:val="0036577B"/>
    <w:rsid w:val="00365959"/>
    <w:rsid w:val="003674D9"/>
    <w:rsid w:val="00367850"/>
    <w:rsid w:val="0037017F"/>
    <w:rsid w:val="00370377"/>
    <w:rsid w:val="00371384"/>
    <w:rsid w:val="00371EEF"/>
    <w:rsid w:val="00372965"/>
    <w:rsid w:val="00372C6F"/>
    <w:rsid w:val="00373E32"/>
    <w:rsid w:val="003748CB"/>
    <w:rsid w:val="00375C31"/>
    <w:rsid w:val="00376467"/>
    <w:rsid w:val="00380F3E"/>
    <w:rsid w:val="00380F49"/>
    <w:rsid w:val="003810AB"/>
    <w:rsid w:val="00381745"/>
    <w:rsid w:val="0038363F"/>
    <w:rsid w:val="00383E33"/>
    <w:rsid w:val="003849E0"/>
    <w:rsid w:val="003854E9"/>
    <w:rsid w:val="0038577D"/>
    <w:rsid w:val="00385C8A"/>
    <w:rsid w:val="0038746F"/>
    <w:rsid w:val="00390575"/>
    <w:rsid w:val="003906CD"/>
    <w:rsid w:val="00391125"/>
    <w:rsid w:val="0039296F"/>
    <w:rsid w:val="003930B5"/>
    <w:rsid w:val="0039334A"/>
    <w:rsid w:val="00393468"/>
    <w:rsid w:val="00393585"/>
    <w:rsid w:val="003935B9"/>
    <w:rsid w:val="00395CCF"/>
    <w:rsid w:val="003967B0"/>
    <w:rsid w:val="00396958"/>
    <w:rsid w:val="00396E17"/>
    <w:rsid w:val="003A06C5"/>
    <w:rsid w:val="003A0A29"/>
    <w:rsid w:val="003A1AF7"/>
    <w:rsid w:val="003A221F"/>
    <w:rsid w:val="003A295A"/>
    <w:rsid w:val="003A3159"/>
    <w:rsid w:val="003A39C7"/>
    <w:rsid w:val="003A3AC4"/>
    <w:rsid w:val="003A3D0E"/>
    <w:rsid w:val="003A3D9A"/>
    <w:rsid w:val="003A409D"/>
    <w:rsid w:val="003A4129"/>
    <w:rsid w:val="003A4AAF"/>
    <w:rsid w:val="003A54BC"/>
    <w:rsid w:val="003B01E4"/>
    <w:rsid w:val="003B088E"/>
    <w:rsid w:val="003B1F25"/>
    <w:rsid w:val="003B2E07"/>
    <w:rsid w:val="003B3BDF"/>
    <w:rsid w:val="003B4787"/>
    <w:rsid w:val="003B4F0C"/>
    <w:rsid w:val="003B50BA"/>
    <w:rsid w:val="003B5452"/>
    <w:rsid w:val="003B5717"/>
    <w:rsid w:val="003B5B2E"/>
    <w:rsid w:val="003B5CAF"/>
    <w:rsid w:val="003B6534"/>
    <w:rsid w:val="003B6D41"/>
    <w:rsid w:val="003C0E58"/>
    <w:rsid w:val="003C14B1"/>
    <w:rsid w:val="003C1591"/>
    <w:rsid w:val="003C199E"/>
    <w:rsid w:val="003C2280"/>
    <w:rsid w:val="003C2AA7"/>
    <w:rsid w:val="003C2F47"/>
    <w:rsid w:val="003C44D1"/>
    <w:rsid w:val="003C4F06"/>
    <w:rsid w:val="003C5A14"/>
    <w:rsid w:val="003C5DE7"/>
    <w:rsid w:val="003C6080"/>
    <w:rsid w:val="003C6592"/>
    <w:rsid w:val="003C667C"/>
    <w:rsid w:val="003D067C"/>
    <w:rsid w:val="003D0906"/>
    <w:rsid w:val="003D15ED"/>
    <w:rsid w:val="003D2A35"/>
    <w:rsid w:val="003D35FA"/>
    <w:rsid w:val="003D39EF"/>
    <w:rsid w:val="003D41BA"/>
    <w:rsid w:val="003D41C7"/>
    <w:rsid w:val="003D4CC1"/>
    <w:rsid w:val="003D6474"/>
    <w:rsid w:val="003D664F"/>
    <w:rsid w:val="003D71D5"/>
    <w:rsid w:val="003E1122"/>
    <w:rsid w:val="003E1604"/>
    <w:rsid w:val="003E1766"/>
    <w:rsid w:val="003E18F5"/>
    <w:rsid w:val="003E1A61"/>
    <w:rsid w:val="003E279B"/>
    <w:rsid w:val="003E2AB7"/>
    <w:rsid w:val="003E2F36"/>
    <w:rsid w:val="003E37A0"/>
    <w:rsid w:val="003E393E"/>
    <w:rsid w:val="003E507E"/>
    <w:rsid w:val="003E5394"/>
    <w:rsid w:val="003E678B"/>
    <w:rsid w:val="003E6D93"/>
    <w:rsid w:val="003E76C6"/>
    <w:rsid w:val="003F0186"/>
    <w:rsid w:val="003F038A"/>
    <w:rsid w:val="003F0555"/>
    <w:rsid w:val="003F09E9"/>
    <w:rsid w:val="003F0D0F"/>
    <w:rsid w:val="003F11D8"/>
    <w:rsid w:val="003F1222"/>
    <w:rsid w:val="003F1AAC"/>
    <w:rsid w:val="003F1C6D"/>
    <w:rsid w:val="003F1D12"/>
    <w:rsid w:val="003F1E3F"/>
    <w:rsid w:val="003F1ECD"/>
    <w:rsid w:val="003F3195"/>
    <w:rsid w:val="003F32A8"/>
    <w:rsid w:val="003F3673"/>
    <w:rsid w:val="003F47AB"/>
    <w:rsid w:val="003F4B6C"/>
    <w:rsid w:val="003F5A39"/>
    <w:rsid w:val="003F6039"/>
    <w:rsid w:val="003F67D7"/>
    <w:rsid w:val="00400758"/>
    <w:rsid w:val="00401B6E"/>
    <w:rsid w:val="00404123"/>
    <w:rsid w:val="00404B91"/>
    <w:rsid w:val="00404BB2"/>
    <w:rsid w:val="0040541F"/>
    <w:rsid w:val="00405424"/>
    <w:rsid w:val="00405C8A"/>
    <w:rsid w:val="00406889"/>
    <w:rsid w:val="004072DC"/>
    <w:rsid w:val="00411C1D"/>
    <w:rsid w:val="0041242B"/>
    <w:rsid w:val="00412C22"/>
    <w:rsid w:val="00412DB7"/>
    <w:rsid w:val="0041307A"/>
    <w:rsid w:val="00413397"/>
    <w:rsid w:val="00413D02"/>
    <w:rsid w:val="00413DF7"/>
    <w:rsid w:val="004141EF"/>
    <w:rsid w:val="004150A8"/>
    <w:rsid w:val="00420473"/>
    <w:rsid w:val="00420694"/>
    <w:rsid w:val="0042081E"/>
    <w:rsid w:val="00420E0C"/>
    <w:rsid w:val="00421989"/>
    <w:rsid w:val="00421C02"/>
    <w:rsid w:val="00422163"/>
    <w:rsid w:val="0042331A"/>
    <w:rsid w:val="00423479"/>
    <w:rsid w:val="00424B49"/>
    <w:rsid w:val="00424BC0"/>
    <w:rsid w:val="00424CD9"/>
    <w:rsid w:val="00424EE9"/>
    <w:rsid w:val="004267BD"/>
    <w:rsid w:val="00426D00"/>
    <w:rsid w:val="00427071"/>
    <w:rsid w:val="0043000A"/>
    <w:rsid w:val="0043033C"/>
    <w:rsid w:val="00430A35"/>
    <w:rsid w:val="004318F3"/>
    <w:rsid w:val="00432C14"/>
    <w:rsid w:val="00432D80"/>
    <w:rsid w:val="00432EC8"/>
    <w:rsid w:val="00433ACC"/>
    <w:rsid w:val="004341E9"/>
    <w:rsid w:val="00434323"/>
    <w:rsid w:val="00434720"/>
    <w:rsid w:val="00434C76"/>
    <w:rsid w:val="00434CA4"/>
    <w:rsid w:val="00436D44"/>
    <w:rsid w:val="004379FE"/>
    <w:rsid w:val="00440C48"/>
    <w:rsid w:val="00440E3B"/>
    <w:rsid w:val="0044111B"/>
    <w:rsid w:val="00441F13"/>
    <w:rsid w:val="00441FF4"/>
    <w:rsid w:val="004437DC"/>
    <w:rsid w:val="004443AB"/>
    <w:rsid w:val="00444624"/>
    <w:rsid w:val="0044486A"/>
    <w:rsid w:val="004448DB"/>
    <w:rsid w:val="00445D17"/>
    <w:rsid w:val="00445F93"/>
    <w:rsid w:val="0044645D"/>
    <w:rsid w:val="004473E1"/>
    <w:rsid w:val="00447435"/>
    <w:rsid w:val="00447467"/>
    <w:rsid w:val="00447BE4"/>
    <w:rsid w:val="00447CC7"/>
    <w:rsid w:val="0045342A"/>
    <w:rsid w:val="004539F3"/>
    <w:rsid w:val="00453E52"/>
    <w:rsid w:val="00454F37"/>
    <w:rsid w:val="0045536D"/>
    <w:rsid w:val="0045563A"/>
    <w:rsid w:val="00455C0B"/>
    <w:rsid w:val="00460A2F"/>
    <w:rsid w:val="00460DFC"/>
    <w:rsid w:val="00462344"/>
    <w:rsid w:val="00462792"/>
    <w:rsid w:val="00462EC3"/>
    <w:rsid w:val="00463713"/>
    <w:rsid w:val="00464A54"/>
    <w:rsid w:val="00466917"/>
    <w:rsid w:val="00466A68"/>
    <w:rsid w:val="00467A07"/>
    <w:rsid w:val="00467DDF"/>
    <w:rsid w:val="00467E6F"/>
    <w:rsid w:val="0047087C"/>
    <w:rsid w:val="004709CF"/>
    <w:rsid w:val="00470D72"/>
    <w:rsid w:val="004712BA"/>
    <w:rsid w:val="004715DB"/>
    <w:rsid w:val="004717FC"/>
    <w:rsid w:val="0047319E"/>
    <w:rsid w:val="0047343D"/>
    <w:rsid w:val="004737AB"/>
    <w:rsid w:val="004756A4"/>
    <w:rsid w:val="004757DD"/>
    <w:rsid w:val="00475DE8"/>
    <w:rsid w:val="004765C1"/>
    <w:rsid w:val="00476839"/>
    <w:rsid w:val="00480836"/>
    <w:rsid w:val="0048093C"/>
    <w:rsid w:val="00480C6C"/>
    <w:rsid w:val="00483EBC"/>
    <w:rsid w:val="004842F9"/>
    <w:rsid w:val="0048633C"/>
    <w:rsid w:val="00487663"/>
    <w:rsid w:val="004877CE"/>
    <w:rsid w:val="00487AA1"/>
    <w:rsid w:val="0049089F"/>
    <w:rsid w:val="0049099D"/>
    <w:rsid w:val="00490E4A"/>
    <w:rsid w:val="004913DD"/>
    <w:rsid w:val="00491AF2"/>
    <w:rsid w:val="00491FB0"/>
    <w:rsid w:val="00492077"/>
    <w:rsid w:val="004920BE"/>
    <w:rsid w:val="004923E3"/>
    <w:rsid w:val="004930C9"/>
    <w:rsid w:val="00495607"/>
    <w:rsid w:val="00495774"/>
    <w:rsid w:val="00495F75"/>
    <w:rsid w:val="00496151"/>
    <w:rsid w:val="004969CB"/>
    <w:rsid w:val="00496CB2"/>
    <w:rsid w:val="00497689"/>
    <w:rsid w:val="00497B8B"/>
    <w:rsid w:val="004A0111"/>
    <w:rsid w:val="004A0A58"/>
    <w:rsid w:val="004A0FBA"/>
    <w:rsid w:val="004A1B28"/>
    <w:rsid w:val="004A2BF9"/>
    <w:rsid w:val="004A2C3A"/>
    <w:rsid w:val="004A39B3"/>
    <w:rsid w:val="004A3A16"/>
    <w:rsid w:val="004A73AA"/>
    <w:rsid w:val="004B014F"/>
    <w:rsid w:val="004B0A99"/>
    <w:rsid w:val="004B14D9"/>
    <w:rsid w:val="004B2450"/>
    <w:rsid w:val="004B32FC"/>
    <w:rsid w:val="004B4071"/>
    <w:rsid w:val="004B41D3"/>
    <w:rsid w:val="004B4228"/>
    <w:rsid w:val="004B4A3D"/>
    <w:rsid w:val="004B5ADF"/>
    <w:rsid w:val="004B5DC2"/>
    <w:rsid w:val="004B66C4"/>
    <w:rsid w:val="004B67FA"/>
    <w:rsid w:val="004B702C"/>
    <w:rsid w:val="004B7411"/>
    <w:rsid w:val="004B74DA"/>
    <w:rsid w:val="004C009E"/>
    <w:rsid w:val="004C2707"/>
    <w:rsid w:val="004C43B3"/>
    <w:rsid w:val="004C458A"/>
    <w:rsid w:val="004C4C7A"/>
    <w:rsid w:val="004C4F65"/>
    <w:rsid w:val="004C5F4E"/>
    <w:rsid w:val="004C60F8"/>
    <w:rsid w:val="004C665A"/>
    <w:rsid w:val="004C6BE5"/>
    <w:rsid w:val="004C6EDF"/>
    <w:rsid w:val="004C6F08"/>
    <w:rsid w:val="004C75F6"/>
    <w:rsid w:val="004D0314"/>
    <w:rsid w:val="004D0661"/>
    <w:rsid w:val="004D0892"/>
    <w:rsid w:val="004D311F"/>
    <w:rsid w:val="004D4B5F"/>
    <w:rsid w:val="004D4EF0"/>
    <w:rsid w:val="004D54BD"/>
    <w:rsid w:val="004D6524"/>
    <w:rsid w:val="004D6BD9"/>
    <w:rsid w:val="004E0134"/>
    <w:rsid w:val="004E09DC"/>
    <w:rsid w:val="004E1731"/>
    <w:rsid w:val="004E20A2"/>
    <w:rsid w:val="004E2A05"/>
    <w:rsid w:val="004E31BA"/>
    <w:rsid w:val="004E3966"/>
    <w:rsid w:val="004E3D62"/>
    <w:rsid w:val="004E43D2"/>
    <w:rsid w:val="004E45A3"/>
    <w:rsid w:val="004E46DA"/>
    <w:rsid w:val="004E59B2"/>
    <w:rsid w:val="004E5E56"/>
    <w:rsid w:val="004E604F"/>
    <w:rsid w:val="004E73E8"/>
    <w:rsid w:val="004E74EC"/>
    <w:rsid w:val="004E7BF8"/>
    <w:rsid w:val="004F141F"/>
    <w:rsid w:val="004F24FB"/>
    <w:rsid w:val="004F2F68"/>
    <w:rsid w:val="004F5B6B"/>
    <w:rsid w:val="004F5B94"/>
    <w:rsid w:val="004F63B9"/>
    <w:rsid w:val="004F709F"/>
    <w:rsid w:val="004F767C"/>
    <w:rsid w:val="005001BC"/>
    <w:rsid w:val="00500DD6"/>
    <w:rsid w:val="00501C83"/>
    <w:rsid w:val="0050271A"/>
    <w:rsid w:val="00502E71"/>
    <w:rsid w:val="00503A88"/>
    <w:rsid w:val="00504C80"/>
    <w:rsid w:val="005061E5"/>
    <w:rsid w:val="00506F08"/>
    <w:rsid w:val="005104CF"/>
    <w:rsid w:val="00510E7E"/>
    <w:rsid w:val="00511EE9"/>
    <w:rsid w:val="00513759"/>
    <w:rsid w:val="00514262"/>
    <w:rsid w:val="00514327"/>
    <w:rsid w:val="005159CD"/>
    <w:rsid w:val="005160E2"/>
    <w:rsid w:val="00516CBD"/>
    <w:rsid w:val="00516EB9"/>
    <w:rsid w:val="0051752A"/>
    <w:rsid w:val="00517FBF"/>
    <w:rsid w:val="00521371"/>
    <w:rsid w:val="00521617"/>
    <w:rsid w:val="00522945"/>
    <w:rsid w:val="00523FAF"/>
    <w:rsid w:val="00524146"/>
    <w:rsid w:val="00524EA5"/>
    <w:rsid w:val="00525B7E"/>
    <w:rsid w:val="00525D95"/>
    <w:rsid w:val="005260E6"/>
    <w:rsid w:val="0052633F"/>
    <w:rsid w:val="00526DB4"/>
    <w:rsid w:val="00527901"/>
    <w:rsid w:val="00527EDB"/>
    <w:rsid w:val="00530B61"/>
    <w:rsid w:val="00530FDE"/>
    <w:rsid w:val="00531CF0"/>
    <w:rsid w:val="00531E6A"/>
    <w:rsid w:val="0053288C"/>
    <w:rsid w:val="00532B67"/>
    <w:rsid w:val="00532B8D"/>
    <w:rsid w:val="00532E70"/>
    <w:rsid w:val="005342A1"/>
    <w:rsid w:val="0053580A"/>
    <w:rsid w:val="0053590B"/>
    <w:rsid w:val="00535D0B"/>
    <w:rsid w:val="00536119"/>
    <w:rsid w:val="0053646A"/>
    <w:rsid w:val="0053674A"/>
    <w:rsid w:val="00536EB8"/>
    <w:rsid w:val="0053709A"/>
    <w:rsid w:val="00537407"/>
    <w:rsid w:val="00540B24"/>
    <w:rsid w:val="005415DB"/>
    <w:rsid w:val="005418E2"/>
    <w:rsid w:val="00541A87"/>
    <w:rsid w:val="00541CC7"/>
    <w:rsid w:val="00541D3C"/>
    <w:rsid w:val="00542445"/>
    <w:rsid w:val="00543B10"/>
    <w:rsid w:val="00545235"/>
    <w:rsid w:val="005452F5"/>
    <w:rsid w:val="005466DD"/>
    <w:rsid w:val="00546765"/>
    <w:rsid w:val="00546871"/>
    <w:rsid w:val="00547879"/>
    <w:rsid w:val="005479F1"/>
    <w:rsid w:val="00547B59"/>
    <w:rsid w:val="00547E58"/>
    <w:rsid w:val="00550288"/>
    <w:rsid w:val="005517D2"/>
    <w:rsid w:val="00551840"/>
    <w:rsid w:val="005523C9"/>
    <w:rsid w:val="00552767"/>
    <w:rsid w:val="005529F1"/>
    <w:rsid w:val="00552DD1"/>
    <w:rsid w:val="00553279"/>
    <w:rsid w:val="0055332C"/>
    <w:rsid w:val="005536CF"/>
    <w:rsid w:val="0055394B"/>
    <w:rsid w:val="00553FA6"/>
    <w:rsid w:val="0055409C"/>
    <w:rsid w:val="0055413D"/>
    <w:rsid w:val="005544B3"/>
    <w:rsid w:val="00554E40"/>
    <w:rsid w:val="00554F97"/>
    <w:rsid w:val="005554C2"/>
    <w:rsid w:val="00555ED2"/>
    <w:rsid w:val="00556C0A"/>
    <w:rsid w:val="0055775F"/>
    <w:rsid w:val="00562AE4"/>
    <w:rsid w:val="00564B27"/>
    <w:rsid w:val="00564C9B"/>
    <w:rsid w:val="00564DE4"/>
    <w:rsid w:val="00564FA7"/>
    <w:rsid w:val="00565386"/>
    <w:rsid w:val="00565A20"/>
    <w:rsid w:val="0056691D"/>
    <w:rsid w:val="005679D6"/>
    <w:rsid w:val="00567D22"/>
    <w:rsid w:val="00567FC1"/>
    <w:rsid w:val="00570A13"/>
    <w:rsid w:val="005710C0"/>
    <w:rsid w:val="00572297"/>
    <w:rsid w:val="00572482"/>
    <w:rsid w:val="00572C96"/>
    <w:rsid w:val="005730AB"/>
    <w:rsid w:val="005730C8"/>
    <w:rsid w:val="00573774"/>
    <w:rsid w:val="00573EAB"/>
    <w:rsid w:val="005748E5"/>
    <w:rsid w:val="0057515A"/>
    <w:rsid w:val="00575BC1"/>
    <w:rsid w:val="00576B32"/>
    <w:rsid w:val="0058007A"/>
    <w:rsid w:val="00582E34"/>
    <w:rsid w:val="005830F2"/>
    <w:rsid w:val="005843CD"/>
    <w:rsid w:val="00585ABE"/>
    <w:rsid w:val="00585DEE"/>
    <w:rsid w:val="00586239"/>
    <w:rsid w:val="0058649D"/>
    <w:rsid w:val="005868D0"/>
    <w:rsid w:val="005875DB"/>
    <w:rsid w:val="00587993"/>
    <w:rsid w:val="00587B01"/>
    <w:rsid w:val="0059095A"/>
    <w:rsid w:val="00590BA5"/>
    <w:rsid w:val="00590F0B"/>
    <w:rsid w:val="005914A0"/>
    <w:rsid w:val="00591C47"/>
    <w:rsid w:val="005923EC"/>
    <w:rsid w:val="005928C5"/>
    <w:rsid w:val="00593297"/>
    <w:rsid w:val="0059381A"/>
    <w:rsid w:val="00594879"/>
    <w:rsid w:val="00595AB2"/>
    <w:rsid w:val="00596854"/>
    <w:rsid w:val="00597A30"/>
    <w:rsid w:val="00597A74"/>
    <w:rsid w:val="00597E5D"/>
    <w:rsid w:val="00597FA3"/>
    <w:rsid w:val="005A0129"/>
    <w:rsid w:val="005A04B3"/>
    <w:rsid w:val="005A0EFB"/>
    <w:rsid w:val="005A1885"/>
    <w:rsid w:val="005A21BC"/>
    <w:rsid w:val="005A2571"/>
    <w:rsid w:val="005A3963"/>
    <w:rsid w:val="005A4CCA"/>
    <w:rsid w:val="005A5C9B"/>
    <w:rsid w:val="005A6AE8"/>
    <w:rsid w:val="005A7007"/>
    <w:rsid w:val="005A72D7"/>
    <w:rsid w:val="005A73B5"/>
    <w:rsid w:val="005A7911"/>
    <w:rsid w:val="005A7BE4"/>
    <w:rsid w:val="005B0468"/>
    <w:rsid w:val="005B0BCF"/>
    <w:rsid w:val="005B1C5D"/>
    <w:rsid w:val="005B32E1"/>
    <w:rsid w:val="005B3653"/>
    <w:rsid w:val="005B372F"/>
    <w:rsid w:val="005B4024"/>
    <w:rsid w:val="005B4374"/>
    <w:rsid w:val="005B4559"/>
    <w:rsid w:val="005B4689"/>
    <w:rsid w:val="005B54E9"/>
    <w:rsid w:val="005B5773"/>
    <w:rsid w:val="005B77C7"/>
    <w:rsid w:val="005B79D1"/>
    <w:rsid w:val="005B7BF4"/>
    <w:rsid w:val="005C0F0A"/>
    <w:rsid w:val="005C2439"/>
    <w:rsid w:val="005C2746"/>
    <w:rsid w:val="005C2B9F"/>
    <w:rsid w:val="005C3FEE"/>
    <w:rsid w:val="005C4796"/>
    <w:rsid w:val="005C4E3B"/>
    <w:rsid w:val="005C5AE4"/>
    <w:rsid w:val="005C5C59"/>
    <w:rsid w:val="005C73FB"/>
    <w:rsid w:val="005C7C55"/>
    <w:rsid w:val="005D0A1C"/>
    <w:rsid w:val="005D114B"/>
    <w:rsid w:val="005D2250"/>
    <w:rsid w:val="005D30DB"/>
    <w:rsid w:val="005D3712"/>
    <w:rsid w:val="005D4951"/>
    <w:rsid w:val="005D6209"/>
    <w:rsid w:val="005D6312"/>
    <w:rsid w:val="005D707E"/>
    <w:rsid w:val="005D7574"/>
    <w:rsid w:val="005D7867"/>
    <w:rsid w:val="005D7EEA"/>
    <w:rsid w:val="005E0989"/>
    <w:rsid w:val="005E0A3F"/>
    <w:rsid w:val="005E0F68"/>
    <w:rsid w:val="005E0FB0"/>
    <w:rsid w:val="005E12E0"/>
    <w:rsid w:val="005E1717"/>
    <w:rsid w:val="005E1A9F"/>
    <w:rsid w:val="005E2907"/>
    <w:rsid w:val="005E3375"/>
    <w:rsid w:val="005E3957"/>
    <w:rsid w:val="005E3EA2"/>
    <w:rsid w:val="005E50DF"/>
    <w:rsid w:val="005E53B2"/>
    <w:rsid w:val="005E5D7B"/>
    <w:rsid w:val="005E6143"/>
    <w:rsid w:val="005E618A"/>
    <w:rsid w:val="005E6F26"/>
    <w:rsid w:val="005E7BE5"/>
    <w:rsid w:val="005E7E1E"/>
    <w:rsid w:val="005F1247"/>
    <w:rsid w:val="005F32FC"/>
    <w:rsid w:val="005F374A"/>
    <w:rsid w:val="005F3C83"/>
    <w:rsid w:val="005F4066"/>
    <w:rsid w:val="005F5068"/>
    <w:rsid w:val="005F585D"/>
    <w:rsid w:val="005F5F63"/>
    <w:rsid w:val="005F6133"/>
    <w:rsid w:val="005F661F"/>
    <w:rsid w:val="005F6E29"/>
    <w:rsid w:val="005F7245"/>
    <w:rsid w:val="005F770F"/>
    <w:rsid w:val="006006E5"/>
    <w:rsid w:val="00600C91"/>
    <w:rsid w:val="00601B4A"/>
    <w:rsid w:val="00601C6D"/>
    <w:rsid w:val="00601E59"/>
    <w:rsid w:val="006029EF"/>
    <w:rsid w:val="006031AD"/>
    <w:rsid w:val="00603C32"/>
    <w:rsid w:val="006040AB"/>
    <w:rsid w:val="00604699"/>
    <w:rsid w:val="00605D5C"/>
    <w:rsid w:val="00606840"/>
    <w:rsid w:val="006073CE"/>
    <w:rsid w:val="0060764B"/>
    <w:rsid w:val="00607658"/>
    <w:rsid w:val="00610BF6"/>
    <w:rsid w:val="00610E61"/>
    <w:rsid w:val="00611140"/>
    <w:rsid w:val="006114AE"/>
    <w:rsid w:val="006124DD"/>
    <w:rsid w:val="006127AB"/>
    <w:rsid w:val="0061290D"/>
    <w:rsid w:val="00612DE7"/>
    <w:rsid w:val="006130EE"/>
    <w:rsid w:val="006131CE"/>
    <w:rsid w:val="006138C0"/>
    <w:rsid w:val="0061441E"/>
    <w:rsid w:val="006147E5"/>
    <w:rsid w:val="006149DB"/>
    <w:rsid w:val="00615836"/>
    <w:rsid w:val="00615D2C"/>
    <w:rsid w:val="00616104"/>
    <w:rsid w:val="00616AAF"/>
    <w:rsid w:val="006173C1"/>
    <w:rsid w:val="006176D9"/>
    <w:rsid w:val="00617B03"/>
    <w:rsid w:val="0062059F"/>
    <w:rsid w:val="00620605"/>
    <w:rsid w:val="00621247"/>
    <w:rsid w:val="006226A2"/>
    <w:rsid w:val="00622E44"/>
    <w:rsid w:val="00623453"/>
    <w:rsid w:val="00623C52"/>
    <w:rsid w:val="00624692"/>
    <w:rsid w:val="00624A65"/>
    <w:rsid w:val="00625445"/>
    <w:rsid w:val="0062612B"/>
    <w:rsid w:val="006311F1"/>
    <w:rsid w:val="0063209E"/>
    <w:rsid w:val="006320EC"/>
    <w:rsid w:val="006326C5"/>
    <w:rsid w:val="00632A6F"/>
    <w:rsid w:val="00632AF3"/>
    <w:rsid w:val="00633754"/>
    <w:rsid w:val="0063405A"/>
    <w:rsid w:val="00635AD4"/>
    <w:rsid w:val="00636CD7"/>
    <w:rsid w:val="00636CE4"/>
    <w:rsid w:val="0063794E"/>
    <w:rsid w:val="00640454"/>
    <w:rsid w:val="00641023"/>
    <w:rsid w:val="00641482"/>
    <w:rsid w:val="0064274E"/>
    <w:rsid w:val="00642AF6"/>
    <w:rsid w:val="0064302D"/>
    <w:rsid w:val="006438FE"/>
    <w:rsid w:val="006459AD"/>
    <w:rsid w:val="006464AC"/>
    <w:rsid w:val="006469C2"/>
    <w:rsid w:val="00646A3A"/>
    <w:rsid w:val="00646F69"/>
    <w:rsid w:val="00647013"/>
    <w:rsid w:val="00647C7E"/>
    <w:rsid w:val="006502ED"/>
    <w:rsid w:val="006512F0"/>
    <w:rsid w:val="0065135E"/>
    <w:rsid w:val="00651ADF"/>
    <w:rsid w:val="00652861"/>
    <w:rsid w:val="00652B05"/>
    <w:rsid w:val="00652BF0"/>
    <w:rsid w:val="00652F60"/>
    <w:rsid w:val="00653F1C"/>
    <w:rsid w:val="0065423E"/>
    <w:rsid w:val="0065486D"/>
    <w:rsid w:val="00654CF7"/>
    <w:rsid w:val="00654D82"/>
    <w:rsid w:val="00656AE0"/>
    <w:rsid w:val="00656DBF"/>
    <w:rsid w:val="00657160"/>
    <w:rsid w:val="006573F5"/>
    <w:rsid w:val="006577FA"/>
    <w:rsid w:val="00660629"/>
    <w:rsid w:val="00660C93"/>
    <w:rsid w:val="00661B4C"/>
    <w:rsid w:val="00662282"/>
    <w:rsid w:val="006629AB"/>
    <w:rsid w:val="0066339D"/>
    <w:rsid w:val="00664474"/>
    <w:rsid w:val="0066448E"/>
    <w:rsid w:val="00664D95"/>
    <w:rsid w:val="00664FC5"/>
    <w:rsid w:val="00666DDF"/>
    <w:rsid w:val="006673D9"/>
    <w:rsid w:val="00667D51"/>
    <w:rsid w:val="00670491"/>
    <w:rsid w:val="00670F08"/>
    <w:rsid w:val="00671112"/>
    <w:rsid w:val="00671274"/>
    <w:rsid w:val="006714CE"/>
    <w:rsid w:val="00672021"/>
    <w:rsid w:val="00672626"/>
    <w:rsid w:val="00672876"/>
    <w:rsid w:val="00672DD5"/>
    <w:rsid w:val="00672F78"/>
    <w:rsid w:val="006734BE"/>
    <w:rsid w:val="00673D32"/>
    <w:rsid w:val="006760DF"/>
    <w:rsid w:val="0067611A"/>
    <w:rsid w:val="0067642C"/>
    <w:rsid w:val="00676A74"/>
    <w:rsid w:val="00676B58"/>
    <w:rsid w:val="00676D5D"/>
    <w:rsid w:val="00680148"/>
    <w:rsid w:val="00680F5B"/>
    <w:rsid w:val="00682164"/>
    <w:rsid w:val="00682FA5"/>
    <w:rsid w:val="0068316A"/>
    <w:rsid w:val="006834D8"/>
    <w:rsid w:val="00683CCE"/>
    <w:rsid w:val="00683DEA"/>
    <w:rsid w:val="00683F05"/>
    <w:rsid w:val="006843EE"/>
    <w:rsid w:val="00684B43"/>
    <w:rsid w:val="00684D70"/>
    <w:rsid w:val="006858F0"/>
    <w:rsid w:val="00685937"/>
    <w:rsid w:val="0068612F"/>
    <w:rsid w:val="00687B93"/>
    <w:rsid w:val="00687E4C"/>
    <w:rsid w:val="00690A36"/>
    <w:rsid w:val="00690C85"/>
    <w:rsid w:val="006914E7"/>
    <w:rsid w:val="006916AA"/>
    <w:rsid w:val="00691D6E"/>
    <w:rsid w:val="00692436"/>
    <w:rsid w:val="00692D16"/>
    <w:rsid w:val="00692FF7"/>
    <w:rsid w:val="006930BD"/>
    <w:rsid w:val="0069324C"/>
    <w:rsid w:val="0069509B"/>
    <w:rsid w:val="006951E2"/>
    <w:rsid w:val="006960FC"/>
    <w:rsid w:val="006964C6"/>
    <w:rsid w:val="00696852"/>
    <w:rsid w:val="006978ED"/>
    <w:rsid w:val="00697AF3"/>
    <w:rsid w:val="006A015F"/>
    <w:rsid w:val="006A184C"/>
    <w:rsid w:val="006A2C78"/>
    <w:rsid w:val="006A3481"/>
    <w:rsid w:val="006A433E"/>
    <w:rsid w:val="006A4F97"/>
    <w:rsid w:val="006A5B39"/>
    <w:rsid w:val="006A6E5D"/>
    <w:rsid w:val="006B1158"/>
    <w:rsid w:val="006B3446"/>
    <w:rsid w:val="006B4618"/>
    <w:rsid w:val="006B4F01"/>
    <w:rsid w:val="006B58A1"/>
    <w:rsid w:val="006B7867"/>
    <w:rsid w:val="006C0638"/>
    <w:rsid w:val="006C09E4"/>
    <w:rsid w:val="006C0ED8"/>
    <w:rsid w:val="006C102B"/>
    <w:rsid w:val="006C1144"/>
    <w:rsid w:val="006C1185"/>
    <w:rsid w:val="006C16F4"/>
    <w:rsid w:val="006C1B63"/>
    <w:rsid w:val="006C1F97"/>
    <w:rsid w:val="006C2872"/>
    <w:rsid w:val="006C3DDE"/>
    <w:rsid w:val="006C783F"/>
    <w:rsid w:val="006C7A48"/>
    <w:rsid w:val="006C7E40"/>
    <w:rsid w:val="006D05DB"/>
    <w:rsid w:val="006D179A"/>
    <w:rsid w:val="006D21E9"/>
    <w:rsid w:val="006D22F6"/>
    <w:rsid w:val="006D311A"/>
    <w:rsid w:val="006D3A1F"/>
    <w:rsid w:val="006D4403"/>
    <w:rsid w:val="006D4720"/>
    <w:rsid w:val="006D4DF2"/>
    <w:rsid w:val="006D5019"/>
    <w:rsid w:val="006D501E"/>
    <w:rsid w:val="006D5274"/>
    <w:rsid w:val="006D5B26"/>
    <w:rsid w:val="006D6D49"/>
    <w:rsid w:val="006D6DB7"/>
    <w:rsid w:val="006D70E0"/>
    <w:rsid w:val="006E0F71"/>
    <w:rsid w:val="006E13AE"/>
    <w:rsid w:val="006E3498"/>
    <w:rsid w:val="006E3D8A"/>
    <w:rsid w:val="006E4199"/>
    <w:rsid w:val="006E43F6"/>
    <w:rsid w:val="006E450A"/>
    <w:rsid w:val="006E4E3E"/>
    <w:rsid w:val="006E532B"/>
    <w:rsid w:val="006E5464"/>
    <w:rsid w:val="006E5EE8"/>
    <w:rsid w:val="006E718A"/>
    <w:rsid w:val="006E71F1"/>
    <w:rsid w:val="006E78A2"/>
    <w:rsid w:val="006E7D1E"/>
    <w:rsid w:val="006F0B1D"/>
    <w:rsid w:val="006F195F"/>
    <w:rsid w:val="006F1CEE"/>
    <w:rsid w:val="006F1F96"/>
    <w:rsid w:val="006F2870"/>
    <w:rsid w:val="006F28CA"/>
    <w:rsid w:val="006F2DD0"/>
    <w:rsid w:val="006F3AED"/>
    <w:rsid w:val="006F5A43"/>
    <w:rsid w:val="006F618D"/>
    <w:rsid w:val="006F61DF"/>
    <w:rsid w:val="006F67AF"/>
    <w:rsid w:val="006F70EF"/>
    <w:rsid w:val="007014EC"/>
    <w:rsid w:val="007019F6"/>
    <w:rsid w:val="00703521"/>
    <w:rsid w:val="00704407"/>
    <w:rsid w:val="00704FF7"/>
    <w:rsid w:val="00705B86"/>
    <w:rsid w:val="00705E27"/>
    <w:rsid w:val="00705F5D"/>
    <w:rsid w:val="007103DD"/>
    <w:rsid w:val="007107DF"/>
    <w:rsid w:val="007108F1"/>
    <w:rsid w:val="00710FA6"/>
    <w:rsid w:val="00710FBC"/>
    <w:rsid w:val="00711275"/>
    <w:rsid w:val="007125DE"/>
    <w:rsid w:val="00713A52"/>
    <w:rsid w:val="00713ED4"/>
    <w:rsid w:val="00713EF8"/>
    <w:rsid w:val="00714741"/>
    <w:rsid w:val="00714C37"/>
    <w:rsid w:val="00714C8E"/>
    <w:rsid w:val="007156A6"/>
    <w:rsid w:val="0071574D"/>
    <w:rsid w:val="0071747F"/>
    <w:rsid w:val="00717754"/>
    <w:rsid w:val="00717B7A"/>
    <w:rsid w:val="00720BDD"/>
    <w:rsid w:val="0072101F"/>
    <w:rsid w:val="007212CB"/>
    <w:rsid w:val="0072166A"/>
    <w:rsid w:val="00721EE9"/>
    <w:rsid w:val="0072369E"/>
    <w:rsid w:val="007243FC"/>
    <w:rsid w:val="00724512"/>
    <w:rsid w:val="00724D36"/>
    <w:rsid w:val="00724E80"/>
    <w:rsid w:val="00724F48"/>
    <w:rsid w:val="00725400"/>
    <w:rsid w:val="0072742F"/>
    <w:rsid w:val="0073154D"/>
    <w:rsid w:val="00731913"/>
    <w:rsid w:val="00731DB2"/>
    <w:rsid w:val="007321D1"/>
    <w:rsid w:val="0073226A"/>
    <w:rsid w:val="007326BB"/>
    <w:rsid w:val="00732B3D"/>
    <w:rsid w:val="0073326B"/>
    <w:rsid w:val="007337E1"/>
    <w:rsid w:val="00733FA3"/>
    <w:rsid w:val="00736743"/>
    <w:rsid w:val="007373FD"/>
    <w:rsid w:val="00737A7A"/>
    <w:rsid w:val="00737FE5"/>
    <w:rsid w:val="007401D9"/>
    <w:rsid w:val="00740460"/>
    <w:rsid w:val="0074051D"/>
    <w:rsid w:val="00741B45"/>
    <w:rsid w:val="00741E2F"/>
    <w:rsid w:val="00741EC9"/>
    <w:rsid w:val="0074246F"/>
    <w:rsid w:val="007429ED"/>
    <w:rsid w:val="00743DC3"/>
    <w:rsid w:val="00743F94"/>
    <w:rsid w:val="00744E39"/>
    <w:rsid w:val="007450A7"/>
    <w:rsid w:val="00745692"/>
    <w:rsid w:val="007464FB"/>
    <w:rsid w:val="00747741"/>
    <w:rsid w:val="00750C6B"/>
    <w:rsid w:val="00752066"/>
    <w:rsid w:val="00753B48"/>
    <w:rsid w:val="00753EB2"/>
    <w:rsid w:val="0075428E"/>
    <w:rsid w:val="00754D0A"/>
    <w:rsid w:val="0075719C"/>
    <w:rsid w:val="007577CE"/>
    <w:rsid w:val="007579E1"/>
    <w:rsid w:val="00757B91"/>
    <w:rsid w:val="007607CE"/>
    <w:rsid w:val="00760AD3"/>
    <w:rsid w:val="00760DF0"/>
    <w:rsid w:val="00760F06"/>
    <w:rsid w:val="0076186B"/>
    <w:rsid w:val="00761E0D"/>
    <w:rsid w:val="00762133"/>
    <w:rsid w:val="0076230C"/>
    <w:rsid w:val="00762DD6"/>
    <w:rsid w:val="00763648"/>
    <w:rsid w:val="00763A62"/>
    <w:rsid w:val="007640A5"/>
    <w:rsid w:val="007648E6"/>
    <w:rsid w:val="00765995"/>
    <w:rsid w:val="00765E01"/>
    <w:rsid w:val="00765E98"/>
    <w:rsid w:val="00766416"/>
    <w:rsid w:val="00766422"/>
    <w:rsid w:val="00766A6D"/>
    <w:rsid w:val="00766B23"/>
    <w:rsid w:val="00766CA5"/>
    <w:rsid w:val="00767D7B"/>
    <w:rsid w:val="0077045B"/>
    <w:rsid w:val="00770887"/>
    <w:rsid w:val="007708DC"/>
    <w:rsid w:val="007727F1"/>
    <w:rsid w:val="00772CAA"/>
    <w:rsid w:val="007730CC"/>
    <w:rsid w:val="00774716"/>
    <w:rsid w:val="0077484D"/>
    <w:rsid w:val="00774DE7"/>
    <w:rsid w:val="007752F8"/>
    <w:rsid w:val="00775AF6"/>
    <w:rsid w:val="00776409"/>
    <w:rsid w:val="007766A4"/>
    <w:rsid w:val="00776784"/>
    <w:rsid w:val="007767C5"/>
    <w:rsid w:val="0077785A"/>
    <w:rsid w:val="00777E17"/>
    <w:rsid w:val="00780319"/>
    <w:rsid w:val="00780ABC"/>
    <w:rsid w:val="007815EB"/>
    <w:rsid w:val="00781659"/>
    <w:rsid w:val="0078251F"/>
    <w:rsid w:val="00783029"/>
    <w:rsid w:val="007830F5"/>
    <w:rsid w:val="007841D6"/>
    <w:rsid w:val="00784D35"/>
    <w:rsid w:val="00784E3D"/>
    <w:rsid w:val="007866E5"/>
    <w:rsid w:val="00790C39"/>
    <w:rsid w:val="0079130C"/>
    <w:rsid w:val="007919BA"/>
    <w:rsid w:val="00792348"/>
    <w:rsid w:val="00793281"/>
    <w:rsid w:val="007950CE"/>
    <w:rsid w:val="0079645D"/>
    <w:rsid w:val="00796C8D"/>
    <w:rsid w:val="007977B0"/>
    <w:rsid w:val="00797848"/>
    <w:rsid w:val="00797A1F"/>
    <w:rsid w:val="007A10A3"/>
    <w:rsid w:val="007A126F"/>
    <w:rsid w:val="007A12F9"/>
    <w:rsid w:val="007A1642"/>
    <w:rsid w:val="007A2B3E"/>
    <w:rsid w:val="007A3376"/>
    <w:rsid w:val="007A34B2"/>
    <w:rsid w:val="007A4208"/>
    <w:rsid w:val="007A4EC2"/>
    <w:rsid w:val="007A50B2"/>
    <w:rsid w:val="007A62E3"/>
    <w:rsid w:val="007A6B37"/>
    <w:rsid w:val="007A7191"/>
    <w:rsid w:val="007A7314"/>
    <w:rsid w:val="007B008F"/>
    <w:rsid w:val="007B04F5"/>
    <w:rsid w:val="007B3315"/>
    <w:rsid w:val="007B3549"/>
    <w:rsid w:val="007B4A82"/>
    <w:rsid w:val="007B52A7"/>
    <w:rsid w:val="007B7198"/>
    <w:rsid w:val="007B7497"/>
    <w:rsid w:val="007C1790"/>
    <w:rsid w:val="007C18CB"/>
    <w:rsid w:val="007C2392"/>
    <w:rsid w:val="007C24EE"/>
    <w:rsid w:val="007C2A25"/>
    <w:rsid w:val="007C3B8A"/>
    <w:rsid w:val="007C5910"/>
    <w:rsid w:val="007C5951"/>
    <w:rsid w:val="007C6DCF"/>
    <w:rsid w:val="007C6E65"/>
    <w:rsid w:val="007C7BB9"/>
    <w:rsid w:val="007C7C33"/>
    <w:rsid w:val="007C7F1F"/>
    <w:rsid w:val="007D0044"/>
    <w:rsid w:val="007D06F4"/>
    <w:rsid w:val="007D2455"/>
    <w:rsid w:val="007D32B4"/>
    <w:rsid w:val="007D3AF7"/>
    <w:rsid w:val="007D434E"/>
    <w:rsid w:val="007D4BA8"/>
    <w:rsid w:val="007D4C28"/>
    <w:rsid w:val="007D4DEE"/>
    <w:rsid w:val="007D569F"/>
    <w:rsid w:val="007D5B05"/>
    <w:rsid w:val="007D716C"/>
    <w:rsid w:val="007D79D5"/>
    <w:rsid w:val="007E00E9"/>
    <w:rsid w:val="007E0F97"/>
    <w:rsid w:val="007E100E"/>
    <w:rsid w:val="007E127A"/>
    <w:rsid w:val="007E1753"/>
    <w:rsid w:val="007E1904"/>
    <w:rsid w:val="007E1F9F"/>
    <w:rsid w:val="007E2108"/>
    <w:rsid w:val="007E28C4"/>
    <w:rsid w:val="007E301B"/>
    <w:rsid w:val="007E323F"/>
    <w:rsid w:val="007E376B"/>
    <w:rsid w:val="007E3A9E"/>
    <w:rsid w:val="007E3CBB"/>
    <w:rsid w:val="007E413C"/>
    <w:rsid w:val="007E41FB"/>
    <w:rsid w:val="007E4CC0"/>
    <w:rsid w:val="007E4DD3"/>
    <w:rsid w:val="007E786E"/>
    <w:rsid w:val="007F07F3"/>
    <w:rsid w:val="007F1203"/>
    <w:rsid w:val="007F2625"/>
    <w:rsid w:val="007F35DF"/>
    <w:rsid w:val="007F406A"/>
    <w:rsid w:val="007F45BC"/>
    <w:rsid w:val="007F54DE"/>
    <w:rsid w:val="007F65F9"/>
    <w:rsid w:val="007F65FF"/>
    <w:rsid w:val="007F68B7"/>
    <w:rsid w:val="007F6C61"/>
    <w:rsid w:val="00801265"/>
    <w:rsid w:val="00801843"/>
    <w:rsid w:val="008024AE"/>
    <w:rsid w:val="0080396D"/>
    <w:rsid w:val="00803F6D"/>
    <w:rsid w:val="00803F9C"/>
    <w:rsid w:val="00805103"/>
    <w:rsid w:val="00805E97"/>
    <w:rsid w:val="00806131"/>
    <w:rsid w:val="008069A6"/>
    <w:rsid w:val="00807560"/>
    <w:rsid w:val="00810653"/>
    <w:rsid w:val="00810935"/>
    <w:rsid w:val="00810D7B"/>
    <w:rsid w:val="00810E3C"/>
    <w:rsid w:val="00812597"/>
    <w:rsid w:val="008138E4"/>
    <w:rsid w:val="00813BBB"/>
    <w:rsid w:val="00815198"/>
    <w:rsid w:val="00815CEC"/>
    <w:rsid w:val="00816D7C"/>
    <w:rsid w:val="00817036"/>
    <w:rsid w:val="00817C76"/>
    <w:rsid w:val="0082004A"/>
    <w:rsid w:val="008202F3"/>
    <w:rsid w:val="0082037E"/>
    <w:rsid w:val="0082079C"/>
    <w:rsid w:val="00820BE6"/>
    <w:rsid w:val="008210D3"/>
    <w:rsid w:val="008213AF"/>
    <w:rsid w:val="00821444"/>
    <w:rsid w:val="008215B9"/>
    <w:rsid w:val="00821747"/>
    <w:rsid w:val="00821B89"/>
    <w:rsid w:val="0082235A"/>
    <w:rsid w:val="00823976"/>
    <w:rsid w:val="00823C82"/>
    <w:rsid w:val="00823F07"/>
    <w:rsid w:val="008241D8"/>
    <w:rsid w:val="0082454A"/>
    <w:rsid w:val="00830423"/>
    <w:rsid w:val="008306CF"/>
    <w:rsid w:val="0083082F"/>
    <w:rsid w:val="008314D1"/>
    <w:rsid w:val="0083168F"/>
    <w:rsid w:val="00831EED"/>
    <w:rsid w:val="00832056"/>
    <w:rsid w:val="008326E7"/>
    <w:rsid w:val="008328E3"/>
    <w:rsid w:val="00832E7D"/>
    <w:rsid w:val="00834BCD"/>
    <w:rsid w:val="00834FB3"/>
    <w:rsid w:val="008354B6"/>
    <w:rsid w:val="00835CC8"/>
    <w:rsid w:val="00835DBD"/>
    <w:rsid w:val="0083601A"/>
    <w:rsid w:val="008360FD"/>
    <w:rsid w:val="00836272"/>
    <w:rsid w:val="00836D0F"/>
    <w:rsid w:val="008374FC"/>
    <w:rsid w:val="00837BEB"/>
    <w:rsid w:val="00840198"/>
    <w:rsid w:val="00840441"/>
    <w:rsid w:val="00840BC5"/>
    <w:rsid w:val="00841150"/>
    <w:rsid w:val="00841D85"/>
    <w:rsid w:val="00842ECE"/>
    <w:rsid w:val="00843CBA"/>
    <w:rsid w:val="00843EAC"/>
    <w:rsid w:val="008442D2"/>
    <w:rsid w:val="00844697"/>
    <w:rsid w:val="00844985"/>
    <w:rsid w:val="00844E9A"/>
    <w:rsid w:val="0084568A"/>
    <w:rsid w:val="00845BDB"/>
    <w:rsid w:val="008461C8"/>
    <w:rsid w:val="00846F2F"/>
    <w:rsid w:val="00847E54"/>
    <w:rsid w:val="00850E23"/>
    <w:rsid w:val="008519BC"/>
    <w:rsid w:val="00852638"/>
    <w:rsid w:val="00852F05"/>
    <w:rsid w:val="00853090"/>
    <w:rsid w:val="00853329"/>
    <w:rsid w:val="00853509"/>
    <w:rsid w:val="00853AF2"/>
    <w:rsid w:val="0085437C"/>
    <w:rsid w:val="00854CCB"/>
    <w:rsid w:val="0085580B"/>
    <w:rsid w:val="00855C1C"/>
    <w:rsid w:val="00856595"/>
    <w:rsid w:val="00860156"/>
    <w:rsid w:val="00860F01"/>
    <w:rsid w:val="00860F36"/>
    <w:rsid w:val="008625C0"/>
    <w:rsid w:val="00863FA2"/>
    <w:rsid w:val="00864BAC"/>
    <w:rsid w:val="00865223"/>
    <w:rsid w:val="00865264"/>
    <w:rsid w:val="0086592B"/>
    <w:rsid w:val="00866142"/>
    <w:rsid w:val="00866972"/>
    <w:rsid w:val="00867198"/>
    <w:rsid w:val="0086751D"/>
    <w:rsid w:val="00867903"/>
    <w:rsid w:val="00867EE1"/>
    <w:rsid w:val="00870084"/>
    <w:rsid w:val="00870638"/>
    <w:rsid w:val="00870888"/>
    <w:rsid w:val="0087193A"/>
    <w:rsid w:val="00871B9F"/>
    <w:rsid w:val="008722DD"/>
    <w:rsid w:val="008734C1"/>
    <w:rsid w:val="00874B1E"/>
    <w:rsid w:val="00874BAA"/>
    <w:rsid w:val="00875CB8"/>
    <w:rsid w:val="00876987"/>
    <w:rsid w:val="008777AC"/>
    <w:rsid w:val="00877A4E"/>
    <w:rsid w:val="00880721"/>
    <w:rsid w:val="00880CE6"/>
    <w:rsid w:val="00881DA0"/>
    <w:rsid w:val="00882DCD"/>
    <w:rsid w:val="00883399"/>
    <w:rsid w:val="00883A3D"/>
    <w:rsid w:val="00883A43"/>
    <w:rsid w:val="00884394"/>
    <w:rsid w:val="00885C38"/>
    <w:rsid w:val="00886D08"/>
    <w:rsid w:val="00887157"/>
    <w:rsid w:val="00887FDF"/>
    <w:rsid w:val="00891B29"/>
    <w:rsid w:val="0089296D"/>
    <w:rsid w:val="008930F0"/>
    <w:rsid w:val="00893D2C"/>
    <w:rsid w:val="00893F6D"/>
    <w:rsid w:val="008947AD"/>
    <w:rsid w:val="00896D37"/>
    <w:rsid w:val="00897432"/>
    <w:rsid w:val="008A1FA2"/>
    <w:rsid w:val="008A3859"/>
    <w:rsid w:val="008A443A"/>
    <w:rsid w:val="008A4C9D"/>
    <w:rsid w:val="008A4FD2"/>
    <w:rsid w:val="008A50AB"/>
    <w:rsid w:val="008A5DC0"/>
    <w:rsid w:val="008A680B"/>
    <w:rsid w:val="008A7090"/>
    <w:rsid w:val="008B0629"/>
    <w:rsid w:val="008B07BC"/>
    <w:rsid w:val="008B1242"/>
    <w:rsid w:val="008B19FD"/>
    <w:rsid w:val="008B21AD"/>
    <w:rsid w:val="008B2795"/>
    <w:rsid w:val="008B2B3C"/>
    <w:rsid w:val="008B3C26"/>
    <w:rsid w:val="008B4705"/>
    <w:rsid w:val="008B5D4B"/>
    <w:rsid w:val="008B70EF"/>
    <w:rsid w:val="008B7125"/>
    <w:rsid w:val="008C01D1"/>
    <w:rsid w:val="008C0A2D"/>
    <w:rsid w:val="008C298A"/>
    <w:rsid w:val="008C30EB"/>
    <w:rsid w:val="008C326F"/>
    <w:rsid w:val="008C34B2"/>
    <w:rsid w:val="008C3C39"/>
    <w:rsid w:val="008C541E"/>
    <w:rsid w:val="008C635B"/>
    <w:rsid w:val="008C6976"/>
    <w:rsid w:val="008C6B7D"/>
    <w:rsid w:val="008C7074"/>
    <w:rsid w:val="008C73F7"/>
    <w:rsid w:val="008C750D"/>
    <w:rsid w:val="008C7604"/>
    <w:rsid w:val="008D006B"/>
    <w:rsid w:val="008D0DFE"/>
    <w:rsid w:val="008D176B"/>
    <w:rsid w:val="008D1F29"/>
    <w:rsid w:val="008D2835"/>
    <w:rsid w:val="008D53C2"/>
    <w:rsid w:val="008D53D8"/>
    <w:rsid w:val="008D5C9C"/>
    <w:rsid w:val="008D60BA"/>
    <w:rsid w:val="008D653F"/>
    <w:rsid w:val="008D73C3"/>
    <w:rsid w:val="008D73D2"/>
    <w:rsid w:val="008D78AA"/>
    <w:rsid w:val="008E09C3"/>
    <w:rsid w:val="008E0ACA"/>
    <w:rsid w:val="008E1192"/>
    <w:rsid w:val="008E13BD"/>
    <w:rsid w:val="008E182C"/>
    <w:rsid w:val="008E20FF"/>
    <w:rsid w:val="008E3521"/>
    <w:rsid w:val="008E3A2F"/>
    <w:rsid w:val="008E4C75"/>
    <w:rsid w:val="008E513C"/>
    <w:rsid w:val="008E56F4"/>
    <w:rsid w:val="008E7038"/>
    <w:rsid w:val="008F1D9B"/>
    <w:rsid w:val="008F1EA8"/>
    <w:rsid w:val="008F1EB5"/>
    <w:rsid w:val="008F209F"/>
    <w:rsid w:val="008F2B13"/>
    <w:rsid w:val="008F3684"/>
    <w:rsid w:val="008F4D07"/>
    <w:rsid w:val="008F57F6"/>
    <w:rsid w:val="008F5E15"/>
    <w:rsid w:val="008F62EF"/>
    <w:rsid w:val="008F6D8B"/>
    <w:rsid w:val="009006AA"/>
    <w:rsid w:val="009012FB"/>
    <w:rsid w:val="009020AD"/>
    <w:rsid w:val="0090215C"/>
    <w:rsid w:val="0090310A"/>
    <w:rsid w:val="009051FB"/>
    <w:rsid w:val="0090557C"/>
    <w:rsid w:val="0090641A"/>
    <w:rsid w:val="0090737E"/>
    <w:rsid w:val="00907E49"/>
    <w:rsid w:val="009108E1"/>
    <w:rsid w:val="00911411"/>
    <w:rsid w:val="00911B8C"/>
    <w:rsid w:val="00911DA0"/>
    <w:rsid w:val="0091226D"/>
    <w:rsid w:val="0091353B"/>
    <w:rsid w:val="0091366D"/>
    <w:rsid w:val="00914399"/>
    <w:rsid w:val="0091562C"/>
    <w:rsid w:val="009160C9"/>
    <w:rsid w:val="0091667E"/>
    <w:rsid w:val="009167E2"/>
    <w:rsid w:val="0091680A"/>
    <w:rsid w:val="00917BC5"/>
    <w:rsid w:val="00921262"/>
    <w:rsid w:val="009223FB"/>
    <w:rsid w:val="00922FE6"/>
    <w:rsid w:val="009231A5"/>
    <w:rsid w:val="009240F6"/>
    <w:rsid w:val="0092429A"/>
    <w:rsid w:val="00924C97"/>
    <w:rsid w:val="00925C80"/>
    <w:rsid w:val="00926944"/>
    <w:rsid w:val="009269F4"/>
    <w:rsid w:val="009272C0"/>
    <w:rsid w:val="00927717"/>
    <w:rsid w:val="00927E90"/>
    <w:rsid w:val="0093004F"/>
    <w:rsid w:val="0093040B"/>
    <w:rsid w:val="00930DB4"/>
    <w:rsid w:val="00930E6C"/>
    <w:rsid w:val="0093211F"/>
    <w:rsid w:val="00932186"/>
    <w:rsid w:val="009325A8"/>
    <w:rsid w:val="0093296D"/>
    <w:rsid w:val="00933BBE"/>
    <w:rsid w:val="009343A4"/>
    <w:rsid w:val="00934F91"/>
    <w:rsid w:val="00935767"/>
    <w:rsid w:val="009366D4"/>
    <w:rsid w:val="009367C4"/>
    <w:rsid w:val="00937178"/>
    <w:rsid w:val="00937331"/>
    <w:rsid w:val="00937702"/>
    <w:rsid w:val="00937A89"/>
    <w:rsid w:val="00937F0C"/>
    <w:rsid w:val="00940328"/>
    <w:rsid w:val="00940EA8"/>
    <w:rsid w:val="00940FE5"/>
    <w:rsid w:val="00941E99"/>
    <w:rsid w:val="009420B2"/>
    <w:rsid w:val="009426F7"/>
    <w:rsid w:val="00944396"/>
    <w:rsid w:val="00944627"/>
    <w:rsid w:val="00944890"/>
    <w:rsid w:val="009448F8"/>
    <w:rsid w:val="00944B8F"/>
    <w:rsid w:val="009463C3"/>
    <w:rsid w:val="00946883"/>
    <w:rsid w:val="009501B4"/>
    <w:rsid w:val="0095270C"/>
    <w:rsid w:val="00952D62"/>
    <w:rsid w:val="00953E5F"/>
    <w:rsid w:val="009544DF"/>
    <w:rsid w:val="00954CE2"/>
    <w:rsid w:val="009556AA"/>
    <w:rsid w:val="009557EA"/>
    <w:rsid w:val="00955A05"/>
    <w:rsid w:val="009567AC"/>
    <w:rsid w:val="00956E59"/>
    <w:rsid w:val="0096006A"/>
    <w:rsid w:val="009606FD"/>
    <w:rsid w:val="00960E05"/>
    <w:rsid w:val="00961073"/>
    <w:rsid w:val="00962004"/>
    <w:rsid w:val="00962749"/>
    <w:rsid w:val="00962F63"/>
    <w:rsid w:val="00962FD6"/>
    <w:rsid w:val="00963E5A"/>
    <w:rsid w:val="0096612D"/>
    <w:rsid w:val="009661FC"/>
    <w:rsid w:val="0096631B"/>
    <w:rsid w:val="00966977"/>
    <w:rsid w:val="00967BB9"/>
    <w:rsid w:val="00967E84"/>
    <w:rsid w:val="00970FB3"/>
    <w:rsid w:val="00971857"/>
    <w:rsid w:val="00971C40"/>
    <w:rsid w:val="0097264F"/>
    <w:rsid w:val="00973445"/>
    <w:rsid w:val="0097384D"/>
    <w:rsid w:val="009749AD"/>
    <w:rsid w:val="00975816"/>
    <w:rsid w:val="00976910"/>
    <w:rsid w:val="00976DCD"/>
    <w:rsid w:val="009772CA"/>
    <w:rsid w:val="009772D1"/>
    <w:rsid w:val="009810FB"/>
    <w:rsid w:val="00983265"/>
    <w:rsid w:val="0098349B"/>
    <w:rsid w:val="00983505"/>
    <w:rsid w:val="00985622"/>
    <w:rsid w:val="00986786"/>
    <w:rsid w:val="00986FE2"/>
    <w:rsid w:val="009875A2"/>
    <w:rsid w:val="00987A25"/>
    <w:rsid w:val="00987A4B"/>
    <w:rsid w:val="00987AE4"/>
    <w:rsid w:val="00987CE4"/>
    <w:rsid w:val="00987D06"/>
    <w:rsid w:val="00987F6E"/>
    <w:rsid w:val="00990212"/>
    <w:rsid w:val="00990A2E"/>
    <w:rsid w:val="0099209A"/>
    <w:rsid w:val="009926DE"/>
    <w:rsid w:val="0099311B"/>
    <w:rsid w:val="00994293"/>
    <w:rsid w:val="009947C7"/>
    <w:rsid w:val="00995EA7"/>
    <w:rsid w:val="00996BA8"/>
    <w:rsid w:val="00996FC9"/>
    <w:rsid w:val="00997295"/>
    <w:rsid w:val="009973BB"/>
    <w:rsid w:val="009975EC"/>
    <w:rsid w:val="00997C45"/>
    <w:rsid w:val="009A067C"/>
    <w:rsid w:val="009A158A"/>
    <w:rsid w:val="009A2AD3"/>
    <w:rsid w:val="009A2D3C"/>
    <w:rsid w:val="009A38EA"/>
    <w:rsid w:val="009A3E8B"/>
    <w:rsid w:val="009A3FA1"/>
    <w:rsid w:val="009A4AC9"/>
    <w:rsid w:val="009A50B6"/>
    <w:rsid w:val="009A52F8"/>
    <w:rsid w:val="009A5BBF"/>
    <w:rsid w:val="009A6453"/>
    <w:rsid w:val="009A7350"/>
    <w:rsid w:val="009A7BBC"/>
    <w:rsid w:val="009B051D"/>
    <w:rsid w:val="009B0738"/>
    <w:rsid w:val="009B08E4"/>
    <w:rsid w:val="009B0977"/>
    <w:rsid w:val="009B1713"/>
    <w:rsid w:val="009B1721"/>
    <w:rsid w:val="009B1E96"/>
    <w:rsid w:val="009B2E77"/>
    <w:rsid w:val="009B3F96"/>
    <w:rsid w:val="009B45A3"/>
    <w:rsid w:val="009B4DFD"/>
    <w:rsid w:val="009B536C"/>
    <w:rsid w:val="009B62F2"/>
    <w:rsid w:val="009B6D9A"/>
    <w:rsid w:val="009B753E"/>
    <w:rsid w:val="009B78BC"/>
    <w:rsid w:val="009C24EB"/>
    <w:rsid w:val="009C2594"/>
    <w:rsid w:val="009C30A3"/>
    <w:rsid w:val="009C341D"/>
    <w:rsid w:val="009C3FD0"/>
    <w:rsid w:val="009C547C"/>
    <w:rsid w:val="009C6341"/>
    <w:rsid w:val="009C653D"/>
    <w:rsid w:val="009C721E"/>
    <w:rsid w:val="009C7B7E"/>
    <w:rsid w:val="009D06E2"/>
    <w:rsid w:val="009D0ADA"/>
    <w:rsid w:val="009D0CF2"/>
    <w:rsid w:val="009D1F8D"/>
    <w:rsid w:val="009D2C24"/>
    <w:rsid w:val="009D3E39"/>
    <w:rsid w:val="009D4399"/>
    <w:rsid w:val="009D4E74"/>
    <w:rsid w:val="009D4F20"/>
    <w:rsid w:val="009D4F9E"/>
    <w:rsid w:val="009D56E3"/>
    <w:rsid w:val="009D5B81"/>
    <w:rsid w:val="009D62F2"/>
    <w:rsid w:val="009E05D6"/>
    <w:rsid w:val="009E1E3D"/>
    <w:rsid w:val="009E202C"/>
    <w:rsid w:val="009E28B9"/>
    <w:rsid w:val="009E2E3B"/>
    <w:rsid w:val="009E3980"/>
    <w:rsid w:val="009E3B55"/>
    <w:rsid w:val="009E4599"/>
    <w:rsid w:val="009E5682"/>
    <w:rsid w:val="009E6012"/>
    <w:rsid w:val="009E7C7C"/>
    <w:rsid w:val="009E7EDD"/>
    <w:rsid w:val="009F0AA2"/>
    <w:rsid w:val="009F1983"/>
    <w:rsid w:val="009F23BD"/>
    <w:rsid w:val="009F28DA"/>
    <w:rsid w:val="009F2913"/>
    <w:rsid w:val="009F38CE"/>
    <w:rsid w:val="009F3C50"/>
    <w:rsid w:val="009F3FDB"/>
    <w:rsid w:val="009F425D"/>
    <w:rsid w:val="009F42B3"/>
    <w:rsid w:val="009F48AA"/>
    <w:rsid w:val="009F6253"/>
    <w:rsid w:val="009F6ACC"/>
    <w:rsid w:val="009F7087"/>
    <w:rsid w:val="009F7DA5"/>
    <w:rsid w:val="00A00672"/>
    <w:rsid w:val="00A00F9E"/>
    <w:rsid w:val="00A01594"/>
    <w:rsid w:val="00A01B11"/>
    <w:rsid w:val="00A0283A"/>
    <w:rsid w:val="00A02887"/>
    <w:rsid w:val="00A02FCC"/>
    <w:rsid w:val="00A04F4B"/>
    <w:rsid w:val="00A04FFB"/>
    <w:rsid w:val="00A0695D"/>
    <w:rsid w:val="00A10AC7"/>
    <w:rsid w:val="00A10DA5"/>
    <w:rsid w:val="00A11319"/>
    <w:rsid w:val="00A12A2D"/>
    <w:rsid w:val="00A13915"/>
    <w:rsid w:val="00A13C4E"/>
    <w:rsid w:val="00A14560"/>
    <w:rsid w:val="00A14628"/>
    <w:rsid w:val="00A14D7C"/>
    <w:rsid w:val="00A14E53"/>
    <w:rsid w:val="00A16B7B"/>
    <w:rsid w:val="00A178E7"/>
    <w:rsid w:val="00A17F7B"/>
    <w:rsid w:val="00A20195"/>
    <w:rsid w:val="00A20303"/>
    <w:rsid w:val="00A2032E"/>
    <w:rsid w:val="00A23F13"/>
    <w:rsid w:val="00A24643"/>
    <w:rsid w:val="00A249A0"/>
    <w:rsid w:val="00A249F7"/>
    <w:rsid w:val="00A24B24"/>
    <w:rsid w:val="00A24B51"/>
    <w:rsid w:val="00A24C80"/>
    <w:rsid w:val="00A24E4F"/>
    <w:rsid w:val="00A252C3"/>
    <w:rsid w:val="00A2728D"/>
    <w:rsid w:val="00A30EB9"/>
    <w:rsid w:val="00A32CAE"/>
    <w:rsid w:val="00A341C0"/>
    <w:rsid w:val="00A3523E"/>
    <w:rsid w:val="00A37C8C"/>
    <w:rsid w:val="00A37DB5"/>
    <w:rsid w:val="00A37E59"/>
    <w:rsid w:val="00A4079A"/>
    <w:rsid w:val="00A40A62"/>
    <w:rsid w:val="00A40C5B"/>
    <w:rsid w:val="00A40E17"/>
    <w:rsid w:val="00A415A9"/>
    <w:rsid w:val="00A41767"/>
    <w:rsid w:val="00A42538"/>
    <w:rsid w:val="00A43680"/>
    <w:rsid w:val="00A44286"/>
    <w:rsid w:val="00A446ED"/>
    <w:rsid w:val="00A44794"/>
    <w:rsid w:val="00A44E0A"/>
    <w:rsid w:val="00A44F16"/>
    <w:rsid w:val="00A4544B"/>
    <w:rsid w:val="00A45793"/>
    <w:rsid w:val="00A4612A"/>
    <w:rsid w:val="00A461A9"/>
    <w:rsid w:val="00A46541"/>
    <w:rsid w:val="00A473A0"/>
    <w:rsid w:val="00A47613"/>
    <w:rsid w:val="00A50017"/>
    <w:rsid w:val="00A5097F"/>
    <w:rsid w:val="00A50A2F"/>
    <w:rsid w:val="00A51A64"/>
    <w:rsid w:val="00A51A85"/>
    <w:rsid w:val="00A53E27"/>
    <w:rsid w:val="00A555A6"/>
    <w:rsid w:val="00A555DC"/>
    <w:rsid w:val="00A556DE"/>
    <w:rsid w:val="00A55DC7"/>
    <w:rsid w:val="00A57514"/>
    <w:rsid w:val="00A608D2"/>
    <w:rsid w:val="00A60A7C"/>
    <w:rsid w:val="00A63947"/>
    <w:rsid w:val="00A64063"/>
    <w:rsid w:val="00A64DD4"/>
    <w:rsid w:val="00A6526E"/>
    <w:rsid w:val="00A66962"/>
    <w:rsid w:val="00A70049"/>
    <w:rsid w:val="00A700D2"/>
    <w:rsid w:val="00A71831"/>
    <w:rsid w:val="00A72295"/>
    <w:rsid w:val="00A72310"/>
    <w:rsid w:val="00A72611"/>
    <w:rsid w:val="00A72FE5"/>
    <w:rsid w:val="00A73091"/>
    <w:rsid w:val="00A7328B"/>
    <w:rsid w:val="00A73DA1"/>
    <w:rsid w:val="00A73EF0"/>
    <w:rsid w:val="00A74112"/>
    <w:rsid w:val="00A74B3D"/>
    <w:rsid w:val="00A7504B"/>
    <w:rsid w:val="00A76160"/>
    <w:rsid w:val="00A77154"/>
    <w:rsid w:val="00A775F1"/>
    <w:rsid w:val="00A8034E"/>
    <w:rsid w:val="00A80774"/>
    <w:rsid w:val="00A81005"/>
    <w:rsid w:val="00A825FF"/>
    <w:rsid w:val="00A8294F"/>
    <w:rsid w:val="00A8297B"/>
    <w:rsid w:val="00A84E08"/>
    <w:rsid w:val="00A85602"/>
    <w:rsid w:val="00A85A19"/>
    <w:rsid w:val="00A90046"/>
    <w:rsid w:val="00A90A3E"/>
    <w:rsid w:val="00A9101B"/>
    <w:rsid w:val="00A91A56"/>
    <w:rsid w:val="00A91A5F"/>
    <w:rsid w:val="00A91FD2"/>
    <w:rsid w:val="00A93845"/>
    <w:rsid w:val="00A94ED5"/>
    <w:rsid w:val="00A953AC"/>
    <w:rsid w:val="00A95437"/>
    <w:rsid w:val="00A95523"/>
    <w:rsid w:val="00A968C9"/>
    <w:rsid w:val="00A977B0"/>
    <w:rsid w:val="00AA07C3"/>
    <w:rsid w:val="00AA0987"/>
    <w:rsid w:val="00AA1E72"/>
    <w:rsid w:val="00AA3595"/>
    <w:rsid w:val="00AA5177"/>
    <w:rsid w:val="00AA54D3"/>
    <w:rsid w:val="00AA7215"/>
    <w:rsid w:val="00AA7CAF"/>
    <w:rsid w:val="00AB0046"/>
    <w:rsid w:val="00AB1750"/>
    <w:rsid w:val="00AB1C75"/>
    <w:rsid w:val="00AB24F1"/>
    <w:rsid w:val="00AB365E"/>
    <w:rsid w:val="00AB443B"/>
    <w:rsid w:val="00AB44CD"/>
    <w:rsid w:val="00AB4667"/>
    <w:rsid w:val="00AB4E1B"/>
    <w:rsid w:val="00AB4EA7"/>
    <w:rsid w:val="00AB5AF3"/>
    <w:rsid w:val="00AB6B43"/>
    <w:rsid w:val="00AB6E51"/>
    <w:rsid w:val="00AB7A71"/>
    <w:rsid w:val="00AB7C65"/>
    <w:rsid w:val="00AC0A98"/>
    <w:rsid w:val="00AC1729"/>
    <w:rsid w:val="00AC2954"/>
    <w:rsid w:val="00AC2E5B"/>
    <w:rsid w:val="00AC3200"/>
    <w:rsid w:val="00AC3300"/>
    <w:rsid w:val="00AC41AA"/>
    <w:rsid w:val="00AC50F2"/>
    <w:rsid w:val="00AC6147"/>
    <w:rsid w:val="00AC6261"/>
    <w:rsid w:val="00AC63A4"/>
    <w:rsid w:val="00AC6DDB"/>
    <w:rsid w:val="00AC779C"/>
    <w:rsid w:val="00AD12AC"/>
    <w:rsid w:val="00AD1536"/>
    <w:rsid w:val="00AD1C9E"/>
    <w:rsid w:val="00AD27B4"/>
    <w:rsid w:val="00AD3A95"/>
    <w:rsid w:val="00AD3DB0"/>
    <w:rsid w:val="00AD4519"/>
    <w:rsid w:val="00AD584B"/>
    <w:rsid w:val="00AD5DC0"/>
    <w:rsid w:val="00AD5FD7"/>
    <w:rsid w:val="00AD63D3"/>
    <w:rsid w:val="00AD65BA"/>
    <w:rsid w:val="00AD6B5D"/>
    <w:rsid w:val="00AD7027"/>
    <w:rsid w:val="00AE120E"/>
    <w:rsid w:val="00AE17A1"/>
    <w:rsid w:val="00AE22BE"/>
    <w:rsid w:val="00AE5544"/>
    <w:rsid w:val="00AE6D16"/>
    <w:rsid w:val="00AE6E66"/>
    <w:rsid w:val="00AE70AA"/>
    <w:rsid w:val="00AE73F3"/>
    <w:rsid w:val="00AF0271"/>
    <w:rsid w:val="00AF099F"/>
    <w:rsid w:val="00AF1218"/>
    <w:rsid w:val="00AF12CD"/>
    <w:rsid w:val="00AF190A"/>
    <w:rsid w:val="00AF1BD5"/>
    <w:rsid w:val="00AF1CA0"/>
    <w:rsid w:val="00AF1E89"/>
    <w:rsid w:val="00AF1FFD"/>
    <w:rsid w:val="00AF205D"/>
    <w:rsid w:val="00AF242C"/>
    <w:rsid w:val="00AF3022"/>
    <w:rsid w:val="00AF4235"/>
    <w:rsid w:val="00AF5ED0"/>
    <w:rsid w:val="00AF7DE7"/>
    <w:rsid w:val="00B00085"/>
    <w:rsid w:val="00B00966"/>
    <w:rsid w:val="00B011F2"/>
    <w:rsid w:val="00B0247F"/>
    <w:rsid w:val="00B02A41"/>
    <w:rsid w:val="00B02B0D"/>
    <w:rsid w:val="00B03AF2"/>
    <w:rsid w:val="00B03D11"/>
    <w:rsid w:val="00B049D7"/>
    <w:rsid w:val="00B04A6B"/>
    <w:rsid w:val="00B04F49"/>
    <w:rsid w:val="00B05191"/>
    <w:rsid w:val="00B0527D"/>
    <w:rsid w:val="00B0532B"/>
    <w:rsid w:val="00B05EF9"/>
    <w:rsid w:val="00B06E02"/>
    <w:rsid w:val="00B07348"/>
    <w:rsid w:val="00B100AC"/>
    <w:rsid w:val="00B103A6"/>
    <w:rsid w:val="00B1053E"/>
    <w:rsid w:val="00B10A61"/>
    <w:rsid w:val="00B110AB"/>
    <w:rsid w:val="00B12935"/>
    <w:rsid w:val="00B129B7"/>
    <w:rsid w:val="00B12B2D"/>
    <w:rsid w:val="00B13721"/>
    <w:rsid w:val="00B16262"/>
    <w:rsid w:val="00B16A1D"/>
    <w:rsid w:val="00B16BE0"/>
    <w:rsid w:val="00B16C80"/>
    <w:rsid w:val="00B170A3"/>
    <w:rsid w:val="00B17ADD"/>
    <w:rsid w:val="00B20173"/>
    <w:rsid w:val="00B201FA"/>
    <w:rsid w:val="00B20366"/>
    <w:rsid w:val="00B209F4"/>
    <w:rsid w:val="00B20BB9"/>
    <w:rsid w:val="00B20F01"/>
    <w:rsid w:val="00B2122C"/>
    <w:rsid w:val="00B22D04"/>
    <w:rsid w:val="00B23068"/>
    <w:rsid w:val="00B237FA"/>
    <w:rsid w:val="00B2387C"/>
    <w:rsid w:val="00B23FEF"/>
    <w:rsid w:val="00B24250"/>
    <w:rsid w:val="00B2429A"/>
    <w:rsid w:val="00B24950"/>
    <w:rsid w:val="00B24D9B"/>
    <w:rsid w:val="00B24E45"/>
    <w:rsid w:val="00B24EA2"/>
    <w:rsid w:val="00B2623A"/>
    <w:rsid w:val="00B26519"/>
    <w:rsid w:val="00B26E23"/>
    <w:rsid w:val="00B27B66"/>
    <w:rsid w:val="00B3002A"/>
    <w:rsid w:val="00B30B56"/>
    <w:rsid w:val="00B30D6F"/>
    <w:rsid w:val="00B31322"/>
    <w:rsid w:val="00B31D49"/>
    <w:rsid w:val="00B329C7"/>
    <w:rsid w:val="00B33729"/>
    <w:rsid w:val="00B34F16"/>
    <w:rsid w:val="00B35DC3"/>
    <w:rsid w:val="00B36A14"/>
    <w:rsid w:val="00B3738D"/>
    <w:rsid w:val="00B378BA"/>
    <w:rsid w:val="00B37E10"/>
    <w:rsid w:val="00B37F8A"/>
    <w:rsid w:val="00B40C9B"/>
    <w:rsid w:val="00B40E83"/>
    <w:rsid w:val="00B414B6"/>
    <w:rsid w:val="00B4152F"/>
    <w:rsid w:val="00B418FB"/>
    <w:rsid w:val="00B41A74"/>
    <w:rsid w:val="00B41DDD"/>
    <w:rsid w:val="00B41FED"/>
    <w:rsid w:val="00B42914"/>
    <w:rsid w:val="00B42F86"/>
    <w:rsid w:val="00B432B9"/>
    <w:rsid w:val="00B43A5C"/>
    <w:rsid w:val="00B44C1C"/>
    <w:rsid w:val="00B45C7E"/>
    <w:rsid w:val="00B4647C"/>
    <w:rsid w:val="00B51846"/>
    <w:rsid w:val="00B5197A"/>
    <w:rsid w:val="00B52123"/>
    <w:rsid w:val="00B529DF"/>
    <w:rsid w:val="00B53232"/>
    <w:rsid w:val="00B5559A"/>
    <w:rsid w:val="00B566E2"/>
    <w:rsid w:val="00B573FE"/>
    <w:rsid w:val="00B57DC1"/>
    <w:rsid w:val="00B602EC"/>
    <w:rsid w:val="00B608A3"/>
    <w:rsid w:val="00B6108F"/>
    <w:rsid w:val="00B61869"/>
    <w:rsid w:val="00B61C85"/>
    <w:rsid w:val="00B62756"/>
    <w:rsid w:val="00B63FEA"/>
    <w:rsid w:val="00B64205"/>
    <w:rsid w:val="00B646BF"/>
    <w:rsid w:val="00B654DB"/>
    <w:rsid w:val="00B657E8"/>
    <w:rsid w:val="00B65A2D"/>
    <w:rsid w:val="00B65BBE"/>
    <w:rsid w:val="00B66261"/>
    <w:rsid w:val="00B66672"/>
    <w:rsid w:val="00B669A6"/>
    <w:rsid w:val="00B67B77"/>
    <w:rsid w:val="00B703AF"/>
    <w:rsid w:val="00B708FB"/>
    <w:rsid w:val="00B711C3"/>
    <w:rsid w:val="00B716C8"/>
    <w:rsid w:val="00B72BCF"/>
    <w:rsid w:val="00B72E9D"/>
    <w:rsid w:val="00B73395"/>
    <w:rsid w:val="00B7424D"/>
    <w:rsid w:val="00B74475"/>
    <w:rsid w:val="00B74D9E"/>
    <w:rsid w:val="00B76064"/>
    <w:rsid w:val="00B77876"/>
    <w:rsid w:val="00B80307"/>
    <w:rsid w:val="00B809F2"/>
    <w:rsid w:val="00B81142"/>
    <w:rsid w:val="00B816B8"/>
    <w:rsid w:val="00B82272"/>
    <w:rsid w:val="00B832B4"/>
    <w:rsid w:val="00B834AF"/>
    <w:rsid w:val="00B83D67"/>
    <w:rsid w:val="00B843FE"/>
    <w:rsid w:val="00B84E02"/>
    <w:rsid w:val="00B85F9A"/>
    <w:rsid w:val="00B8608B"/>
    <w:rsid w:val="00B86B13"/>
    <w:rsid w:val="00B87435"/>
    <w:rsid w:val="00B87481"/>
    <w:rsid w:val="00B87995"/>
    <w:rsid w:val="00B906CA"/>
    <w:rsid w:val="00B907BB"/>
    <w:rsid w:val="00B90A20"/>
    <w:rsid w:val="00B90E95"/>
    <w:rsid w:val="00B9144F"/>
    <w:rsid w:val="00B924EC"/>
    <w:rsid w:val="00B93219"/>
    <w:rsid w:val="00B9351A"/>
    <w:rsid w:val="00B93839"/>
    <w:rsid w:val="00B95110"/>
    <w:rsid w:val="00B9621C"/>
    <w:rsid w:val="00B976B5"/>
    <w:rsid w:val="00BA0C6C"/>
    <w:rsid w:val="00BA1B27"/>
    <w:rsid w:val="00BA1E27"/>
    <w:rsid w:val="00BA2285"/>
    <w:rsid w:val="00BA288F"/>
    <w:rsid w:val="00BA28CC"/>
    <w:rsid w:val="00BA2FDE"/>
    <w:rsid w:val="00BA376D"/>
    <w:rsid w:val="00BA5399"/>
    <w:rsid w:val="00BA5F4E"/>
    <w:rsid w:val="00BA5FDD"/>
    <w:rsid w:val="00BA6AD2"/>
    <w:rsid w:val="00BA6B11"/>
    <w:rsid w:val="00BA6D69"/>
    <w:rsid w:val="00BA6F24"/>
    <w:rsid w:val="00BA707E"/>
    <w:rsid w:val="00BA7B75"/>
    <w:rsid w:val="00BA7E6D"/>
    <w:rsid w:val="00BB059C"/>
    <w:rsid w:val="00BB0DAE"/>
    <w:rsid w:val="00BB0DBD"/>
    <w:rsid w:val="00BB0FA6"/>
    <w:rsid w:val="00BB106E"/>
    <w:rsid w:val="00BB11E9"/>
    <w:rsid w:val="00BB14D2"/>
    <w:rsid w:val="00BB1BC3"/>
    <w:rsid w:val="00BB27DB"/>
    <w:rsid w:val="00BB2AD2"/>
    <w:rsid w:val="00BB3D3C"/>
    <w:rsid w:val="00BB45A9"/>
    <w:rsid w:val="00BB4F85"/>
    <w:rsid w:val="00BB55DF"/>
    <w:rsid w:val="00BB76BF"/>
    <w:rsid w:val="00BC2554"/>
    <w:rsid w:val="00BC280E"/>
    <w:rsid w:val="00BC376A"/>
    <w:rsid w:val="00BC392D"/>
    <w:rsid w:val="00BC4CB2"/>
    <w:rsid w:val="00BC6426"/>
    <w:rsid w:val="00BC6B51"/>
    <w:rsid w:val="00BC7265"/>
    <w:rsid w:val="00BD01E6"/>
    <w:rsid w:val="00BD0223"/>
    <w:rsid w:val="00BD0265"/>
    <w:rsid w:val="00BD0C34"/>
    <w:rsid w:val="00BD0DFE"/>
    <w:rsid w:val="00BD174A"/>
    <w:rsid w:val="00BD1F2A"/>
    <w:rsid w:val="00BD209D"/>
    <w:rsid w:val="00BD25FB"/>
    <w:rsid w:val="00BD369D"/>
    <w:rsid w:val="00BD3834"/>
    <w:rsid w:val="00BD3B54"/>
    <w:rsid w:val="00BD3B97"/>
    <w:rsid w:val="00BD3E27"/>
    <w:rsid w:val="00BD462D"/>
    <w:rsid w:val="00BD4784"/>
    <w:rsid w:val="00BD4A93"/>
    <w:rsid w:val="00BD4E44"/>
    <w:rsid w:val="00BD76D4"/>
    <w:rsid w:val="00BE16B2"/>
    <w:rsid w:val="00BE1C49"/>
    <w:rsid w:val="00BE1D66"/>
    <w:rsid w:val="00BE1F9B"/>
    <w:rsid w:val="00BE2100"/>
    <w:rsid w:val="00BE2721"/>
    <w:rsid w:val="00BE3398"/>
    <w:rsid w:val="00BE3676"/>
    <w:rsid w:val="00BE44BE"/>
    <w:rsid w:val="00BE52A7"/>
    <w:rsid w:val="00BE5A27"/>
    <w:rsid w:val="00BE5C73"/>
    <w:rsid w:val="00BE6677"/>
    <w:rsid w:val="00BE7049"/>
    <w:rsid w:val="00BE708F"/>
    <w:rsid w:val="00BE7723"/>
    <w:rsid w:val="00BF10F5"/>
    <w:rsid w:val="00BF1593"/>
    <w:rsid w:val="00BF196E"/>
    <w:rsid w:val="00BF3625"/>
    <w:rsid w:val="00BF3966"/>
    <w:rsid w:val="00BF3A53"/>
    <w:rsid w:val="00BF3B6B"/>
    <w:rsid w:val="00BF41E2"/>
    <w:rsid w:val="00BF466D"/>
    <w:rsid w:val="00BF662F"/>
    <w:rsid w:val="00BF7316"/>
    <w:rsid w:val="00BF7DD9"/>
    <w:rsid w:val="00C0025C"/>
    <w:rsid w:val="00C0099A"/>
    <w:rsid w:val="00C012E6"/>
    <w:rsid w:val="00C024A9"/>
    <w:rsid w:val="00C032BF"/>
    <w:rsid w:val="00C0398A"/>
    <w:rsid w:val="00C04181"/>
    <w:rsid w:val="00C04B0A"/>
    <w:rsid w:val="00C05184"/>
    <w:rsid w:val="00C06F91"/>
    <w:rsid w:val="00C07085"/>
    <w:rsid w:val="00C07293"/>
    <w:rsid w:val="00C07C2B"/>
    <w:rsid w:val="00C1022A"/>
    <w:rsid w:val="00C10F9E"/>
    <w:rsid w:val="00C12A73"/>
    <w:rsid w:val="00C14078"/>
    <w:rsid w:val="00C14CAF"/>
    <w:rsid w:val="00C1518C"/>
    <w:rsid w:val="00C156DF"/>
    <w:rsid w:val="00C15AEF"/>
    <w:rsid w:val="00C16110"/>
    <w:rsid w:val="00C1636B"/>
    <w:rsid w:val="00C17244"/>
    <w:rsid w:val="00C173DC"/>
    <w:rsid w:val="00C17491"/>
    <w:rsid w:val="00C20200"/>
    <w:rsid w:val="00C2042B"/>
    <w:rsid w:val="00C205BF"/>
    <w:rsid w:val="00C20868"/>
    <w:rsid w:val="00C22592"/>
    <w:rsid w:val="00C22672"/>
    <w:rsid w:val="00C22C28"/>
    <w:rsid w:val="00C23B2D"/>
    <w:rsid w:val="00C2406A"/>
    <w:rsid w:val="00C248F3"/>
    <w:rsid w:val="00C25FA5"/>
    <w:rsid w:val="00C26351"/>
    <w:rsid w:val="00C26FED"/>
    <w:rsid w:val="00C27DB0"/>
    <w:rsid w:val="00C304B9"/>
    <w:rsid w:val="00C30D70"/>
    <w:rsid w:val="00C30F29"/>
    <w:rsid w:val="00C31729"/>
    <w:rsid w:val="00C31A7B"/>
    <w:rsid w:val="00C31DA6"/>
    <w:rsid w:val="00C32154"/>
    <w:rsid w:val="00C331F6"/>
    <w:rsid w:val="00C3320C"/>
    <w:rsid w:val="00C33489"/>
    <w:rsid w:val="00C34BD6"/>
    <w:rsid w:val="00C34BF2"/>
    <w:rsid w:val="00C34E44"/>
    <w:rsid w:val="00C35849"/>
    <w:rsid w:val="00C35C17"/>
    <w:rsid w:val="00C36431"/>
    <w:rsid w:val="00C3669A"/>
    <w:rsid w:val="00C370BE"/>
    <w:rsid w:val="00C370E6"/>
    <w:rsid w:val="00C3726E"/>
    <w:rsid w:val="00C3755D"/>
    <w:rsid w:val="00C3796D"/>
    <w:rsid w:val="00C40557"/>
    <w:rsid w:val="00C41F11"/>
    <w:rsid w:val="00C4277C"/>
    <w:rsid w:val="00C42992"/>
    <w:rsid w:val="00C42B66"/>
    <w:rsid w:val="00C4338C"/>
    <w:rsid w:val="00C4395A"/>
    <w:rsid w:val="00C44EEA"/>
    <w:rsid w:val="00C454D3"/>
    <w:rsid w:val="00C50227"/>
    <w:rsid w:val="00C50296"/>
    <w:rsid w:val="00C50631"/>
    <w:rsid w:val="00C50B51"/>
    <w:rsid w:val="00C50B99"/>
    <w:rsid w:val="00C514DD"/>
    <w:rsid w:val="00C522AE"/>
    <w:rsid w:val="00C52B8B"/>
    <w:rsid w:val="00C52C8E"/>
    <w:rsid w:val="00C53B42"/>
    <w:rsid w:val="00C53FE2"/>
    <w:rsid w:val="00C54440"/>
    <w:rsid w:val="00C544EB"/>
    <w:rsid w:val="00C54573"/>
    <w:rsid w:val="00C54FCA"/>
    <w:rsid w:val="00C5705A"/>
    <w:rsid w:val="00C570F8"/>
    <w:rsid w:val="00C5757B"/>
    <w:rsid w:val="00C60682"/>
    <w:rsid w:val="00C61620"/>
    <w:rsid w:val="00C6163A"/>
    <w:rsid w:val="00C61C61"/>
    <w:rsid w:val="00C62849"/>
    <w:rsid w:val="00C63BFF"/>
    <w:rsid w:val="00C652D4"/>
    <w:rsid w:val="00C65416"/>
    <w:rsid w:val="00C65450"/>
    <w:rsid w:val="00C660F5"/>
    <w:rsid w:val="00C66B1D"/>
    <w:rsid w:val="00C66F48"/>
    <w:rsid w:val="00C66F7C"/>
    <w:rsid w:val="00C67DE6"/>
    <w:rsid w:val="00C70992"/>
    <w:rsid w:val="00C70DD2"/>
    <w:rsid w:val="00C70E7B"/>
    <w:rsid w:val="00C70FB7"/>
    <w:rsid w:val="00C71ECC"/>
    <w:rsid w:val="00C72624"/>
    <w:rsid w:val="00C72B02"/>
    <w:rsid w:val="00C73808"/>
    <w:rsid w:val="00C7384F"/>
    <w:rsid w:val="00C73984"/>
    <w:rsid w:val="00C747F6"/>
    <w:rsid w:val="00C74DAC"/>
    <w:rsid w:val="00C75F99"/>
    <w:rsid w:val="00C76712"/>
    <w:rsid w:val="00C77324"/>
    <w:rsid w:val="00C77A13"/>
    <w:rsid w:val="00C80BC1"/>
    <w:rsid w:val="00C80C93"/>
    <w:rsid w:val="00C80F1A"/>
    <w:rsid w:val="00C818E7"/>
    <w:rsid w:val="00C828FC"/>
    <w:rsid w:val="00C82AD3"/>
    <w:rsid w:val="00C83494"/>
    <w:rsid w:val="00C846DA"/>
    <w:rsid w:val="00C853E8"/>
    <w:rsid w:val="00C85452"/>
    <w:rsid w:val="00C860D0"/>
    <w:rsid w:val="00C8701E"/>
    <w:rsid w:val="00C873BC"/>
    <w:rsid w:val="00C87E68"/>
    <w:rsid w:val="00C87F8A"/>
    <w:rsid w:val="00C9048F"/>
    <w:rsid w:val="00C91166"/>
    <w:rsid w:val="00C9192D"/>
    <w:rsid w:val="00C93B71"/>
    <w:rsid w:val="00C956DB"/>
    <w:rsid w:val="00C95C27"/>
    <w:rsid w:val="00C96244"/>
    <w:rsid w:val="00C9678B"/>
    <w:rsid w:val="00C9680B"/>
    <w:rsid w:val="00C96FF7"/>
    <w:rsid w:val="00C977E8"/>
    <w:rsid w:val="00CA0F20"/>
    <w:rsid w:val="00CA17BD"/>
    <w:rsid w:val="00CA1DC5"/>
    <w:rsid w:val="00CA22C4"/>
    <w:rsid w:val="00CA2753"/>
    <w:rsid w:val="00CA2BE7"/>
    <w:rsid w:val="00CA2F18"/>
    <w:rsid w:val="00CA3F79"/>
    <w:rsid w:val="00CA4187"/>
    <w:rsid w:val="00CA41AB"/>
    <w:rsid w:val="00CA46B8"/>
    <w:rsid w:val="00CA4B97"/>
    <w:rsid w:val="00CA4D46"/>
    <w:rsid w:val="00CA5E8D"/>
    <w:rsid w:val="00CA68C9"/>
    <w:rsid w:val="00CA69AE"/>
    <w:rsid w:val="00CA7C01"/>
    <w:rsid w:val="00CA7CA8"/>
    <w:rsid w:val="00CA7EB4"/>
    <w:rsid w:val="00CB0ED7"/>
    <w:rsid w:val="00CB15CA"/>
    <w:rsid w:val="00CB1C7E"/>
    <w:rsid w:val="00CB2E15"/>
    <w:rsid w:val="00CB2E79"/>
    <w:rsid w:val="00CB2FA2"/>
    <w:rsid w:val="00CB39AF"/>
    <w:rsid w:val="00CB3AA1"/>
    <w:rsid w:val="00CB3CB9"/>
    <w:rsid w:val="00CB49E4"/>
    <w:rsid w:val="00CB54D4"/>
    <w:rsid w:val="00CB57A1"/>
    <w:rsid w:val="00CB57D8"/>
    <w:rsid w:val="00CB5A40"/>
    <w:rsid w:val="00CB5EAF"/>
    <w:rsid w:val="00CB7771"/>
    <w:rsid w:val="00CB7FEE"/>
    <w:rsid w:val="00CC0687"/>
    <w:rsid w:val="00CC0B06"/>
    <w:rsid w:val="00CC1E51"/>
    <w:rsid w:val="00CC3186"/>
    <w:rsid w:val="00CC4216"/>
    <w:rsid w:val="00CC449A"/>
    <w:rsid w:val="00CC4BE9"/>
    <w:rsid w:val="00CC4D0E"/>
    <w:rsid w:val="00CC51BE"/>
    <w:rsid w:val="00CC5B57"/>
    <w:rsid w:val="00CC5BFC"/>
    <w:rsid w:val="00CC5F6E"/>
    <w:rsid w:val="00CC75D4"/>
    <w:rsid w:val="00CC79D5"/>
    <w:rsid w:val="00CC7D7B"/>
    <w:rsid w:val="00CD03D6"/>
    <w:rsid w:val="00CD2F95"/>
    <w:rsid w:val="00CD3064"/>
    <w:rsid w:val="00CD3441"/>
    <w:rsid w:val="00CD390B"/>
    <w:rsid w:val="00CD4152"/>
    <w:rsid w:val="00CD46ED"/>
    <w:rsid w:val="00CD4B7F"/>
    <w:rsid w:val="00CD4C41"/>
    <w:rsid w:val="00CD5CE1"/>
    <w:rsid w:val="00CD62FE"/>
    <w:rsid w:val="00CD766B"/>
    <w:rsid w:val="00CD7EB6"/>
    <w:rsid w:val="00CE04DE"/>
    <w:rsid w:val="00CE0E84"/>
    <w:rsid w:val="00CE10B1"/>
    <w:rsid w:val="00CE153D"/>
    <w:rsid w:val="00CE1D7B"/>
    <w:rsid w:val="00CE2118"/>
    <w:rsid w:val="00CE243F"/>
    <w:rsid w:val="00CE3175"/>
    <w:rsid w:val="00CE3293"/>
    <w:rsid w:val="00CE3C6D"/>
    <w:rsid w:val="00CE3C82"/>
    <w:rsid w:val="00CE43B1"/>
    <w:rsid w:val="00CE45DB"/>
    <w:rsid w:val="00CE6D9E"/>
    <w:rsid w:val="00CE794B"/>
    <w:rsid w:val="00CE7C39"/>
    <w:rsid w:val="00CF05EA"/>
    <w:rsid w:val="00CF0FB9"/>
    <w:rsid w:val="00CF248F"/>
    <w:rsid w:val="00CF3522"/>
    <w:rsid w:val="00CF3F37"/>
    <w:rsid w:val="00CF4A46"/>
    <w:rsid w:val="00CF4BD8"/>
    <w:rsid w:val="00CF581A"/>
    <w:rsid w:val="00CF74C0"/>
    <w:rsid w:val="00D013D9"/>
    <w:rsid w:val="00D01E38"/>
    <w:rsid w:val="00D026AB"/>
    <w:rsid w:val="00D0283B"/>
    <w:rsid w:val="00D02ABB"/>
    <w:rsid w:val="00D03BB9"/>
    <w:rsid w:val="00D03D4D"/>
    <w:rsid w:val="00D03F6C"/>
    <w:rsid w:val="00D0415C"/>
    <w:rsid w:val="00D04983"/>
    <w:rsid w:val="00D05778"/>
    <w:rsid w:val="00D070FF"/>
    <w:rsid w:val="00D07D94"/>
    <w:rsid w:val="00D1058E"/>
    <w:rsid w:val="00D12059"/>
    <w:rsid w:val="00D1239D"/>
    <w:rsid w:val="00D125DE"/>
    <w:rsid w:val="00D13777"/>
    <w:rsid w:val="00D13BB6"/>
    <w:rsid w:val="00D1459C"/>
    <w:rsid w:val="00D151F0"/>
    <w:rsid w:val="00D15F8E"/>
    <w:rsid w:val="00D1690E"/>
    <w:rsid w:val="00D17B3F"/>
    <w:rsid w:val="00D219D5"/>
    <w:rsid w:val="00D23513"/>
    <w:rsid w:val="00D24A53"/>
    <w:rsid w:val="00D252B8"/>
    <w:rsid w:val="00D2729A"/>
    <w:rsid w:val="00D27506"/>
    <w:rsid w:val="00D27E6C"/>
    <w:rsid w:val="00D30F5A"/>
    <w:rsid w:val="00D3198D"/>
    <w:rsid w:val="00D32EAB"/>
    <w:rsid w:val="00D3357B"/>
    <w:rsid w:val="00D34338"/>
    <w:rsid w:val="00D35601"/>
    <w:rsid w:val="00D36027"/>
    <w:rsid w:val="00D36337"/>
    <w:rsid w:val="00D36522"/>
    <w:rsid w:val="00D366B7"/>
    <w:rsid w:val="00D367F5"/>
    <w:rsid w:val="00D36C23"/>
    <w:rsid w:val="00D36FB2"/>
    <w:rsid w:val="00D375C7"/>
    <w:rsid w:val="00D40EAF"/>
    <w:rsid w:val="00D411A8"/>
    <w:rsid w:val="00D41B99"/>
    <w:rsid w:val="00D42249"/>
    <w:rsid w:val="00D4244A"/>
    <w:rsid w:val="00D44CC7"/>
    <w:rsid w:val="00D45867"/>
    <w:rsid w:val="00D45CE3"/>
    <w:rsid w:val="00D46157"/>
    <w:rsid w:val="00D4646A"/>
    <w:rsid w:val="00D466A8"/>
    <w:rsid w:val="00D46A18"/>
    <w:rsid w:val="00D46BEF"/>
    <w:rsid w:val="00D47187"/>
    <w:rsid w:val="00D4751A"/>
    <w:rsid w:val="00D50011"/>
    <w:rsid w:val="00D500F2"/>
    <w:rsid w:val="00D5017E"/>
    <w:rsid w:val="00D508E4"/>
    <w:rsid w:val="00D52284"/>
    <w:rsid w:val="00D5322C"/>
    <w:rsid w:val="00D533BF"/>
    <w:rsid w:val="00D53841"/>
    <w:rsid w:val="00D53C05"/>
    <w:rsid w:val="00D546B8"/>
    <w:rsid w:val="00D55294"/>
    <w:rsid w:val="00D56ACF"/>
    <w:rsid w:val="00D57692"/>
    <w:rsid w:val="00D57AF1"/>
    <w:rsid w:val="00D60B43"/>
    <w:rsid w:val="00D614C7"/>
    <w:rsid w:val="00D61E9C"/>
    <w:rsid w:val="00D61F93"/>
    <w:rsid w:val="00D623A8"/>
    <w:rsid w:val="00D62EEF"/>
    <w:rsid w:val="00D6312F"/>
    <w:rsid w:val="00D63D69"/>
    <w:rsid w:val="00D640F2"/>
    <w:rsid w:val="00D642AD"/>
    <w:rsid w:val="00D64A40"/>
    <w:rsid w:val="00D64E02"/>
    <w:rsid w:val="00D654E8"/>
    <w:rsid w:val="00D654FB"/>
    <w:rsid w:val="00D65619"/>
    <w:rsid w:val="00D66C42"/>
    <w:rsid w:val="00D67780"/>
    <w:rsid w:val="00D701C2"/>
    <w:rsid w:val="00D7055C"/>
    <w:rsid w:val="00D7160C"/>
    <w:rsid w:val="00D71741"/>
    <w:rsid w:val="00D71C1F"/>
    <w:rsid w:val="00D71CE6"/>
    <w:rsid w:val="00D727B3"/>
    <w:rsid w:val="00D73210"/>
    <w:rsid w:val="00D73AD4"/>
    <w:rsid w:val="00D74862"/>
    <w:rsid w:val="00D756D2"/>
    <w:rsid w:val="00D75879"/>
    <w:rsid w:val="00D75908"/>
    <w:rsid w:val="00D75ECA"/>
    <w:rsid w:val="00D766A9"/>
    <w:rsid w:val="00D775CD"/>
    <w:rsid w:val="00D8005C"/>
    <w:rsid w:val="00D81003"/>
    <w:rsid w:val="00D81129"/>
    <w:rsid w:val="00D81A7D"/>
    <w:rsid w:val="00D8202C"/>
    <w:rsid w:val="00D82F39"/>
    <w:rsid w:val="00D846D9"/>
    <w:rsid w:val="00D84CF1"/>
    <w:rsid w:val="00D84F1E"/>
    <w:rsid w:val="00D859E0"/>
    <w:rsid w:val="00D85CF7"/>
    <w:rsid w:val="00D863F7"/>
    <w:rsid w:val="00D87974"/>
    <w:rsid w:val="00D87C8F"/>
    <w:rsid w:val="00D9076C"/>
    <w:rsid w:val="00D90F3C"/>
    <w:rsid w:val="00D91686"/>
    <w:rsid w:val="00D9181C"/>
    <w:rsid w:val="00D9191D"/>
    <w:rsid w:val="00D91D95"/>
    <w:rsid w:val="00D91E5A"/>
    <w:rsid w:val="00D92454"/>
    <w:rsid w:val="00D9270B"/>
    <w:rsid w:val="00D927AB"/>
    <w:rsid w:val="00D9329F"/>
    <w:rsid w:val="00D93CB6"/>
    <w:rsid w:val="00D94506"/>
    <w:rsid w:val="00D94C19"/>
    <w:rsid w:val="00D94FA6"/>
    <w:rsid w:val="00D95DD1"/>
    <w:rsid w:val="00D96A20"/>
    <w:rsid w:val="00D97020"/>
    <w:rsid w:val="00DA2813"/>
    <w:rsid w:val="00DA2C32"/>
    <w:rsid w:val="00DA2DF2"/>
    <w:rsid w:val="00DA31ED"/>
    <w:rsid w:val="00DA36B3"/>
    <w:rsid w:val="00DA467B"/>
    <w:rsid w:val="00DA4DDB"/>
    <w:rsid w:val="00DA53B9"/>
    <w:rsid w:val="00DA64C9"/>
    <w:rsid w:val="00DA6B67"/>
    <w:rsid w:val="00DA7371"/>
    <w:rsid w:val="00DA74CE"/>
    <w:rsid w:val="00DA7878"/>
    <w:rsid w:val="00DB0592"/>
    <w:rsid w:val="00DB0B44"/>
    <w:rsid w:val="00DB3023"/>
    <w:rsid w:val="00DB3613"/>
    <w:rsid w:val="00DB3DB1"/>
    <w:rsid w:val="00DB3E6A"/>
    <w:rsid w:val="00DB5712"/>
    <w:rsid w:val="00DB5C0E"/>
    <w:rsid w:val="00DB6379"/>
    <w:rsid w:val="00DB70EE"/>
    <w:rsid w:val="00DB75A4"/>
    <w:rsid w:val="00DB7827"/>
    <w:rsid w:val="00DB7BF9"/>
    <w:rsid w:val="00DC00C7"/>
    <w:rsid w:val="00DC0554"/>
    <w:rsid w:val="00DC07F1"/>
    <w:rsid w:val="00DC1828"/>
    <w:rsid w:val="00DC1A6F"/>
    <w:rsid w:val="00DC2DC5"/>
    <w:rsid w:val="00DC30EA"/>
    <w:rsid w:val="00DC33EC"/>
    <w:rsid w:val="00DC3DE2"/>
    <w:rsid w:val="00DC5B2D"/>
    <w:rsid w:val="00DC70CD"/>
    <w:rsid w:val="00DC7E6F"/>
    <w:rsid w:val="00DD00EA"/>
    <w:rsid w:val="00DD1BD3"/>
    <w:rsid w:val="00DD1EFE"/>
    <w:rsid w:val="00DD20DE"/>
    <w:rsid w:val="00DD3B6A"/>
    <w:rsid w:val="00DD405B"/>
    <w:rsid w:val="00DD4974"/>
    <w:rsid w:val="00DD553E"/>
    <w:rsid w:val="00DD6E0E"/>
    <w:rsid w:val="00DD7C13"/>
    <w:rsid w:val="00DD7C7A"/>
    <w:rsid w:val="00DE037E"/>
    <w:rsid w:val="00DE0759"/>
    <w:rsid w:val="00DE0DFB"/>
    <w:rsid w:val="00DE1550"/>
    <w:rsid w:val="00DE176E"/>
    <w:rsid w:val="00DE1EC9"/>
    <w:rsid w:val="00DE23F2"/>
    <w:rsid w:val="00DE28B1"/>
    <w:rsid w:val="00DE38AA"/>
    <w:rsid w:val="00DE4CB8"/>
    <w:rsid w:val="00DE5A1E"/>
    <w:rsid w:val="00DE5EEE"/>
    <w:rsid w:val="00DE6F95"/>
    <w:rsid w:val="00DE7E8B"/>
    <w:rsid w:val="00DF0745"/>
    <w:rsid w:val="00DF15B6"/>
    <w:rsid w:val="00DF15EC"/>
    <w:rsid w:val="00DF1F85"/>
    <w:rsid w:val="00DF20CE"/>
    <w:rsid w:val="00DF3E3B"/>
    <w:rsid w:val="00DF45FF"/>
    <w:rsid w:val="00DF4CEB"/>
    <w:rsid w:val="00DF79A3"/>
    <w:rsid w:val="00E00282"/>
    <w:rsid w:val="00E0043E"/>
    <w:rsid w:val="00E00A75"/>
    <w:rsid w:val="00E0156F"/>
    <w:rsid w:val="00E01C97"/>
    <w:rsid w:val="00E027C2"/>
    <w:rsid w:val="00E02F4E"/>
    <w:rsid w:val="00E05CBA"/>
    <w:rsid w:val="00E0621A"/>
    <w:rsid w:val="00E06561"/>
    <w:rsid w:val="00E06583"/>
    <w:rsid w:val="00E0766D"/>
    <w:rsid w:val="00E102DD"/>
    <w:rsid w:val="00E10935"/>
    <w:rsid w:val="00E10C1D"/>
    <w:rsid w:val="00E10D76"/>
    <w:rsid w:val="00E12585"/>
    <w:rsid w:val="00E126E5"/>
    <w:rsid w:val="00E14A2C"/>
    <w:rsid w:val="00E15680"/>
    <w:rsid w:val="00E1644C"/>
    <w:rsid w:val="00E16730"/>
    <w:rsid w:val="00E16852"/>
    <w:rsid w:val="00E16DB7"/>
    <w:rsid w:val="00E203ED"/>
    <w:rsid w:val="00E2106E"/>
    <w:rsid w:val="00E21495"/>
    <w:rsid w:val="00E21AD7"/>
    <w:rsid w:val="00E22D0F"/>
    <w:rsid w:val="00E23557"/>
    <w:rsid w:val="00E24B81"/>
    <w:rsid w:val="00E24C2A"/>
    <w:rsid w:val="00E251C3"/>
    <w:rsid w:val="00E25EB1"/>
    <w:rsid w:val="00E264C0"/>
    <w:rsid w:val="00E267AA"/>
    <w:rsid w:val="00E26870"/>
    <w:rsid w:val="00E273E5"/>
    <w:rsid w:val="00E27FB8"/>
    <w:rsid w:val="00E30064"/>
    <w:rsid w:val="00E301E4"/>
    <w:rsid w:val="00E319E0"/>
    <w:rsid w:val="00E32209"/>
    <w:rsid w:val="00E3275C"/>
    <w:rsid w:val="00E327B9"/>
    <w:rsid w:val="00E331E4"/>
    <w:rsid w:val="00E3328F"/>
    <w:rsid w:val="00E3413D"/>
    <w:rsid w:val="00E34633"/>
    <w:rsid w:val="00E34CED"/>
    <w:rsid w:val="00E35CBE"/>
    <w:rsid w:val="00E35DC5"/>
    <w:rsid w:val="00E374E2"/>
    <w:rsid w:val="00E37830"/>
    <w:rsid w:val="00E37F55"/>
    <w:rsid w:val="00E40453"/>
    <w:rsid w:val="00E4059C"/>
    <w:rsid w:val="00E405F0"/>
    <w:rsid w:val="00E40680"/>
    <w:rsid w:val="00E40C1A"/>
    <w:rsid w:val="00E41014"/>
    <w:rsid w:val="00E421F2"/>
    <w:rsid w:val="00E4423D"/>
    <w:rsid w:val="00E449C3"/>
    <w:rsid w:val="00E45020"/>
    <w:rsid w:val="00E4528A"/>
    <w:rsid w:val="00E45C08"/>
    <w:rsid w:val="00E471E6"/>
    <w:rsid w:val="00E47DDE"/>
    <w:rsid w:val="00E50124"/>
    <w:rsid w:val="00E51DD3"/>
    <w:rsid w:val="00E5209E"/>
    <w:rsid w:val="00E5271E"/>
    <w:rsid w:val="00E536C6"/>
    <w:rsid w:val="00E543EE"/>
    <w:rsid w:val="00E54D9C"/>
    <w:rsid w:val="00E55EA3"/>
    <w:rsid w:val="00E55FAC"/>
    <w:rsid w:val="00E56130"/>
    <w:rsid w:val="00E56574"/>
    <w:rsid w:val="00E56D19"/>
    <w:rsid w:val="00E5737A"/>
    <w:rsid w:val="00E57704"/>
    <w:rsid w:val="00E5776E"/>
    <w:rsid w:val="00E57954"/>
    <w:rsid w:val="00E57C07"/>
    <w:rsid w:val="00E57D82"/>
    <w:rsid w:val="00E60D04"/>
    <w:rsid w:val="00E612CC"/>
    <w:rsid w:val="00E62268"/>
    <w:rsid w:val="00E6294C"/>
    <w:rsid w:val="00E63504"/>
    <w:rsid w:val="00E638BA"/>
    <w:rsid w:val="00E64509"/>
    <w:rsid w:val="00E64AAF"/>
    <w:rsid w:val="00E65DDD"/>
    <w:rsid w:val="00E65EFB"/>
    <w:rsid w:val="00E6668F"/>
    <w:rsid w:val="00E666DD"/>
    <w:rsid w:val="00E671F0"/>
    <w:rsid w:val="00E707EA"/>
    <w:rsid w:val="00E712EA"/>
    <w:rsid w:val="00E722A5"/>
    <w:rsid w:val="00E7292C"/>
    <w:rsid w:val="00E740DA"/>
    <w:rsid w:val="00E7455D"/>
    <w:rsid w:val="00E74802"/>
    <w:rsid w:val="00E74B06"/>
    <w:rsid w:val="00E74D9F"/>
    <w:rsid w:val="00E75283"/>
    <w:rsid w:val="00E75D1F"/>
    <w:rsid w:val="00E76625"/>
    <w:rsid w:val="00E76F7A"/>
    <w:rsid w:val="00E775FB"/>
    <w:rsid w:val="00E77687"/>
    <w:rsid w:val="00E77DAA"/>
    <w:rsid w:val="00E8086C"/>
    <w:rsid w:val="00E813F4"/>
    <w:rsid w:val="00E819A8"/>
    <w:rsid w:val="00E826D1"/>
    <w:rsid w:val="00E828CB"/>
    <w:rsid w:val="00E844C3"/>
    <w:rsid w:val="00E85157"/>
    <w:rsid w:val="00E86555"/>
    <w:rsid w:val="00E8695C"/>
    <w:rsid w:val="00E86FEA"/>
    <w:rsid w:val="00E87559"/>
    <w:rsid w:val="00E9006C"/>
    <w:rsid w:val="00E9023B"/>
    <w:rsid w:val="00E9047A"/>
    <w:rsid w:val="00E90609"/>
    <w:rsid w:val="00E913B3"/>
    <w:rsid w:val="00E918B7"/>
    <w:rsid w:val="00E9260C"/>
    <w:rsid w:val="00E9266C"/>
    <w:rsid w:val="00E93EB9"/>
    <w:rsid w:val="00E94DAA"/>
    <w:rsid w:val="00E9526E"/>
    <w:rsid w:val="00E96468"/>
    <w:rsid w:val="00E96F68"/>
    <w:rsid w:val="00E978CC"/>
    <w:rsid w:val="00E97B84"/>
    <w:rsid w:val="00EA0289"/>
    <w:rsid w:val="00EA0FCE"/>
    <w:rsid w:val="00EA18A8"/>
    <w:rsid w:val="00EA2142"/>
    <w:rsid w:val="00EA3749"/>
    <w:rsid w:val="00EA3CF5"/>
    <w:rsid w:val="00EA4BB6"/>
    <w:rsid w:val="00EA59B0"/>
    <w:rsid w:val="00EA6224"/>
    <w:rsid w:val="00EA6D93"/>
    <w:rsid w:val="00EA70F7"/>
    <w:rsid w:val="00EA7446"/>
    <w:rsid w:val="00EB004D"/>
    <w:rsid w:val="00EB0146"/>
    <w:rsid w:val="00EB02C1"/>
    <w:rsid w:val="00EB0322"/>
    <w:rsid w:val="00EB05F5"/>
    <w:rsid w:val="00EB0ACA"/>
    <w:rsid w:val="00EB153B"/>
    <w:rsid w:val="00EB159C"/>
    <w:rsid w:val="00EB1BE8"/>
    <w:rsid w:val="00EB2D5C"/>
    <w:rsid w:val="00EB3802"/>
    <w:rsid w:val="00EB46FA"/>
    <w:rsid w:val="00EB48F6"/>
    <w:rsid w:val="00EB6405"/>
    <w:rsid w:val="00EB6587"/>
    <w:rsid w:val="00EB66AC"/>
    <w:rsid w:val="00EB69B4"/>
    <w:rsid w:val="00EB7059"/>
    <w:rsid w:val="00EB7E38"/>
    <w:rsid w:val="00EC05BA"/>
    <w:rsid w:val="00EC1D75"/>
    <w:rsid w:val="00EC20DA"/>
    <w:rsid w:val="00EC238B"/>
    <w:rsid w:val="00EC3117"/>
    <w:rsid w:val="00EC3329"/>
    <w:rsid w:val="00EC3C44"/>
    <w:rsid w:val="00EC478C"/>
    <w:rsid w:val="00EC7DB0"/>
    <w:rsid w:val="00EC7EDB"/>
    <w:rsid w:val="00ED024A"/>
    <w:rsid w:val="00ED12B0"/>
    <w:rsid w:val="00ED1F83"/>
    <w:rsid w:val="00ED213F"/>
    <w:rsid w:val="00ED2540"/>
    <w:rsid w:val="00ED45E3"/>
    <w:rsid w:val="00ED4783"/>
    <w:rsid w:val="00ED49B3"/>
    <w:rsid w:val="00ED51DE"/>
    <w:rsid w:val="00ED53CB"/>
    <w:rsid w:val="00ED54B4"/>
    <w:rsid w:val="00ED5993"/>
    <w:rsid w:val="00ED5A24"/>
    <w:rsid w:val="00ED6222"/>
    <w:rsid w:val="00ED6F3C"/>
    <w:rsid w:val="00ED74B3"/>
    <w:rsid w:val="00ED79B4"/>
    <w:rsid w:val="00ED7E44"/>
    <w:rsid w:val="00EE0A57"/>
    <w:rsid w:val="00EE1C17"/>
    <w:rsid w:val="00EE1D56"/>
    <w:rsid w:val="00EE235A"/>
    <w:rsid w:val="00EE294E"/>
    <w:rsid w:val="00EE35B8"/>
    <w:rsid w:val="00EE3EC0"/>
    <w:rsid w:val="00EE427C"/>
    <w:rsid w:val="00EE4392"/>
    <w:rsid w:val="00EE4B3F"/>
    <w:rsid w:val="00EE4DCC"/>
    <w:rsid w:val="00EE5425"/>
    <w:rsid w:val="00EE74FC"/>
    <w:rsid w:val="00EE7916"/>
    <w:rsid w:val="00EE793A"/>
    <w:rsid w:val="00EE7C99"/>
    <w:rsid w:val="00EF1392"/>
    <w:rsid w:val="00EF19D9"/>
    <w:rsid w:val="00EF2467"/>
    <w:rsid w:val="00EF4844"/>
    <w:rsid w:val="00EF4853"/>
    <w:rsid w:val="00EF4A5A"/>
    <w:rsid w:val="00EF4E5E"/>
    <w:rsid w:val="00EF5667"/>
    <w:rsid w:val="00EF5D5A"/>
    <w:rsid w:val="00EF6786"/>
    <w:rsid w:val="00EF760F"/>
    <w:rsid w:val="00F00002"/>
    <w:rsid w:val="00F003C1"/>
    <w:rsid w:val="00F00918"/>
    <w:rsid w:val="00F009C1"/>
    <w:rsid w:val="00F00EA8"/>
    <w:rsid w:val="00F01A4D"/>
    <w:rsid w:val="00F01EB1"/>
    <w:rsid w:val="00F021AC"/>
    <w:rsid w:val="00F0223F"/>
    <w:rsid w:val="00F029BC"/>
    <w:rsid w:val="00F036A3"/>
    <w:rsid w:val="00F0373C"/>
    <w:rsid w:val="00F03B42"/>
    <w:rsid w:val="00F05D9F"/>
    <w:rsid w:val="00F06854"/>
    <w:rsid w:val="00F07604"/>
    <w:rsid w:val="00F07613"/>
    <w:rsid w:val="00F0767F"/>
    <w:rsid w:val="00F0785A"/>
    <w:rsid w:val="00F078EC"/>
    <w:rsid w:val="00F07B9B"/>
    <w:rsid w:val="00F07C18"/>
    <w:rsid w:val="00F11356"/>
    <w:rsid w:val="00F11778"/>
    <w:rsid w:val="00F12629"/>
    <w:rsid w:val="00F1308B"/>
    <w:rsid w:val="00F143DE"/>
    <w:rsid w:val="00F1440B"/>
    <w:rsid w:val="00F147E6"/>
    <w:rsid w:val="00F14FD5"/>
    <w:rsid w:val="00F164DE"/>
    <w:rsid w:val="00F16634"/>
    <w:rsid w:val="00F178D2"/>
    <w:rsid w:val="00F17A79"/>
    <w:rsid w:val="00F17C66"/>
    <w:rsid w:val="00F202DD"/>
    <w:rsid w:val="00F20C34"/>
    <w:rsid w:val="00F21609"/>
    <w:rsid w:val="00F21B53"/>
    <w:rsid w:val="00F22343"/>
    <w:rsid w:val="00F226B6"/>
    <w:rsid w:val="00F238EF"/>
    <w:rsid w:val="00F24B8E"/>
    <w:rsid w:val="00F24D6A"/>
    <w:rsid w:val="00F25763"/>
    <w:rsid w:val="00F2594A"/>
    <w:rsid w:val="00F25CA3"/>
    <w:rsid w:val="00F25FC7"/>
    <w:rsid w:val="00F263AD"/>
    <w:rsid w:val="00F264B8"/>
    <w:rsid w:val="00F26D06"/>
    <w:rsid w:val="00F309CA"/>
    <w:rsid w:val="00F30F5D"/>
    <w:rsid w:val="00F31206"/>
    <w:rsid w:val="00F3173A"/>
    <w:rsid w:val="00F31861"/>
    <w:rsid w:val="00F32913"/>
    <w:rsid w:val="00F32A66"/>
    <w:rsid w:val="00F350C6"/>
    <w:rsid w:val="00F378A6"/>
    <w:rsid w:val="00F3796D"/>
    <w:rsid w:val="00F40BE9"/>
    <w:rsid w:val="00F411C1"/>
    <w:rsid w:val="00F4123C"/>
    <w:rsid w:val="00F4131E"/>
    <w:rsid w:val="00F42AC0"/>
    <w:rsid w:val="00F445FF"/>
    <w:rsid w:val="00F451D4"/>
    <w:rsid w:val="00F4541A"/>
    <w:rsid w:val="00F45EDF"/>
    <w:rsid w:val="00F4625D"/>
    <w:rsid w:val="00F4638F"/>
    <w:rsid w:val="00F468E9"/>
    <w:rsid w:val="00F473D8"/>
    <w:rsid w:val="00F47849"/>
    <w:rsid w:val="00F51106"/>
    <w:rsid w:val="00F521AA"/>
    <w:rsid w:val="00F52838"/>
    <w:rsid w:val="00F53B78"/>
    <w:rsid w:val="00F54251"/>
    <w:rsid w:val="00F547A4"/>
    <w:rsid w:val="00F54D38"/>
    <w:rsid w:val="00F55082"/>
    <w:rsid w:val="00F553BF"/>
    <w:rsid w:val="00F55EAA"/>
    <w:rsid w:val="00F5629A"/>
    <w:rsid w:val="00F562A2"/>
    <w:rsid w:val="00F571DB"/>
    <w:rsid w:val="00F572FE"/>
    <w:rsid w:val="00F5774F"/>
    <w:rsid w:val="00F579D5"/>
    <w:rsid w:val="00F57E50"/>
    <w:rsid w:val="00F57F20"/>
    <w:rsid w:val="00F60639"/>
    <w:rsid w:val="00F62348"/>
    <w:rsid w:val="00F625E6"/>
    <w:rsid w:val="00F62FEE"/>
    <w:rsid w:val="00F6367D"/>
    <w:rsid w:val="00F6436A"/>
    <w:rsid w:val="00F6480B"/>
    <w:rsid w:val="00F64B26"/>
    <w:rsid w:val="00F64BC9"/>
    <w:rsid w:val="00F651FB"/>
    <w:rsid w:val="00F66042"/>
    <w:rsid w:val="00F663E4"/>
    <w:rsid w:val="00F66A6E"/>
    <w:rsid w:val="00F66D44"/>
    <w:rsid w:val="00F674DA"/>
    <w:rsid w:val="00F67D3F"/>
    <w:rsid w:val="00F700D8"/>
    <w:rsid w:val="00F708F1"/>
    <w:rsid w:val="00F70FDD"/>
    <w:rsid w:val="00F715E5"/>
    <w:rsid w:val="00F729F1"/>
    <w:rsid w:val="00F72B73"/>
    <w:rsid w:val="00F752A2"/>
    <w:rsid w:val="00F75AC3"/>
    <w:rsid w:val="00F75EF5"/>
    <w:rsid w:val="00F76363"/>
    <w:rsid w:val="00F7685D"/>
    <w:rsid w:val="00F76D4A"/>
    <w:rsid w:val="00F77119"/>
    <w:rsid w:val="00F77E63"/>
    <w:rsid w:val="00F8037E"/>
    <w:rsid w:val="00F803B7"/>
    <w:rsid w:val="00F806C9"/>
    <w:rsid w:val="00F807F7"/>
    <w:rsid w:val="00F816F6"/>
    <w:rsid w:val="00F83A8A"/>
    <w:rsid w:val="00F84A5A"/>
    <w:rsid w:val="00F85B83"/>
    <w:rsid w:val="00F860D8"/>
    <w:rsid w:val="00F86B73"/>
    <w:rsid w:val="00F870BF"/>
    <w:rsid w:val="00F90377"/>
    <w:rsid w:val="00F91D8E"/>
    <w:rsid w:val="00F923B9"/>
    <w:rsid w:val="00F927E3"/>
    <w:rsid w:val="00F934BB"/>
    <w:rsid w:val="00F939B6"/>
    <w:rsid w:val="00F9440D"/>
    <w:rsid w:val="00F94BC8"/>
    <w:rsid w:val="00F9640C"/>
    <w:rsid w:val="00F97BCC"/>
    <w:rsid w:val="00FA057A"/>
    <w:rsid w:val="00FA1A50"/>
    <w:rsid w:val="00FA1D9A"/>
    <w:rsid w:val="00FA1F76"/>
    <w:rsid w:val="00FA26F8"/>
    <w:rsid w:val="00FA276F"/>
    <w:rsid w:val="00FA3509"/>
    <w:rsid w:val="00FA3AE6"/>
    <w:rsid w:val="00FA3E60"/>
    <w:rsid w:val="00FA3EC1"/>
    <w:rsid w:val="00FA40E6"/>
    <w:rsid w:val="00FA49E0"/>
    <w:rsid w:val="00FA5C9E"/>
    <w:rsid w:val="00FA6F3D"/>
    <w:rsid w:val="00FB016A"/>
    <w:rsid w:val="00FB0D77"/>
    <w:rsid w:val="00FB0E86"/>
    <w:rsid w:val="00FB0F89"/>
    <w:rsid w:val="00FB39F2"/>
    <w:rsid w:val="00FB5B5B"/>
    <w:rsid w:val="00FB7A8F"/>
    <w:rsid w:val="00FC01EC"/>
    <w:rsid w:val="00FC1402"/>
    <w:rsid w:val="00FC1B18"/>
    <w:rsid w:val="00FC2295"/>
    <w:rsid w:val="00FC35FA"/>
    <w:rsid w:val="00FC3D4C"/>
    <w:rsid w:val="00FC4846"/>
    <w:rsid w:val="00FC7770"/>
    <w:rsid w:val="00FD0D3F"/>
    <w:rsid w:val="00FD1298"/>
    <w:rsid w:val="00FD277B"/>
    <w:rsid w:val="00FD362E"/>
    <w:rsid w:val="00FD3AEE"/>
    <w:rsid w:val="00FD4281"/>
    <w:rsid w:val="00FD5DF2"/>
    <w:rsid w:val="00FD675A"/>
    <w:rsid w:val="00FD6EA3"/>
    <w:rsid w:val="00FD7514"/>
    <w:rsid w:val="00FE0940"/>
    <w:rsid w:val="00FE0E36"/>
    <w:rsid w:val="00FE28C4"/>
    <w:rsid w:val="00FE34DC"/>
    <w:rsid w:val="00FE354B"/>
    <w:rsid w:val="00FE37E9"/>
    <w:rsid w:val="00FE3D93"/>
    <w:rsid w:val="00FE45BD"/>
    <w:rsid w:val="00FE4D06"/>
    <w:rsid w:val="00FE6632"/>
    <w:rsid w:val="00FE66ED"/>
    <w:rsid w:val="00FE6C64"/>
    <w:rsid w:val="00FE76FA"/>
    <w:rsid w:val="00FE77D3"/>
    <w:rsid w:val="00FF02F7"/>
    <w:rsid w:val="00FF1329"/>
    <w:rsid w:val="00FF1CE1"/>
    <w:rsid w:val="00FF1E0B"/>
    <w:rsid w:val="00FF2021"/>
    <w:rsid w:val="00FF24A7"/>
    <w:rsid w:val="00FF352D"/>
    <w:rsid w:val="00FF396F"/>
    <w:rsid w:val="00FF3AA1"/>
    <w:rsid w:val="00FF537D"/>
    <w:rsid w:val="00FF64E9"/>
    <w:rsid w:val="00FF7965"/>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Hyperlink" w:uiPriority="99"/>
    <w:lsdException w:name="Strong" w:uiPriority="99"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63E15"/>
    <w:rPr>
      <w:sz w:val="24"/>
      <w:szCs w:val="24"/>
      <w:lang w:val="bg-BG"/>
    </w:rPr>
  </w:style>
  <w:style w:type="paragraph" w:styleId="Heading1">
    <w:name w:val="heading 1"/>
    <w:basedOn w:val="Normal"/>
    <w:next w:val="Normal"/>
    <w:qFormat/>
    <w:rsid w:val="00063E15"/>
    <w:pPr>
      <w:keepNext/>
      <w:jc w:val="center"/>
      <w:outlineLvl w:val="0"/>
    </w:pPr>
    <w:rPr>
      <w:b/>
      <w:bCs/>
      <w:sz w:val="28"/>
    </w:rPr>
  </w:style>
  <w:style w:type="paragraph" w:styleId="Heading2">
    <w:name w:val="heading 2"/>
    <w:basedOn w:val="Normal"/>
    <w:next w:val="Normal"/>
    <w:qFormat/>
    <w:rsid w:val="00C26FE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6239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63E15"/>
    <w:pPr>
      <w:jc w:val="center"/>
    </w:pPr>
    <w:rPr>
      <w:b/>
      <w:szCs w:val="20"/>
    </w:rPr>
  </w:style>
  <w:style w:type="paragraph" w:customStyle="1" w:styleId="ParagraphNumbering">
    <w:name w:val="Paragraph Numbering"/>
    <w:basedOn w:val="Normal"/>
    <w:rsid w:val="0028159B"/>
    <w:pPr>
      <w:numPr>
        <w:numId w:val="1"/>
      </w:numPr>
      <w:spacing w:after="240"/>
    </w:pPr>
    <w:rPr>
      <w:lang w:val="en-US"/>
    </w:rPr>
  </w:style>
  <w:style w:type="paragraph" w:styleId="FootnoteText">
    <w:name w:val="footnote text"/>
    <w:aliases w:val="Fußnotentext arial"/>
    <w:basedOn w:val="Normal"/>
    <w:link w:val="FootnoteTextChar"/>
    <w:semiHidden/>
    <w:rsid w:val="003459AC"/>
    <w:rPr>
      <w:sz w:val="20"/>
      <w:szCs w:val="20"/>
      <w:lang w:val="en-US"/>
    </w:rPr>
  </w:style>
  <w:style w:type="character" w:styleId="FootnoteReference">
    <w:name w:val="footnote reference"/>
    <w:aliases w:val="Footnote,Footnote symbol,SUPERS,BVI fnr,Footnote reference number,Times 10 Point,Exposant 3 Point,Ref,de nota al pie,note TESI,EN Footnote text,EN Footnote Reference,Footnote Reference Number,E FNZ,Appel note de bas de p,Nota,BVI fnr1"/>
    <w:rsid w:val="003459AC"/>
    <w:rPr>
      <w:vertAlign w:val="superscript"/>
    </w:rPr>
  </w:style>
  <w:style w:type="paragraph" w:styleId="BodyText">
    <w:name w:val="Body Text"/>
    <w:basedOn w:val="Normal"/>
    <w:link w:val="BodyTextChar"/>
    <w:rsid w:val="003459AC"/>
    <w:pPr>
      <w:jc w:val="both"/>
    </w:pPr>
  </w:style>
  <w:style w:type="paragraph" w:styleId="BodyTextIndent">
    <w:name w:val="Body Text Indent"/>
    <w:basedOn w:val="Normal"/>
    <w:link w:val="BodyTextIndentChar"/>
    <w:uiPriority w:val="99"/>
    <w:rsid w:val="003459AC"/>
    <w:pPr>
      <w:spacing w:after="120"/>
      <w:ind w:left="283"/>
    </w:pPr>
  </w:style>
  <w:style w:type="paragraph" w:styleId="BodyText2">
    <w:name w:val="Body Text 2"/>
    <w:basedOn w:val="Normal"/>
    <w:link w:val="BodyText2Char"/>
    <w:rsid w:val="003459AC"/>
    <w:pPr>
      <w:spacing w:after="120" w:line="480" w:lineRule="auto"/>
    </w:pPr>
  </w:style>
  <w:style w:type="paragraph" w:styleId="BlockText">
    <w:name w:val="Block Text"/>
    <w:basedOn w:val="Normal"/>
    <w:rsid w:val="003459AC"/>
    <w:pPr>
      <w:ind w:left="720" w:right="1106"/>
    </w:pPr>
    <w:rPr>
      <w:b/>
      <w:bCs/>
    </w:rPr>
  </w:style>
  <w:style w:type="table" w:styleId="TableGrid">
    <w:name w:val="Table Grid"/>
    <w:basedOn w:val="TableNormal"/>
    <w:rsid w:val="003459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Header Char,Header Char1 Char,Header Char Char Char,Header Char3 Char Char Char,Header Char1 Char Char Char Char1 Char,Header Char Char Char Char Char Char1 Char,Header Char2 Char1 Char Char Char"/>
    <w:basedOn w:val="Normal"/>
    <w:link w:val="HeaderChar1"/>
    <w:rsid w:val="001D40DA"/>
    <w:pPr>
      <w:tabs>
        <w:tab w:val="center" w:pos="4153"/>
        <w:tab w:val="right" w:pos="8306"/>
      </w:tabs>
    </w:pPr>
    <w:rPr>
      <w:lang w:eastAsia="bg-BG"/>
    </w:rPr>
  </w:style>
  <w:style w:type="paragraph" w:styleId="BodyText3">
    <w:name w:val="Body Text 3"/>
    <w:basedOn w:val="Normal"/>
    <w:rsid w:val="00262391"/>
    <w:pPr>
      <w:spacing w:after="120"/>
    </w:pPr>
    <w:rPr>
      <w:sz w:val="16"/>
      <w:szCs w:val="16"/>
    </w:rPr>
  </w:style>
  <w:style w:type="paragraph" w:styleId="Footer">
    <w:name w:val="footer"/>
    <w:basedOn w:val="Normal"/>
    <w:rsid w:val="00A74112"/>
    <w:pPr>
      <w:tabs>
        <w:tab w:val="center" w:pos="4536"/>
        <w:tab w:val="right" w:pos="9072"/>
      </w:tabs>
    </w:pPr>
  </w:style>
  <w:style w:type="character" w:styleId="PageNumber">
    <w:name w:val="page number"/>
    <w:basedOn w:val="DefaultParagraphFont"/>
    <w:rsid w:val="00A74112"/>
  </w:style>
  <w:style w:type="paragraph" w:customStyle="1" w:styleId="CharChar3CharChar">
    <w:name w:val="Char Char3 Char Char"/>
    <w:basedOn w:val="Normal"/>
    <w:semiHidden/>
    <w:rsid w:val="00EE4B3F"/>
    <w:pPr>
      <w:tabs>
        <w:tab w:val="left" w:pos="709"/>
      </w:tabs>
    </w:pPr>
    <w:rPr>
      <w:rFonts w:ascii="Futura Bk" w:hAnsi="Futura Bk"/>
      <w:lang w:val="pl-PL" w:eastAsia="pl-PL"/>
    </w:rPr>
  </w:style>
  <w:style w:type="paragraph" w:customStyle="1" w:styleId="CharCharCharChar">
    <w:name w:val="Char Char Char Char"/>
    <w:basedOn w:val="Normal"/>
    <w:rsid w:val="00A14560"/>
    <w:pPr>
      <w:spacing w:after="160" w:line="240" w:lineRule="exact"/>
    </w:pPr>
    <w:rPr>
      <w:rFonts w:ascii="Tahoma" w:hAnsi="Tahoma"/>
      <w:sz w:val="20"/>
      <w:szCs w:val="20"/>
      <w:lang w:val="en-US"/>
    </w:rPr>
  </w:style>
  <w:style w:type="paragraph" w:styleId="BodyTextIndent2">
    <w:name w:val="Body Text Indent 2"/>
    <w:basedOn w:val="Normal"/>
    <w:rsid w:val="00C32154"/>
    <w:pPr>
      <w:spacing w:after="120" w:line="480" w:lineRule="auto"/>
      <w:ind w:left="283"/>
    </w:pPr>
  </w:style>
  <w:style w:type="paragraph" w:styleId="BalloonText">
    <w:name w:val="Balloon Text"/>
    <w:basedOn w:val="Normal"/>
    <w:link w:val="BalloonTextChar"/>
    <w:semiHidden/>
    <w:rsid w:val="00144BF2"/>
    <w:rPr>
      <w:rFonts w:ascii="Tahoma" w:hAnsi="Tahoma" w:cs="Tahoma"/>
      <w:sz w:val="16"/>
      <w:szCs w:val="16"/>
    </w:rPr>
  </w:style>
  <w:style w:type="paragraph" w:styleId="EndnoteText">
    <w:name w:val="endnote text"/>
    <w:basedOn w:val="Normal"/>
    <w:semiHidden/>
    <w:rsid w:val="00F870BF"/>
    <w:rPr>
      <w:sz w:val="20"/>
      <w:szCs w:val="20"/>
    </w:rPr>
  </w:style>
  <w:style w:type="character" w:styleId="EndnoteReference">
    <w:name w:val="endnote reference"/>
    <w:semiHidden/>
    <w:rsid w:val="00F870BF"/>
    <w:rPr>
      <w:vertAlign w:val="superscript"/>
    </w:rPr>
  </w:style>
  <w:style w:type="character" w:styleId="CommentReference">
    <w:name w:val="annotation reference"/>
    <w:semiHidden/>
    <w:rsid w:val="00A252C3"/>
    <w:rPr>
      <w:sz w:val="16"/>
      <w:szCs w:val="16"/>
    </w:rPr>
  </w:style>
  <w:style w:type="paragraph" w:styleId="CommentText">
    <w:name w:val="annotation text"/>
    <w:basedOn w:val="Normal"/>
    <w:link w:val="CommentTextChar"/>
    <w:semiHidden/>
    <w:rsid w:val="00A252C3"/>
    <w:rPr>
      <w:sz w:val="20"/>
      <w:szCs w:val="20"/>
    </w:rPr>
  </w:style>
  <w:style w:type="character" w:customStyle="1" w:styleId="HeaderChar1">
    <w:name w:val="Header Char1"/>
    <w:aliases w:val="Header Char Char,Header Char1 Char Char,Header Char Char Char Char,Header Char3 Char Char Char Char,Header Char1 Char Char Char Char1 Char Char,Header Char Char Char Char Char Char1 Char Char,Header Char2 Char1 Char Char Char Char"/>
    <w:link w:val="Header"/>
    <w:rsid w:val="00166023"/>
    <w:rPr>
      <w:sz w:val="24"/>
      <w:szCs w:val="24"/>
      <w:lang w:val="bg-BG" w:eastAsia="bg-BG" w:bidi="ar-SA"/>
    </w:rPr>
  </w:style>
  <w:style w:type="paragraph" w:customStyle="1" w:styleId="Char1">
    <w:name w:val="Char1"/>
    <w:basedOn w:val="Normal"/>
    <w:semiHidden/>
    <w:rsid w:val="008138E4"/>
    <w:pPr>
      <w:tabs>
        <w:tab w:val="left" w:pos="709"/>
      </w:tabs>
    </w:pPr>
    <w:rPr>
      <w:rFonts w:ascii="Futura Bk" w:hAnsi="Futura Bk"/>
      <w:lang w:val="pl-PL" w:eastAsia="pl-PL"/>
    </w:rPr>
  </w:style>
  <w:style w:type="paragraph" w:customStyle="1" w:styleId="default">
    <w:name w:val="default"/>
    <w:basedOn w:val="Normal"/>
    <w:rsid w:val="003C14B1"/>
    <w:pPr>
      <w:spacing w:before="100" w:beforeAutospacing="1" w:after="100" w:afterAutospacing="1"/>
    </w:pPr>
    <w:rPr>
      <w:lang w:eastAsia="bg-BG"/>
    </w:rPr>
  </w:style>
  <w:style w:type="character" w:styleId="Strong">
    <w:name w:val="Strong"/>
    <w:uiPriority w:val="99"/>
    <w:qFormat/>
    <w:rsid w:val="003E37A0"/>
    <w:rPr>
      <w:b/>
      <w:bCs/>
    </w:rPr>
  </w:style>
  <w:style w:type="character" w:customStyle="1" w:styleId="BalloonTextChar">
    <w:name w:val="Balloon Text Char"/>
    <w:link w:val="BalloonText"/>
    <w:semiHidden/>
    <w:locked/>
    <w:rsid w:val="00DD1EFE"/>
    <w:rPr>
      <w:rFonts w:ascii="Tahoma" w:hAnsi="Tahoma" w:cs="Tahoma"/>
      <w:sz w:val="16"/>
      <w:szCs w:val="16"/>
      <w:lang w:val="en-GB" w:eastAsia="en-US" w:bidi="ar-SA"/>
    </w:rPr>
  </w:style>
  <w:style w:type="paragraph" w:customStyle="1" w:styleId="Default0">
    <w:name w:val="Default"/>
    <w:rsid w:val="00DD1EFE"/>
    <w:pPr>
      <w:autoSpaceDE w:val="0"/>
      <w:autoSpaceDN w:val="0"/>
      <w:adjustRightInd w:val="0"/>
    </w:pPr>
    <w:rPr>
      <w:rFonts w:ascii="Calibri" w:hAnsi="Calibri" w:cs="Calibri"/>
      <w:color w:val="000000"/>
      <w:sz w:val="24"/>
      <w:szCs w:val="24"/>
      <w:lang w:val="bg-BG"/>
    </w:rPr>
  </w:style>
  <w:style w:type="character" w:customStyle="1" w:styleId="FootnoteTextChar">
    <w:name w:val="Footnote Text Char"/>
    <w:aliases w:val="Fußnotentext arial Char"/>
    <w:link w:val="FootnoteText"/>
    <w:rsid w:val="009A3FA1"/>
    <w:rPr>
      <w:lang w:val="en-US" w:eastAsia="en-US" w:bidi="ar-SA"/>
    </w:rPr>
  </w:style>
  <w:style w:type="paragraph" w:customStyle="1" w:styleId="CharCharCharChar1">
    <w:name w:val="Char Char Char Char1"/>
    <w:basedOn w:val="Normal"/>
    <w:semiHidden/>
    <w:rsid w:val="00B20BB9"/>
    <w:pPr>
      <w:tabs>
        <w:tab w:val="left" w:pos="709"/>
      </w:tabs>
    </w:pPr>
    <w:rPr>
      <w:rFonts w:ascii="Futura Bk" w:hAnsi="Futura Bk"/>
      <w:lang w:val="pl-PL" w:eastAsia="pl-PL"/>
    </w:rPr>
  </w:style>
  <w:style w:type="character" w:customStyle="1" w:styleId="BodyText2Char">
    <w:name w:val="Body Text 2 Char"/>
    <w:link w:val="BodyText2"/>
    <w:locked/>
    <w:rsid w:val="002D5811"/>
    <w:rPr>
      <w:sz w:val="24"/>
      <w:szCs w:val="24"/>
      <w:lang w:val="en-GB" w:eastAsia="en-US" w:bidi="ar-SA"/>
    </w:rPr>
  </w:style>
  <w:style w:type="character" w:styleId="Hyperlink">
    <w:name w:val="Hyperlink"/>
    <w:uiPriority w:val="99"/>
    <w:unhideWhenUsed/>
    <w:rsid w:val="00231385"/>
    <w:rPr>
      <w:strike w:val="0"/>
      <w:dstrike w:val="0"/>
      <w:color w:val="004A8F"/>
      <w:u w:val="none"/>
      <w:effect w:val="none"/>
    </w:rPr>
  </w:style>
  <w:style w:type="paragraph" w:styleId="NormalWeb">
    <w:name w:val="Normal (Web)"/>
    <w:basedOn w:val="Normal"/>
    <w:uiPriority w:val="99"/>
    <w:unhideWhenUsed/>
    <w:rsid w:val="00231385"/>
    <w:pPr>
      <w:spacing w:before="100" w:beforeAutospacing="1" w:after="100" w:afterAutospacing="1" w:line="312" w:lineRule="atLeast"/>
      <w:jc w:val="both"/>
    </w:pPr>
    <w:rPr>
      <w:lang w:val="en-US"/>
    </w:rPr>
  </w:style>
  <w:style w:type="character" w:customStyle="1" w:styleId="ala13">
    <w:name w:val="al_a13"/>
    <w:uiPriority w:val="99"/>
    <w:rsid w:val="00B7424D"/>
  </w:style>
  <w:style w:type="paragraph" w:styleId="ListParagraph">
    <w:name w:val="List Paragraph"/>
    <w:basedOn w:val="Normal"/>
    <w:uiPriority w:val="99"/>
    <w:qFormat/>
    <w:rsid w:val="00C818E7"/>
    <w:pPr>
      <w:spacing w:after="120" w:line="360" w:lineRule="auto"/>
      <w:ind w:left="720" w:firstLine="720"/>
      <w:contextualSpacing/>
      <w:jc w:val="both"/>
    </w:pPr>
    <w:rPr>
      <w:rFonts w:ascii="Arial" w:hAnsi="Arial"/>
      <w:szCs w:val="20"/>
    </w:rPr>
  </w:style>
  <w:style w:type="paragraph" w:customStyle="1" w:styleId="CharChar3">
    <w:name w:val="Char Char3"/>
    <w:basedOn w:val="Normal"/>
    <w:semiHidden/>
    <w:rsid w:val="009269F4"/>
    <w:pPr>
      <w:tabs>
        <w:tab w:val="left" w:pos="709"/>
      </w:tabs>
    </w:pPr>
    <w:rPr>
      <w:rFonts w:ascii="Futura Bk" w:hAnsi="Futura Bk"/>
      <w:lang w:val="pl-PL" w:eastAsia="pl-PL"/>
    </w:rPr>
  </w:style>
  <w:style w:type="character" w:customStyle="1" w:styleId="BodyTextIndentChar">
    <w:name w:val="Body Text Indent Char"/>
    <w:link w:val="BodyTextIndent"/>
    <w:uiPriority w:val="99"/>
    <w:locked/>
    <w:rsid w:val="00DA31ED"/>
    <w:rPr>
      <w:sz w:val="24"/>
      <w:szCs w:val="24"/>
      <w:lang w:val="bg-BG"/>
    </w:rPr>
  </w:style>
  <w:style w:type="paragraph" w:customStyle="1" w:styleId="NormalFirstline">
    <w:name w:val="Normal + First line"/>
    <w:aliases w:val="1.25 cm,After 6 pt"/>
    <w:basedOn w:val="Normal"/>
    <w:rsid w:val="00BD3B54"/>
    <w:rPr>
      <w:sz w:val="20"/>
      <w:szCs w:val="20"/>
    </w:rPr>
  </w:style>
  <w:style w:type="paragraph" w:styleId="CommentSubject">
    <w:name w:val="annotation subject"/>
    <w:basedOn w:val="CommentText"/>
    <w:next w:val="CommentText"/>
    <w:link w:val="CommentSubjectChar"/>
    <w:semiHidden/>
    <w:rsid w:val="00381745"/>
    <w:rPr>
      <w:b/>
      <w:bCs/>
    </w:rPr>
  </w:style>
  <w:style w:type="character" w:customStyle="1" w:styleId="CommentTextChar">
    <w:name w:val="Comment Text Char"/>
    <w:link w:val="CommentText"/>
    <w:semiHidden/>
    <w:rsid w:val="009F38CE"/>
    <w:rPr>
      <w:lang w:eastAsia="en-US"/>
    </w:rPr>
  </w:style>
  <w:style w:type="character" w:customStyle="1" w:styleId="CommentSubjectChar">
    <w:name w:val="Comment Subject Char"/>
    <w:link w:val="CommentSubject"/>
    <w:semiHidden/>
    <w:rsid w:val="009F38CE"/>
    <w:rPr>
      <w:b/>
      <w:bCs/>
      <w:lang w:eastAsia="en-US"/>
    </w:rPr>
  </w:style>
  <w:style w:type="character" w:customStyle="1" w:styleId="TitleChar">
    <w:name w:val="Title Char"/>
    <w:link w:val="Title"/>
    <w:rsid w:val="00C1518C"/>
    <w:rPr>
      <w:b/>
      <w:sz w:val="24"/>
      <w:lang w:eastAsia="en-US"/>
    </w:rPr>
  </w:style>
  <w:style w:type="character" w:customStyle="1" w:styleId="BodyTextChar">
    <w:name w:val="Body Text Char"/>
    <w:link w:val="BodyText"/>
    <w:rsid w:val="00A10AC7"/>
    <w:rPr>
      <w:sz w:val="24"/>
      <w:szCs w:val="24"/>
      <w:lang w:val="bg-BG"/>
    </w:rPr>
  </w:style>
  <w:style w:type="paragraph" w:styleId="Revision">
    <w:name w:val="Revision"/>
    <w:hidden/>
    <w:uiPriority w:val="99"/>
    <w:semiHidden/>
    <w:rsid w:val="00F32913"/>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0982">
      <w:bodyDiv w:val="1"/>
      <w:marLeft w:val="0"/>
      <w:marRight w:val="0"/>
      <w:marTop w:val="0"/>
      <w:marBottom w:val="0"/>
      <w:divBdr>
        <w:top w:val="none" w:sz="0" w:space="0" w:color="auto"/>
        <w:left w:val="none" w:sz="0" w:space="0" w:color="auto"/>
        <w:bottom w:val="none" w:sz="0" w:space="0" w:color="auto"/>
        <w:right w:val="none" w:sz="0" w:space="0" w:color="auto"/>
      </w:divBdr>
    </w:div>
    <w:div w:id="488985167">
      <w:bodyDiv w:val="1"/>
      <w:marLeft w:val="0"/>
      <w:marRight w:val="0"/>
      <w:marTop w:val="0"/>
      <w:marBottom w:val="0"/>
      <w:divBdr>
        <w:top w:val="none" w:sz="0" w:space="0" w:color="auto"/>
        <w:left w:val="none" w:sz="0" w:space="0" w:color="auto"/>
        <w:bottom w:val="none" w:sz="0" w:space="0" w:color="auto"/>
        <w:right w:val="none" w:sz="0" w:space="0" w:color="auto"/>
      </w:divBdr>
    </w:div>
    <w:div w:id="567035072">
      <w:bodyDiv w:val="1"/>
      <w:marLeft w:val="0"/>
      <w:marRight w:val="0"/>
      <w:marTop w:val="0"/>
      <w:marBottom w:val="0"/>
      <w:divBdr>
        <w:top w:val="none" w:sz="0" w:space="0" w:color="auto"/>
        <w:left w:val="none" w:sz="0" w:space="0" w:color="auto"/>
        <w:bottom w:val="none" w:sz="0" w:space="0" w:color="auto"/>
        <w:right w:val="none" w:sz="0" w:space="0" w:color="auto"/>
      </w:divBdr>
      <w:divsChild>
        <w:div w:id="1294481459">
          <w:marLeft w:val="0"/>
          <w:marRight w:val="0"/>
          <w:marTop w:val="0"/>
          <w:marBottom w:val="0"/>
          <w:divBdr>
            <w:top w:val="none" w:sz="0" w:space="0" w:color="auto"/>
            <w:left w:val="none" w:sz="0" w:space="0" w:color="auto"/>
            <w:bottom w:val="none" w:sz="0" w:space="0" w:color="auto"/>
            <w:right w:val="none" w:sz="0" w:space="0" w:color="auto"/>
          </w:divBdr>
        </w:div>
      </w:divsChild>
    </w:div>
    <w:div w:id="769817748">
      <w:bodyDiv w:val="1"/>
      <w:marLeft w:val="0"/>
      <w:marRight w:val="0"/>
      <w:marTop w:val="0"/>
      <w:marBottom w:val="0"/>
      <w:divBdr>
        <w:top w:val="none" w:sz="0" w:space="0" w:color="auto"/>
        <w:left w:val="none" w:sz="0" w:space="0" w:color="auto"/>
        <w:bottom w:val="none" w:sz="0" w:space="0" w:color="auto"/>
        <w:right w:val="none" w:sz="0" w:space="0" w:color="auto"/>
      </w:divBdr>
    </w:div>
    <w:div w:id="1228757899">
      <w:bodyDiv w:val="1"/>
      <w:marLeft w:val="0"/>
      <w:marRight w:val="0"/>
      <w:marTop w:val="0"/>
      <w:marBottom w:val="0"/>
      <w:divBdr>
        <w:top w:val="none" w:sz="0" w:space="0" w:color="auto"/>
        <w:left w:val="none" w:sz="0" w:space="0" w:color="auto"/>
        <w:bottom w:val="none" w:sz="0" w:space="0" w:color="auto"/>
        <w:right w:val="none" w:sz="0" w:space="0" w:color="auto"/>
      </w:divBdr>
      <w:divsChild>
        <w:div w:id="1764762949">
          <w:marLeft w:val="0"/>
          <w:marRight w:val="0"/>
          <w:marTop w:val="0"/>
          <w:marBottom w:val="0"/>
          <w:divBdr>
            <w:top w:val="none" w:sz="0" w:space="0" w:color="auto"/>
            <w:left w:val="none" w:sz="0" w:space="0" w:color="auto"/>
            <w:bottom w:val="none" w:sz="0" w:space="0" w:color="auto"/>
            <w:right w:val="none" w:sz="0" w:space="0" w:color="auto"/>
          </w:divBdr>
          <w:divsChild>
            <w:div w:id="1689597285">
              <w:marLeft w:val="0"/>
              <w:marRight w:val="0"/>
              <w:marTop w:val="0"/>
              <w:marBottom w:val="0"/>
              <w:divBdr>
                <w:top w:val="none" w:sz="0" w:space="0" w:color="auto"/>
                <w:left w:val="none" w:sz="0" w:space="0" w:color="auto"/>
                <w:bottom w:val="none" w:sz="0" w:space="0" w:color="auto"/>
                <w:right w:val="none" w:sz="0" w:space="0" w:color="auto"/>
              </w:divBdr>
              <w:divsChild>
                <w:div w:id="754782278">
                  <w:marLeft w:val="0"/>
                  <w:marRight w:val="0"/>
                  <w:marTop w:val="0"/>
                  <w:marBottom w:val="0"/>
                  <w:divBdr>
                    <w:top w:val="none" w:sz="0" w:space="0" w:color="auto"/>
                    <w:left w:val="none" w:sz="0" w:space="0" w:color="auto"/>
                    <w:bottom w:val="none" w:sz="0" w:space="0" w:color="auto"/>
                    <w:right w:val="none" w:sz="0" w:space="0" w:color="auto"/>
                  </w:divBdr>
                  <w:divsChild>
                    <w:div w:id="209709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555913">
      <w:bodyDiv w:val="1"/>
      <w:marLeft w:val="0"/>
      <w:marRight w:val="0"/>
      <w:marTop w:val="0"/>
      <w:marBottom w:val="0"/>
      <w:divBdr>
        <w:top w:val="none" w:sz="0" w:space="0" w:color="auto"/>
        <w:left w:val="none" w:sz="0" w:space="0" w:color="auto"/>
        <w:bottom w:val="none" w:sz="0" w:space="0" w:color="auto"/>
        <w:right w:val="none" w:sz="0" w:space="0" w:color="auto"/>
      </w:divBdr>
      <w:divsChild>
        <w:div w:id="1132287915">
          <w:marLeft w:val="240"/>
          <w:marRight w:val="240"/>
          <w:marTop w:val="0"/>
          <w:marBottom w:val="0"/>
          <w:divBdr>
            <w:top w:val="none" w:sz="0" w:space="0" w:color="auto"/>
            <w:left w:val="none" w:sz="0" w:space="0" w:color="auto"/>
            <w:bottom w:val="none" w:sz="0" w:space="0" w:color="auto"/>
            <w:right w:val="none" w:sz="0" w:space="0" w:color="auto"/>
          </w:divBdr>
          <w:divsChild>
            <w:div w:id="2001541574">
              <w:marLeft w:val="0"/>
              <w:marRight w:val="0"/>
              <w:marTop w:val="0"/>
              <w:marBottom w:val="120"/>
              <w:divBdr>
                <w:top w:val="none" w:sz="0" w:space="0" w:color="auto"/>
                <w:left w:val="none" w:sz="0" w:space="0" w:color="auto"/>
                <w:bottom w:val="single" w:sz="6" w:space="0" w:color="A7A9AC"/>
                <w:right w:val="none" w:sz="0" w:space="0" w:color="auto"/>
              </w:divBdr>
            </w:div>
          </w:divsChild>
        </w:div>
      </w:divsChild>
    </w:div>
    <w:div w:id="1334607600">
      <w:bodyDiv w:val="1"/>
      <w:marLeft w:val="0"/>
      <w:marRight w:val="0"/>
      <w:marTop w:val="0"/>
      <w:marBottom w:val="0"/>
      <w:divBdr>
        <w:top w:val="none" w:sz="0" w:space="0" w:color="auto"/>
        <w:left w:val="none" w:sz="0" w:space="0" w:color="auto"/>
        <w:bottom w:val="none" w:sz="0" w:space="0" w:color="auto"/>
        <w:right w:val="none" w:sz="0" w:space="0" w:color="auto"/>
      </w:divBdr>
    </w:div>
    <w:div w:id="1640960128">
      <w:bodyDiv w:val="1"/>
      <w:marLeft w:val="0"/>
      <w:marRight w:val="0"/>
      <w:marTop w:val="0"/>
      <w:marBottom w:val="0"/>
      <w:divBdr>
        <w:top w:val="none" w:sz="0" w:space="0" w:color="auto"/>
        <w:left w:val="none" w:sz="0" w:space="0" w:color="auto"/>
        <w:bottom w:val="none" w:sz="0" w:space="0" w:color="auto"/>
        <w:right w:val="none" w:sz="0" w:space="0" w:color="auto"/>
      </w:divBdr>
    </w:div>
    <w:div w:id="1752582637">
      <w:bodyDiv w:val="1"/>
      <w:marLeft w:val="0"/>
      <w:marRight w:val="0"/>
      <w:marTop w:val="0"/>
      <w:marBottom w:val="0"/>
      <w:divBdr>
        <w:top w:val="none" w:sz="0" w:space="0" w:color="auto"/>
        <w:left w:val="none" w:sz="0" w:space="0" w:color="auto"/>
        <w:bottom w:val="none" w:sz="0" w:space="0" w:color="auto"/>
        <w:right w:val="none" w:sz="0" w:space="0" w:color="auto"/>
      </w:divBdr>
    </w:div>
    <w:div w:id="1929189253">
      <w:bodyDiv w:val="1"/>
      <w:marLeft w:val="0"/>
      <w:marRight w:val="0"/>
      <w:marTop w:val="0"/>
      <w:marBottom w:val="0"/>
      <w:divBdr>
        <w:top w:val="none" w:sz="0" w:space="0" w:color="auto"/>
        <w:left w:val="none" w:sz="0" w:space="0" w:color="auto"/>
        <w:bottom w:val="none" w:sz="0" w:space="0" w:color="auto"/>
        <w:right w:val="none" w:sz="0" w:space="0" w:color="auto"/>
      </w:divBdr>
    </w:div>
    <w:div w:id="2078552652">
      <w:bodyDiv w:val="1"/>
      <w:marLeft w:val="0"/>
      <w:marRight w:val="0"/>
      <w:marTop w:val="0"/>
      <w:marBottom w:val="0"/>
      <w:divBdr>
        <w:top w:val="none" w:sz="0" w:space="0" w:color="auto"/>
        <w:left w:val="none" w:sz="0" w:space="0" w:color="auto"/>
        <w:bottom w:val="none" w:sz="0" w:space="0" w:color="auto"/>
        <w:right w:val="none" w:sz="0" w:space="0" w:color="auto"/>
      </w:divBdr>
      <w:divsChild>
        <w:div w:id="1512406735">
          <w:marLeft w:val="0"/>
          <w:marRight w:val="0"/>
          <w:marTop w:val="0"/>
          <w:marBottom w:val="0"/>
          <w:divBdr>
            <w:top w:val="none" w:sz="0" w:space="0" w:color="auto"/>
            <w:left w:val="none" w:sz="0" w:space="0" w:color="auto"/>
            <w:bottom w:val="none" w:sz="0" w:space="0" w:color="auto"/>
            <w:right w:val="none" w:sz="0" w:space="0" w:color="auto"/>
          </w:divBdr>
          <w:divsChild>
            <w:div w:id="1991667719">
              <w:marLeft w:val="0"/>
              <w:marRight w:val="0"/>
              <w:marTop w:val="0"/>
              <w:marBottom w:val="0"/>
              <w:divBdr>
                <w:top w:val="none" w:sz="0" w:space="0" w:color="auto"/>
                <w:left w:val="none" w:sz="0" w:space="0" w:color="auto"/>
                <w:bottom w:val="none" w:sz="0" w:space="0" w:color="auto"/>
                <w:right w:val="none" w:sz="0" w:space="0" w:color="auto"/>
              </w:divBdr>
              <w:divsChild>
                <w:div w:id="1413895954">
                  <w:marLeft w:val="0"/>
                  <w:marRight w:val="0"/>
                  <w:marTop w:val="0"/>
                  <w:marBottom w:val="0"/>
                  <w:divBdr>
                    <w:top w:val="none" w:sz="0" w:space="0" w:color="auto"/>
                    <w:left w:val="none" w:sz="0" w:space="0" w:color="auto"/>
                    <w:bottom w:val="none" w:sz="0" w:space="0" w:color="auto"/>
                    <w:right w:val="none" w:sz="0" w:space="0" w:color="auto"/>
                  </w:divBdr>
                  <w:divsChild>
                    <w:div w:id="87288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5069391409685821E-2"/>
          <c:y val="3.8309849426716405E-2"/>
          <c:w val="0.90305106959238579"/>
          <c:h val="0.70521308191739196"/>
        </c:manualLayout>
      </c:layout>
      <c:barChart>
        <c:barDir val="col"/>
        <c:grouping val="clustered"/>
        <c:varyColors val="0"/>
        <c:ser>
          <c:idx val="0"/>
          <c:order val="0"/>
          <c:tx>
            <c:strRef>
              <c:f>Sheet1!$B$36</c:f>
              <c:strCache>
                <c:ptCount val="1"/>
                <c:pt idx="0">
                  <c:v>към юни 2017 г.</c:v>
                </c:pt>
              </c:strCache>
            </c:strRef>
          </c:tx>
          <c:spPr>
            <a:pattFill prst="pct5">
              <a:fgClr>
                <a:srgbClr xmlns:mc="http://schemas.openxmlformats.org/markup-compatibility/2006" xmlns:a14="http://schemas.microsoft.com/office/drawing/2010/main" val="FFFFFF" mc:Ignorable="a14" a14:legacySpreadsheetColorIndex="9"/>
              </a:fgClr>
              <a:bgClr>
                <a:srgbClr xmlns:mc="http://schemas.openxmlformats.org/markup-compatibility/2006" xmlns:a14="http://schemas.microsoft.com/office/drawing/2010/main" val="000000" mc:Ignorable="a14" a14:legacySpreadsheetColorIndex="8"/>
              </a:bgClr>
            </a:pattFill>
            <a:ln w="12683">
              <a:solidFill>
                <a:srgbClr val="000000"/>
              </a:solidFill>
              <a:prstDash val="solid"/>
            </a:ln>
          </c:spPr>
          <c:invertIfNegative val="0"/>
          <c:dLbls>
            <c:dLbl>
              <c:idx val="0"/>
              <c:layout>
                <c:manualLayout>
                  <c:x val="-1.1911120203121079E-3"/>
                  <c:y val="0.28234266642777711"/>
                </c:manualLayout>
              </c:layout>
              <c:dLblPos val="outEnd"/>
              <c:showLegendKey val="0"/>
              <c:showVal val="1"/>
              <c:showCatName val="0"/>
              <c:showSerName val="0"/>
              <c:showPercent val="0"/>
              <c:showBubbleSize val="0"/>
            </c:dLbl>
            <c:dLbl>
              <c:idx val="1"/>
              <c:layout>
                <c:manualLayout>
                  <c:x val="-8.5984781316822308E-3"/>
                  <c:y val="8.5907721123107857E-3"/>
                </c:manualLayout>
              </c:layout>
              <c:dLblPos val="outEnd"/>
              <c:showLegendKey val="0"/>
              <c:showVal val="1"/>
              <c:showCatName val="0"/>
              <c:showSerName val="0"/>
              <c:showPercent val="0"/>
              <c:showBubbleSize val="0"/>
            </c:dLbl>
            <c:dLbl>
              <c:idx val="2"/>
              <c:layout>
                <c:manualLayout>
                  <c:x val="-4.0234036459434776E-3"/>
                  <c:y val="3.7105729237608418E-3"/>
                </c:manualLayout>
              </c:layout>
              <c:dLblPos val="outEnd"/>
              <c:showLegendKey val="0"/>
              <c:showVal val="1"/>
              <c:showCatName val="0"/>
              <c:showSerName val="0"/>
              <c:showPercent val="0"/>
              <c:showBubbleSize val="0"/>
            </c:dLbl>
            <c:dLbl>
              <c:idx val="3"/>
              <c:layout>
                <c:manualLayout>
                  <c:x val="1.6412105113367671E-3"/>
                  <c:y val="-1.4967557207841688E-2"/>
                </c:manualLayout>
              </c:layout>
              <c:dLblPos val="outEnd"/>
              <c:showLegendKey val="0"/>
              <c:showVal val="1"/>
              <c:showCatName val="0"/>
              <c:showSerName val="0"/>
              <c:showPercent val="0"/>
              <c:showBubbleSize val="0"/>
            </c:dLbl>
            <c:dLbl>
              <c:idx val="4"/>
              <c:layout>
                <c:manualLayout>
                  <c:x val="-1.6232910645205495E-4"/>
                  <c:y val="0.16554406139115307"/>
                </c:manualLayout>
              </c:layout>
              <c:dLblPos val="outEnd"/>
              <c:showLegendKey val="0"/>
              <c:showVal val="1"/>
              <c:showCatName val="0"/>
              <c:showSerName val="0"/>
              <c:showPercent val="0"/>
              <c:showBubbleSize val="0"/>
            </c:dLbl>
            <c:dLbl>
              <c:idx val="5"/>
              <c:layout>
                <c:manualLayout>
                  <c:x val="2.2153355328575895E-4"/>
                  <c:y val="4.5165908513635205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Sheet1!$B$38:$B$43</c:f>
              <c:numCache>
                <c:formatCode>#,##0.0</c:formatCode>
                <c:ptCount val="6"/>
                <c:pt idx="0">
                  <c:v>3636.4560000000001</c:v>
                </c:pt>
                <c:pt idx="1">
                  <c:v>2.1</c:v>
                </c:pt>
                <c:pt idx="2">
                  <c:v>180.2</c:v>
                </c:pt>
                <c:pt idx="3">
                  <c:v>415.3</c:v>
                </c:pt>
                <c:pt idx="4">
                  <c:v>5093.2560000000003</c:v>
                </c:pt>
                <c:pt idx="5">
                  <c:v>488.3</c:v>
                </c:pt>
              </c:numCache>
            </c:numRef>
          </c:val>
        </c:ser>
        <c:ser>
          <c:idx val="1"/>
          <c:order val="1"/>
          <c:tx>
            <c:strRef>
              <c:f>Sheet1!$C$36</c:f>
              <c:strCache>
                <c:ptCount val="1"/>
                <c:pt idx="0">
                  <c:v>към юни 2018 г.</c:v>
                </c:pt>
              </c:strCache>
            </c:strRef>
          </c:tx>
          <c:spPr>
            <a:pattFill prst="smConfetti">
              <a:fgClr>
                <a:srgbClr xmlns:mc="http://schemas.openxmlformats.org/markup-compatibility/2006" xmlns:a14="http://schemas.microsoft.com/office/drawing/2010/main" val="333333" mc:Ignorable="a14" a14:legacySpreadsheetColorIndex="63"/>
              </a:fgClr>
              <a:bgClr>
                <a:srgbClr xmlns:mc="http://schemas.openxmlformats.org/markup-compatibility/2006" xmlns:a14="http://schemas.microsoft.com/office/drawing/2010/main" val="FFFFFF" mc:Ignorable="a14" a14:legacySpreadsheetColorIndex="9"/>
              </a:bgClr>
            </a:pattFill>
            <a:ln w="12683">
              <a:solidFill>
                <a:srgbClr val="000000"/>
              </a:solidFill>
              <a:prstDash val="solid"/>
            </a:ln>
          </c:spPr>
          <c:invertIfNegative val="0"/>
          <c:dLbls>
            <c:dLbl>
              <c:idx val="0"/>
              <c:layout>
                <c:manualLayout>
                  <c:x val="-1.5957659542556258E-3"/>
                  <c:y val="0.29509151360843117"/>
                </c:manualLayout>
              </c:layout>
              <c:dLblPos val="outEnd"/>
              <c:showLegendKey val="0"/>
              <c:showVal val="1"/>
              <c:showCatName val="0"/>
              <c:showSerName val="0"/>
              <c:showPercent val="0"/>
              <c:showBubbleSize val="0"/>
            </c:dLbl>
            <c:dLbl>
              <c:idx val="1"/>
              <c:layout>
                <c:manualLayout>
                  <c:x val="-1.3778516227466984E-3"/>
                  <c:y val="1.006945895278097E-2"/>
                </c:manualLayout>
              </c:layout>
              <c:dLblPos val="outEnd"/>
              <c:showLegendKey val="0"/>
              <c:showVal val="1"/>
              <c:showCatName val="0"/>
              <c:showSerName val="0"/>
              <c:showPercent val="0"/>
              <c:showBubbleSize val="0"/>
            </c:dLbl>
            <c:dLbl>
              <c:idx val="2"/>
              <c:layout>
                <c:manualLayout>
                  <c:x val="-2.2494060247787552E-3"/>
                  <c:y val="3.9806077783033E-3"/>
                </c:manualLayout>
              </c:layout>
              <c:dLblPos val="outEnd"/>
              <c:showLegendKey val="0"/>
              <c:showVal val="1"/>
              <c:showCatName val="0"/>
              <c:showSerName val="0"/>
              <c:showPercent val="0"/>
              <c:showBubbleSize val="0"/>
            </c:dLbl>
            <c:dLbl>
              <c:idx val="3"/>
              <c:layout>
                <c:manualLayout>
                  <c:x val="4.7143956403039979E-3"/>
                  <c:y val="-1.6552366438066211E-2"/>
                </c:manualLayout>
              </c:layout>
              <c:dLblPos val="outEnd"/>
              <c:showLegendKey val="0"/>
              <c:showVal val="1"/>
              <c:showCatName val="0"/>
              <c:showSerName val="0"/>
              <c:showPercent val="0"/>
              <c:showBubbleSize val="0"/>
            </c:dLbl>
            <c:dLbl>
              <c:idx val="4"/>
              <c:layout>
                <c:manualLayout>
                  <c:x val="2.5962116181260475E-3"/>
                  <c:y val="0.14622231971736671"/>
                </c:manualLayout>
              </c:layout>
              <c:dLblPos val="outEnd"/>
              <c:showLegendKey val="0"/>
              <c:showVal val="1"/>
              <c:showCatName val="0"/>
              <c:showSerName val="0"/>
              <c:showPercent val="0"/>
              <c:showBubbleSize val="0"/>
            </c:dLbl>
            <c:dLbl>
              <c:idx val="5"/>
              <c:layout>
                <c:manualLayout>
                  <c:x val="1.9210701072004553E-3"/>
                  <c:y val="-6.9634624117733083E-3"/>
                </c:manualLayout>
              </c:layout>
              <c:dLblPos val="outEnd"/>
              <c:showLegendKey val="0"/>
              <c:showVal val="1"/>
              <c:showCatName val="0"/>
              <c:showSerName val="0"/>
              <c:showPercent val="0"/>
              <c:showBubbleSize val="0"/>
            </c:dLbl>
            <c:spPr>
              <a:solidFill>
                <a:srgbClr val="FFFFFF"/>
              </a:solidFill>
              <a:ln w="25367">
                <a:noFill/>
              </a:ln>
            </c:spPr>
            <c:txPr>
              <a:bodyPr rot="-5400000" vert="horz"/>
              <a:lstStyle/>
              <a:p>
                <a:pPr algn="ctr">
                  <a:defRPr sz="899" b="0" i="0" u="none" strike="noStrike" baseline="0">
                    <a:solidFill>
                      <a:srgbClr val="000000"/>
                    </a:solidFill>
                    <a:latin typeface="Times New Roman"/>
                    <a:ea typeface="Times New Roman"/>
                    <a:cs typeface="Times New Roman"/>
                  </a:defRPr>
                </a:pPr>
                <a:endParaRPr lang="bg-BG"/>
              </a:p>
            </c:txPr>
            <c:showLegendKey val="0"/>
            <c:showVal val="1"/>
            <c:showCatName val="0"/>
            <c:showSerName val="0"/>
            <c:showPercent val="0"/>
            <c:showBubbleSize val="0"/>
            <c:showLeaderLines val="0"/>
          </c:dLbls>
          <c:cat>
            <c:strRef>
              <c:f>Sheet1!$A$38:$A$43</c:f>
              <c:strCache>
                <c:ptCount val="6"/>
                <c:pt idx="0">
                  <c:v>Текущи нелихвени разходи</c:v>
                </c:pt>
                <c:pt idx="1">
                  <c:v>Предоставени тек. и капит. трансфери за чужбина</c:v>
                </c:pt>
                <c:pt idx="2">
                  <c:v>Капиталови р-ди*</c:v>
                </c:pt>
                <c:pt idx="3">
                  <c:v>Лихвени р-ди</c:v>
                </c:pt>
                <c:pt idx="4">
                  <c:v>Нето предоставени трансфери за др. бюджети</c:v>
                </c:pt>
                <c:pt idx="5">
                  <c:v>Вноска в бюджета на ЕС</c:v>
                </c:pt>
              </c:strCache>
            </c:strRef>
          </c:cat>
          <c:val>
            <c:numRef>
              <c:f>Sheet1!$C$38:$C$43</c:f>
              <c:numCache>
                <c:formatCode>#,##0.0</c:formatCode>
                <c:ptCount val="6"/>
                <c:pt idx="0">
                  <c:v>3963.3</c:v>
                </c:pt>
                <c:pt idx="1">
                  <c:v>5</c:v>
                </c:pt>
                <c:pt idx="2">
                  <c:v>300.7</c:v>
                </c:pt>
                <c:pt idx="3">
                  <c:v>406.6</c:v>
                </c:pt>
                <c:pt idx="4">
                  <c:v>5233.2</c:v>
                </c:pt>
                <c:pt idx="5">
                  <c:v>576.29999999999995</c:v>
                </c:pt>
              </c:numCache>
            </c:numRef>
          </c:val>
        </c:ser>
        <c:dLbls>
          <c:showLegendKey val="0"/>
          <c:showVal val="0"/>
          <c:showCatName val="0"/>
          <c:showSerName val="0"/>
          <c:showPercent val="0"/>
          <c:showBubbleSize val="0"/>
        </c:dLbls>
        <c:gapWidth val="150"/>
        <c:axId val="205277440"/>
        <c:axId val="206614528"/>
      </c:barChart>
      <c:catAx>
        <c:axId val="205277440"/>
        <c:scaling>
          <c:orientation val="minMax"/>
        </c:scaling>
        <c:delete val="0"/>
        <c:axPos val="b"/>
        <c:numFmt formatCode="General" sourceLinked="1"/>
        <c:majorTickMark val="out"/>
        <c:minorTickMark val="none"/>
        <c:tickLblPos val="nextTo"/>
        <c:spPr>
          <a:ln w="9512">
            <a:noFill/>
          </a:ln>
        </c:spPr>
        <c:txPr>
          <a:bodyPr rot="0" vert="horz"/>
          <a:lstStyle/>
          <a:p>
            <a:pPr>
              <a:defRPr sz="970" b="1" i="0" u="none" strike="noStrike" baseline="2000">
                <a:solidFill>
                  <a:srgbClr val="000000"/>
                </a:solidFill>
                <a:latin typeface="Times New Roman"/>
                <a:ea typeface="Times New Roman"/>
                <a:cs typeface="Times New Roman"/>
              </a:defRPr>
            </a:pPr>
            <a:endParaRPr lang="bg-BG"/>
          </a:p>
        </c:txPr>
        <c:crossAx val="206614528"/>
        <c:crosses val="autoZero"/>
        <c:auto val="1"/>
        <c:lblAlgn val="ctr"/>
        <c:lblOffset val="100"/>
        <c:tickLblSkip val="1"/>
        <c:tickMarkSkip val="1"/>
        <c:noMultiLvlLbl val="0"/>
      </c:catAx>
      <c:valAx>
        <c:axId val="206614528"/>
        <c:scaling>
          <c:orientation val="minMax"/>
        </c:scaling>
        <c:delete val="0"/>
        <c:axPos val="l"/>
        <c:majorGridlines>
          <c:spPr>
            <a:ln w="3171">
              <a:solidFill>
                <a:srgbClr val="000000"/>
              </a:solidFill>
              <a:prstDash val="solid"/>
            </a:ln>
          </c:spPr>
        </c:majorGridlines>
        <c:title>
          <c:tx>
            <c:rich>
              <a:bodyPr rot="0" vert="horz"/>
              <a:lstStyle/>
              <a:p>
                <a:pPr algn="ctr">
                  <a:defRPr sz="899" b="0" i="0" u="none" strike="noStrike" baseline="0">
                    <a:solidFill>
                      <a:srgbClr val="000000"/>
                    </a:solidFill>
                    <a:latin typeface="Times New Roman"/>
                    <a:ea typeface="Times New Roman"/>
                    <a:cs typeface="Times New Roman"/>
                  </a:defRPr>
                </a:pPr>
                <a:r>
                  <a:rPr lang="bg-BG"/>
                  <a:t>(млн. лв.)</a:t>
                </a:r>
              </a:p>
            </c:rich>
          </c:tx>
          <c:layout>
            <c:manualLayout>
              <c:xMode val="edge"/>
              <c:yMode val="edge"/>
              <c:x val="9.3198691529020722E-4"/>
              <c:y val="0.93341453652604278"/>
            </c:manualLayout>
          </c:layout>
          <c:overlay val="0"/>
          <c:spPr>
            <a:noFill/>
            <a:ln w="25367">
              <a:noFill/>
            </a:ln>
          </c:spPr>
        </c:title>
        <c:numFmt formatCode="#,##0" sourceLinked="0"/>
        <c:majorTickMark val="out"/>
        <c:minorTickMark val="none"/>
        <c:tickLblPos val="nextTo"/>
        <c:spPr>
          <a:ln w="3171">
            <a:solidFill>
              <a:srgbClr val="000000"/>
            </a:solidFill>
            <a:prstDash val="solid"/>
          </a:ln>
        </c:spPr>
        <c:txPr>
          <a:bodyPr rot="0" vert="horz"/>
          <a:lstStyle/>
          <a:p>
            <a:pPr>
              <a:defRPr sz="899" b="0" i="0" u="none" strike="noStrike" baseline="0">
                <a:solidFill>
                  <a:srgbClr val="000000"/>
                </a:solidFill>
                <a:latin typeface="Times New Roman"/>
                <a:ea typeface="Times New Roman"/>
                <a:cs typeface="Times New Roman"/>
              </a:defRPr>
            </a:pPr>
            <a:endParaRPr lang="bg-BG"/>
          </a:p>
        </c:txPr>
        <c:crossAx val="205277440"/>
        <c:crosses val="autoZero"/>
        <c:crossBetween val="between"/>
      </c:valAx>
      <c:spPr>
        <a:solidFill>
          <a:srgbClr val="FFFFFF"/>
        </a:solidFill>
        <a:ln w="25367">
          <a:solidFill>
            <a:srgbClr val="C0C0C0"/>
          </a:solidFill>
          <a:prstDash val="solid"/>
        </a:ln>
      </c:spPr>
    </c:plotArea>
    <c:legend>
      <c:legendPos val="r"/>
      <c:legendEntry>
        <c:idx val="0"/>
        <c:txPr>
          <a:bodyPr/>
          <a:lstStyle/>
          <a:p>
            <a:pPr>
              <a:defRPr sz="780" b="1" i="0" u="none" strike="noStrike" baseline="0">
                <a:solidFill>
                  <a:srgbClr val="000000"/>
                </a:solidFill>
                <a:latin typeface="Times New Roman"/>
                <a:ea typeface="Times New Roman"/>
                <a:cs typeface="Times New Roman"/>
              </a:defRPr>
            </a:pPr>
            <a:endParaRPr lang="bg-BG"/>
          </a:p>
        </c:txPr>
      </c:legendEntry>
      <c:legendEntry>
        <c:idx val="1"/>
        <c:txPr>
          <a:bodyPr/>
          <a:lstStyle/>
          <a:p>
            <a:pPr>
              <a:defRPr sz="780" b="1" i="0" u="none" strike="noStrike" baseline="0">
                <a:solidFill>
                  <a:srgbClr val="000000"/>
                </a:solidFill>
                <a:latin typeface="Times New Roman"/>
                <a:ea typeface="Times New Roman"/>
                <a:cs typeface="Times New Roman"/>
              </a:defRPr>
            </a:pPr>
            <a:endParaRPr lang="bg-BG"/>
          </a:p>
        </c:txPr>
      </c:legendEntry>
      <c:layout>
        <c:manualLayout>
          <c:xMode val="edge"/>
          <c:yMode val="edge"/>
          <c:x val="9.1417287698475444E-2"/>
          <c:y val="0.91477519855472611"/>
          <c:w val="0.37783862444330135"/>
          <c:h val="8.4652486620990564E-2"/>
        </c:manualLayout>
      </c:layout>
      <c:overlay val="0"/>
      <c:spPr>
        <a:solidFill>
          <a:srgbClr val="FFFFFF"/>
        </a:solidFill>
        <a:ln w="3171">
          <a:solidFill>
            <a:srgbClr val="000000"/>
          </a:solidFill>
          <a:prstDash val="solid"/>
        </a:ln>
      </c:spPr>
      <c:txPr>
        <a:bodyPr/>
        <a:lstStyle/>
        <a:p>
          <a:pPr>
            <a:defRPr sz="780" b="1" i="0" u="none" strike="noStrike" baseline="0">
              <a:solidFill>
                <a:srgbClr val="000000"/>
              </a:solidFill>
              <a:latin typeface="Times New Roman"/>
              <a:ea typeface="Times New Roman"/>
              <a:cs typeface="Times New Roman"/>
            </a:defRPr>
          </a:pPr>
          <a:endParaRPr lang="bg-BG"/>
        </a:p>
      </c:txPr>
    </c:legend>
    <c:plotVisOnly val="1"/>
    <c:dispBlanksAs val="gap"/>
    <c:showDLblsOverMax val="0"/>
  </c:chart>
  <c:spPr>
    <a:solidFill>
      <a:srgbClr val="FFFFFF"/>
    </a:solidFill>
    <a:ln w="3171">
      <a:solidFill>
        <a:srgbClr val="000000"/>
      </a:solidFill>
      <a:prstDash val="solid"/>
    </a:ln>
  </c:spPr>
  <c:txPr>
    <a:bodyPr/>
    <a:lstStyle/>
    <a:p>
      <a:pPr>
        <a:defRPr sz="1124" b="0" i="0" u="none" strike="noStrike" baseline="0">
          <a:solidFill>
            <a:srgbClr val="000000"/>
          </a:solidFill>
          <a:latin typeface="Arial"/>
          <a:ea typeface="Arial"/>
          <a:cs typeface="Arial"/>
        </a:defRPr>
      </a:pPr>
      <a:endParaRPr lang="bg-BG"/>
    </a:p>
  </c:txPr>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0.50767</cdr:x>
      <cdr:y>0.50124</cdr:y>
    </cdr:from>
    <cdr:to>
      <cdr:x>0.52046</cdr:x>
      <cdr:y>0.56116</cdr:y>
    </cdr:to>
    <cdr:sp macro="" textlink="">
      <cdr:nvSpPr>
        <cdr:cNvPr id="3073" name="Text Box 1"/>
        <cdr:cNvSpPr txBox="1">
          <a:spLocks xmlns:a="http://schemas.openxmlformats.org/drawingml/2006/main" noChangeArrowheads="1"/>
        </cdr:cNvSpPr>
      </cdr:nvSpPr>
      <cdr:spPr bwMode="auto">
        <a:xfrm xmlns:a="http://schemas.openxmlformats.org/drawingml/2006/main">
          <a:off x="3536779" y="1408614"/>
          <a:ext cx="94821"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r>
            <a:rPr lang="bg-BG" sz="1125" b="0" i="0" u="none" strike="noStrike" baseline="0">
              <a:solidFill>
                <a:srgbClr val="000000"/>
              </a:solidFill>
              <a:latin typeface="Arial"/>
              <a:cs typeface="Arial"/>
            </a:rPr>
            <a:t> </a:t>
          </a:r>
        </a:p>
      </cdr:txBody>
    </cdr:sp>
  </cdr:relSizeAnchor>
  <cdr:relSizeAnchor xmlns:cdr="http://schemas.openxmlformats.org/drawingml/2006/chartDrawing">
    <cdr:from>
      <cdr:x>0.50767</cdr:x>
      <cdr:y>0.50124</cdr:y>
    </cdr:from>
    <cdr:to>
      <cdr:x>0.61477</cdr:x>
      <cdr:y>0.56116</cdr:y>
    </cdr:to>
    <cdr:sp macro="" textlink="">
      <cdr:nvSpPr>
        <cdr:cNvPr id="3074" name="Text Box 2"/>
        <cdr:cNvSpPr txBox="1">
          <a:spLocks xmlns:a="http://schemas.openxmlformats.org/drawingml/2006/main" noChangeArrowheads="1"/>
        </cdr:cNvSpPr>
      </cdr:nvSpPr>
      <cdr:spPr bwMode="auto">
        <a:xfrm xmlns:a="http://schemas.openxmlformats.org/drawingml/2006/main">
          <a:off x="3536779" y="1408614"/>
          <a:ext cx="751674" cy="169270"/>
        </a:xfrm>
        <a:prstGeom xmlns:a="http://schemas.openxmlformats.org/drawingml/2006/main" prst="rect">
          <a:avLst/>
        </a:prstGeom>
        <a:noFill xmlns:a="http://schemas.openxmlformats.org/drawingml/2006/main"/>
        <a:ln xmlns:a="http://schemas.openxmlformats.org/drawingml/2006/main">
          <a:noFill/>
        </a:ln>
        <a:effectLst xmlns:a="http://schemas.openxmlformats.org/drawingml/2006/main"/>
        <a:extLst xmlns:a="http://schemas.openxmlformats.org/drawingml/2006/main">
          <a:ext uri="{909E8E84-426E-40DD-AFC4-6F175D3DCCD1}">
            <a14:hiddenFill xmlns:a14="http://schemas.microsoft.com/office/drawing/2010/main">
              <a:solidFill>
                <a:srgbClr xmlns:mc="http://schemas.openxmlformats.org/markup-compatibility/2006" val="000000" mc:Ignorable="a14" a14:legacySpreadsheetColorIndex="64"/>
              </a:solidFill>
            </a14:hiddenFill>
          </a:ext>
          <a:ext uri="{91240B29-F687-4F45-9708-019B960494DF}">
            <a14:hiddenLine xmlns:a14="http://schemas.microsoft.com/office/drawing/2010/main" w="1">
              <a:solidFill>
                <a:srgbClr xmlns:mc="http://schemas.openxmlformats.org/markup-compatibility/2006" val="FFFFFF" mc:Ignorable="a14" a14:legacySpreadsheetColorIndex="65"/>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cdr:spPr>
      <cdr:txBody>
        <a:bodyPr xmlns:a="http://schemas.openxmlformats.org/drawingml/2006/main" vertOverflow="clip" wrap="square" lIns="36576" tIns="27432" rIns="36576" bIns="27432" anchor="ctr" upright="1"/>
        <a:lstStyle xmlns:a="http://schemas.openxmlformats.org/drawingml/2006/main"/>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a:p xmlns:a="http://schemas.openxmlformats.org/drawingml/2006/main">
          <a:pPr algn="ctr" rtl="0">
            <a:defRPr sz="1000"/>
          </a:pPr>
          <a:endParaRPr lang="bg-BG" sz="1125" b="0" i="0" u="none" strike="noStrike" baseline="0">
            <a:solidFill>
              <a:srgbClr val="000000"/>
            </a:solidFill>
            <a:latin typeface="Arial"/>
            <a:cs typeface="Arial"/>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8A57-F514-4A3F-A5B1-B5418BD50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12157</Words>
  <Characters>63515</Characters>
  <Application>Microsoft Office Word</Application>
  <DocSecurity>0</DocSecurity>
  <Lines>529</Lines>
  <Paragraphs>151</Paragraphs>
  <ScaleCrop>false</ScaleCrop>
  <HeadingPairs>
    <vt:vector size="2" baseType="variant">
      <vt:variant>
        <vt:lpstr>Title</vt:lpstr>
      </vt:variant>
      <vt:variant>
        <vt:i4>1</vt:i4>
      </vt:variant>
    </vt:vector>
  </HeadingPairs>
  <TitlesOfParts>
    <vt:vector size="1" baseType="lpstr">
      <vt:lpstr>М И Н И С Т Е Р С Т В О   Н А   Ф И Н А Н С И Т Е</vt:lpstr>
    </vt:vector>
  </TitlesOfParts>
  <Company>MoF</Company>
  <LinksUpToDate>false</LinksUpToDate>
  <CharactersWithSpaces>75521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 И Н И С Т Е Р С Т В О   Н А   Ф И Н А Н С И Т Е</dc:title>
  <dc:creator>Любомир Малчев</dc:creator>
  <cp:lastModifiedBy>Милада Димчева</cp:lastModifiedBy>
  <cp:revision>5</cp:revision>
  <cp:lastPrinted>2018-08-10T07:19:00Z</cp:lastPrinted>
  <dcterms:created xsi:type="dcterms:W3CDTF">2018-08-13T12:35:00Z</dcterms:created>
  <dcterms:modified xsi:type="dcterms:W3CDTF">2018-08-13T13:39:00Z</dcterms:modified>
</cp:coreProperties>
</file>