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2CB88" w14:textId="59D1E06F" w:rsidR="00063E15" w:rsidRPr="005C4F64" w:rsidRDefault="00063E15" w:rsidP="008314D1">
      <w:pPr>
        <w:pStyle w:val="Title"/>
        <w:pBdr>
          <w:bottom w:val="double" w:sz="6" w:space="0" w:color="auto"/>
        </w:pBdr>
      </w:pPr>
      <w:r w:rsidRPr="005C4F64">
        <w:t>М И Н И С Т Е Р С Т В О   Н А   Ф И Н А Н С И Т Е</w:t>
      </w:r>
    </w:p>
    <w:p w14:paraId="1096FFB8" w14:textId="77777777" w:rsidR="005F7245" w:rsidRPr="005C4F64" w:rsidRDefault="005F7245" w:rsidP="00063E15">
      <w:pPr>
        <w:rPr>
          <w:sz w:val="16"/>
          <w:szCs w:val="16"/>
        </w:rPr>
      </w:pPr>
    </w:p>
    <w:p w14:paraId="0BDCEB1F" w14:textId="77777777" w:rsidR="0019151C" w:rsidRPr="005C4F64" w:rsidRDefault="0019151C" w:rsidP="0019151C"/>
    <w:p w14:paraId="3534BD5C" w14:textId="77777777" w:rsidR="00E10331" w:rsidRPr="005C4F64" w:rsidRDefault="00E10331" w:rsidP="0019151C"/>
    <w:p w14:paraId="435135A2" w14:textId="77777777" w:rsidR="00E9260C" w:rsidRPr="005C4F64" w:rsidRDefault="00E9260C" w:rsidP="009B536C">
      <w:pPr>
        <w:pStyle w:val="Heading1"/>
        <w:rPr>
          <w:sz w:val="24"/>
        </w:rPr>
      </w:pPr>
      <w:r w:rsidRPr="005C4F64">
        <w:rPr>
          <w:sz w:val="24"/>
        </w:rPr>
        <w:t>ИНФОРМАЦИЯ</w:t>
      </w:r>
    </w:p>
    <w:p w14:paraId="1D835F12" w14:textId="77777777" w:rsidR="00E9260C" w:rsidRPr="005C4F64" w:rsidRDefault="00E9260C" w:rsidP="009B536C">
      <w:pPr>
        <w:jc w:val="center"/>
        <w:rPr>
          <w:b/>
          <w:bCs/>
        </w:rPr>
      </w:pPr>
      <w:r w:rsidRPr="005C4F64">
        <w:rPr>
          <w:b/>
          <w:bCs/>
        </w:rPr>
        <w:t xml:space="preserve">ЗА </w:t>
      </w:r>
      <w:r w:rsidR="004E7BF8" w:rsidRPr="005C4F64">
        <w:rPr>
          <w:b/>
          <w:bCs/>
        </w:rPr>
        <w:t xml:space="preserve">КАСОВОТО </w:t>
      </w:r>
      <w:r w:rsidRPr="005C4F64">
        <w:rPr>
          <w:b/>
          <w:bCs/>
        </w:rPr>
        <w:t xml:space="preserve">ИЗПЪЛНЕНИЕ НА </w:t>
      </w:r>
      <w:r w:rsidR="004E7BF8" w:rsidRPr="005C4F64">
        <w:rPr>
          <w:b/>
          <w:bCs/>
        </w:rPr>
        <w:t>ДЪРЖАВНИЯ</w:t>
      </w:r>
      <w:r w:rsidRPr="005C4F64">
        <w:rPr>
          <w:b/>
          <w:bCs/>
        </w:rPr>
        <w:t xml:space="preserve"> БЮДЖЕТ</w:t>
      </w:r>
      <w:r w:rsidR="004E7BF8" w:rsidRPr="005C4F64">
        <w:rPr>
          <w:b/>
          <w:bCs/>
        </w:rPr>
        <w:t xml:space="preserve"> И НА ОСНОВНИТЕ ПОКАЗАТЕЛИ НА КОНСОЛИДИРАНАТА ФИСКАЛНА ПРОГРАМА </w:t>
      </w:r>
    </w:p>
    <w:p w14:paraId="53E2F980" w14:textId="631035FE" w:rsidR="003F47AB" w:rsidRPr="005C4F64" w:rsidRDefault="003F47AB" w:rsidP="003F47AB">
      <w:pPr>
        <w:jc w:val="center"/>
        <w:rPr>
          <w:b/>
          <w:bCs/>
        </w:rPr>
      </w:pPr>
      <w:r w:rsidRPr="005C4F64">
        <w:rPr>
          <w:b/>
          <w:bCs/>
        </w:rPr>
        <w:t xml:space="preserve">ЗА </w:t>
      </w:r>
      <w:r w:rsidR="005C4F64" w:rsidRPr="005C4F64">
        <w:rPr>
          <w:b/>
          <w:bCs/>
        </w:rPr>
        <w:t xml:space="preserve">ПЪРВОТО ТРИМЕСЕЧИЕ </w:t>
      </w:r>
      <w:r w:rsidRPr="005C4F64">
        <w:rPr>
          <w:b/>
          <w:bCs/>
        </w:rPr>
        <w:t>НА 20</w:t>
      </w:r>
      <w:r w:rsidR="006D5D56" w:rsidRPr="005C4F64">
        <w:rPr>
          <w:b/>
          <w:bCs/>
        </w:rPr>
        <w:t>2</w:t>
      </w:r>
      <w:r w:rsidR="005C4F64" w:rsidRPr="005C4F64">
        <w:rPr>
          <w:b/>
          <w:bCs/>
        </w:rPr>
        <w:t>3</w:t>
      </w:r>
      <w:r w:rsidRPr="005C4F64">
        <w:rPr>
          <w:b/>
          <w:bCs/>
        </w:rPr>
        <w:t xml:space="preserve"> ГОДИНА</w:t>
      </w:r>
    </w:p>
    <w:p w14:paraId="458A73AC" w14:textId="77777777" w:rsidR="00430A35" w:rsidRPr="00C15913" w:rsidRDefault="00430A35" w:rsidP="003A06C5">
      <w:pPr>
        <w:rPr>
          <w:b/>
          <w:bCs/>
          <w:color w:val="0070C0"/>
        </w:rPr>
      </w:pPr>
    </w:p>
    <w:p w14:paraId="6B8474F5" w14:textId="77777777" w:rsidR="00E10331" w:rsidRPr="00C15913" w:rsidRDefault="00E10331" w:rsidP="003A06C5">
      <w:pPr>
        <w:rPr>
          <w:b/>
          <w:bCs/>
          <w:color w:val="0070C0"/>
        </w:rPr>
      </w:pPr>
    </w:p>
    <w:p w14:paraId="5387D549" w14:textId="77777777" w:rsidR="00E10331" w:rsidRPr="00C15913" w:rsidRDefault="00E10331" w:rsidP="003A06C5">
      <w:pPr>
        <w:rPr>
          <w:b/>
          <w:bCs/>
          <w:color w:val="0070C0"/>
        </w:rPr>
      </w:pPr>
    </w:p>
    <w:p w14:paraId="692D1974" w14:textId="77777777" w:rsidR="006B5C2D" w:rsidRPr="00446778" w:rsidRDefault="006B5C2D" w:rsidP="006B5C2D">
      <w:pPr>
        <w:keepNext/>
        <w:keepLines/>
        <w:spacing w:before="40"/>
        <w:jc w:val="both"/>
        <w:outlineLvl w:val="2"/>
        <w:rPr>
          <w:b/>
          <w:u w:val="single"/>
          <w:lang w:eastAsia="bg-BG"/>
        </w:rPr>
      </w:pPr>
      <w:bookmarkStart w:id="0" w:name="_Toc109903428"/>
      <w:r w:rsidRPr="00B5703E">
        <w:rPr>
          <w:b/>
          <w:u w:val="single"/>
          <w:lang w:eastAsia="bg-BG"/>
        </w:rPr>
        <w:t>Априлски Нотификационни таблици за дефицита и дълга на България</w:t>
      </w:r>
    </w:p>
    <w:p w14:paraId="023657E1" w14:textId="19486826" w:rsidR="006B5C2D" w:rsidRPr="00E5710B" w:rsidRDefault="006B5C2D" w:rsidP="006B5C2D">
      <w:pPr>
        <w:spacing w:before="120" w:after="120"/>
        <w:jc w:val="both"/>
        <w:rPr>
          <w:color w:val="000000" w:themeColor="text1"/>
        </w:rPr>
      </w:pPr>
      <w:r w:rsidRPr="00E5710B">
        <w:rPr>
          <w:color w:val="000000" w:themeColor="text1"/>
        </w:rPr>
        <w:t>Съгласно априлските Нотификационни таблици за дефицита и дълга на България салдото на сектор „Държавно управление“ за 20</w:t>
      </w:r>
      <w:r>
        <w:rPr>
          <w:color w:val="000000" w:themeColor="text1"/>
        </w:rPr>
        <w:t>2</w:t>
      </w:r>
      <w:r w:rsidR="007E6A95">
        <w:rPr>
          <w:color w:val="000000" w:themeColor="text1"/>
        </w:rPr>
        <w:t>2</w:t>
      </w:r>
      <w:r w:rsidRPr="00E5710B">
        <w:rPr>
          <w:color w:val="000000" w:themeColor="text1"/>
        </w:rPr>
        <w:t xml:space="preserve"> г. е </w:t>
      </w:r>
      <w:r>
        <w:rPr>
          <w:color w:val="000000" w:themeColor="text1"/>
        </w:rPr>
        <w:t>отрицателно</w:t>
      </w:r>
      <w:r w:rsidRPr="00E5710B">
        <w:rPr>
          <w:color w:val="000000" w:themeColor="text1"/>
        </w:rPr>
        <w:t xml:space="preserve"> в размер на </w:t>
      </w:r>
      <w:r>
        <w:rPr>
          <w:color w:val="000000" w:themeColor="text1"/>
        </w:rPr>
        <w:t>2,8</w:t>
      </w:r>
      <w:r w:rsidRPr="00E5710B">
        <w:rPr>
          <w:color w:val="000000" w:themeColor="text1"/>
        </w:rPr>
        <w:t xml:space="preserve"> % от БВП. </w:t>
      </w:r>
      <w:r>
        <w:t xml:space="preserve">Общо шестнадесет държавни членки, включително България, отчитат дефицит в рамките на референтната стойност от 3 на сто от БВП по Пакта за стабилност и растеж, като следва да се отбележи, че Европейската комисия продължи и през 2022 г. прилагането на </w:t>
      </w:r>
      <w:r w:rsidRPr="00DB3FAA">
        <w:rPr>
          <w:color w:val="000000" w:themeColor="text1"/>
        </w:rPr>
        <w:t>Обща предпазна клауза на Пакта за стабилност и растеж</w:t>
      </w:r>
      <w:r>
        <w:rPr>
          <w:color w:val="000000" w:themeColor="text1"/>
        </w:rPr>
        <w:t>.</w:t>
      </w:r>
      <w:r w:rsidRPr="00DB3FAA">
        <w:rPr>
          <w:color w:val="000000" w:themeColor="text1"/>
        </w:rPr>
        <w:t xml:space="preserve"> </w:t>
      </w:r>
    </w:p>
    <w:p w14:paraId="79D5F2F4" w14:textId="7C658FDC" w:rsidR="006B5C2D" w:rsidRPr="00DB657F" w:rsidRDefault="006B5C2D" w:rsidP="006B5C2D">
      <w:pPr>
        <w:spacing w:after="120"/>
        <w:jc w:val="both"/>
        <w:rPr>
          <w:color w:val="31849B" w:themeColor="accent5" w:themeShade="BF"/>
        </w:rPr>
      </w:pPr>
      <w:r w:rsidRPr="001E4243">
        <w:rPr>
          <w:color w:val="000000" w:themeColor="text1"/>
        </w:rPr>
        <w:t>На база на публикуваните в края на април данни на Евростат за дефицита и дълга на държавите</w:t>
      </w:r>
      <w:r w:rsidRPr="00D40081">
        <w:rPr>
          <w:color w:val="000000" w:themeColor="text1"/>
        </w:rPr>
        <w:t xml:space="preserve"> </w:t>
      </w:r>
      <w:r w:rsidRPr="001E4243">
        <w:rPr>
          <w:color w:val="000000" w:themeColor="text1"/>
        </w:rPr>
        <w:t>членки през 20</w:t>
      </w:r>
      <w:r>
        <w:rPr>
          <w:color w:val="000000" w:themeColor="text1"/>
        </w:rPr>
        <w:t>2</w:t>
      </w:r>
      <w:r w:rsidRPr="00A95BDD">
        <w:rPr>
          <w:color w:val="000000" w:themeColor="text1"/>
          <w:lang w:val="ru-RU"/>
        </w:rPr>
        <w:t>2</w:t>
      </w:r>
      <w:r w:rsidRPr="001E4243">
        <w:rPr>
          <w:color w:val="000000" w:themeColor="text1"/>
        </w:rPr>
        <w:t xml:space="preserve"> г. се отчита </w:t>
      </w:r>
      <w:r>
        <w:rPr>
          <w:color w:val="000000" w:themeColor="text1"/>
        </w:rPr>
        <w:t xml:space="preserve">подобрение по отношение на осреднените стойности за дефицита и дълга на държавите от </w:t>
      </w:r>
      <w:r w:rsidRPr="001E4243">
        <w:rPr>
          <w:color w:val="000000" w:themeColor="text1"/>
        </w:rPr>
        <w:t>ЕС. Осреднената стойност на дефицита за държавите</w:t>
      </w:r>
      <w:r>
        <w:rPr>
          <w:color w:val="000000" w:themeColor="text1"/>
        </w:rPr>
        <w:t xml:space="preserve"> </w:t>
      </w:r>
      <w:r w:rsidRPr="001E4243">
        <w:rPr>
          <w:color w:val="000000" w:themeColor="text1"/>
        </w:rPr>
        <w:t>членки на ЕС за 20</w:t>
      </w:r>
      <w:r>
        <w:rPr>
          <w:color w:val="000000" w:themeColor="text1"/>
        </w:rPr>
        <w:t>2</w:t>
      </w:r>
      <w:r w:rsidRPr="00A95BDD">
        <w:rPr>
          <w:color w:val="000000" w:themeColor="text1"/>
          <w:lang w:val="ru-RU"/>
        </w:rPr>
        <w:t>2</w:t>
      </w:r>
      <w:r w:rsidRPr="001E4243">
        <w:rPr>
          <w:color w:val="000000" w:themeColor="text1"/>
        </w:rPr>
        <w:t xml:space="preserve"> г. се равнява на </w:t>
      </w:r>
      <w:r w:rsidRPr="00A95BDD">
        <w:rPr>
          <w:color w:val="000000" w:themeColor="text1"/>
          <w:lang w:val="ru-RU"/>
        </w:rPr>
        <w:t>3</w:t>
      </w:r>
      <w:r w:rsidR="00A95BDD">
        <w:rPr>
          <w:color w:val="000000" w:themeColor="text1"/>
          <w:lang w:val="ru-RU"/>
        </w:rPr>
        <w:t>,</w:t>
      </w:r>
      <w:r w:rsidRPr="00A95BDD">
        <w:rPr>
          <w:color w:val="000000" w:themeColor="text1"/>
          <w:lang w:val="ru-RU"/>
        </w:rPr>
        <w:t>4</w:t>
      </w:r>
      <w:r>
        <w:rPr>
          <w:color w:val="000000" w:themeColor="text1"/>
        </w:rPr>
        <w:t> % от БВП при</w:t>
      </w:r>
      <w:r w:rsidRPr="001E4243">
        <w:rPr>
          <w:color w:val="000000" w:themeColor="text1"/>
        </w:rPr>
        <w:t xml:space="preserve"> </w:t>
      </w:r>
      <w:r>
        <w:rPr>
          <w:color w:val="000000" w:themeColor="text1"/>
        </w:rPr>
        <w:t xml:space="preserve">отчетен дефицит в размер на </w:t>
      </w:r>
      <w:r w:rsidRPr="00A95BDD">
        <w:rPr>
          <w:color w:val="000000" w:themeColor="text1"/>
          <w:lang w:val="ru-RU"/>
        </w:rPr>
        <w:t>4</w:t>
      </w:r>
      <w:r w:rsidR="009C12E9">
        <w:rPr>
          <w:color w:val="000000" w:themeColor="text1"/>
        </w:rPr>
        <w:t>,</w:t>
      </w:r>
      <w:r w:rsidRPr="00A95BDD">
        <w:rPr>
          <w:color w:val="000000" w:themeColor="text1"/>
          <w:lang w:val="ru-RU"/>
        </w:rPr>
        <w:t>8</w:t>
      </w:r>
      <w:r>
        <w:rPr>
          <w:color w:val="000000" w:themeColor="text1"/>
        </w:rPr>
        <w:t> </w:t>
      </w:r>
      <w:r w:rsidRPr="001E4243">
        <w:rPr>
          <w:color w:val="000000" w:themeColor="text1"/>
        </w:rPr>
        <w:t>% от БВП за 20</w:t>
      </w:r>
      <w:r>
        <w:rPr>
          <w:color w:val="000000" w:themeColor="text1"/>
        </w:rPr>
        <w:t>21</w:t>
      </w:r>
      <w:r w:rsidRPr="001E4243">
        <w:rPr>
          <w:color w:val="000000" w:themeColor="text1"/>
        </w:rPr>
        <w:t xml:space="preserve"> г.</w:t>
      </w:r>
      <w:r>
        <w:rPr>
          <w:color w:val="000000" w:themeColor="text1"/>
        </w:rPr>
        <w:t xml:space="preserve">, но все още значително надвишава нивото на показателя за 2019 г. - 0,6 % от БВП, преди избухването на пандемията от </w:t>
      </w:r>
      <w:r>
        <w:rPr>
          <w:color w:val="000000" w:themeColor="text1"/>
          <w:lang w:val="en-US"/>
        </w:rPr>
        <w:t>COVID</w:t>
      </w:r>
      <w:r w:rsidRPr="003B46C7">
        <w:rPr>
          <w:color w:val="000000" w:themeColor="text1"/>
        </w:rPr>
        <w:t>-19</w:t>
      </w:r>
      <w:r>
        <w:rPr>
          <w:color w:val="000000" w:themeColor="text1"/>
        </w:rPr>
        <w:t>. За страните от еврозоната осреднената стойност на дефицита на сектор „Държавно управление“ за 202</w:t>
      </w:r>
      <w:r w:rsidRPr="00A95BDD">
        <w:rPr>
          <w:color w:val="000000" w:themeColor="text1"/>
          <w:lang w:val="ru-RU"/>
        </w:rPr>
        <w:t>2</w:t>
      </w:r>
      <w:r>
        <w:rPr>
          <w:color w:val="000000" w:themeColor="text1"/>
        </w:rPr>
        <w:t xml:space="preserve"> г. възлиза на 3,6 % от БВП при 5,3</w:t>
      </w:r>
      <w:r w:rsidRPr="001E4243">
        <w:rPr>
          <w:color w:val="000000" w:themeColor="text1"/>
        </w:rPr>
        <w:t xml:space="preserve"> % от БВП </w:t>
      </w:r>
      <w:r>
        <w:rPr>
          <w:color w:val="000000" w:themeColor="text1"/>
        </w:rPr>
        <w:t xml:space="preserve">дефицит </w:t>
      </w:r>
      <w:r w:rsidRPr="001E4243">
        <w:rPr>
          <w:color w:val="000000" w:themeColor="text1"/>
        </w:rPr>
        <w:t>за 20</w:t>
      </w:r>
      <w:r>
        <w:rPr>
          <w:color w:val="000000" w:themeColor="text1"/>
        </w:rPr>
        <w:t>2</w:t>
      </w:r>
      <w:r w:rsidRPr="00A95BDD">
        <w:rPr>
          <w:color w:val="000000" w:themeColor="text1"/>
          <w:lang w:val="ru-RU"/>
        </w:rPr>
        <w:t>1</w:t>
      </w:r>
      <w:r w:rsidRPr="001E4243">
        <w:rPr>
          <w:color w:val="000000" w:themeColor="text1"/>
        </w:rPr>
        <w:t xml:space="preserve"> г. </w:t>
      </w:r>
    </w:p>
    <w:p w14:paraId="1FD67EE5" w14:textId="77777777" w:rsidR="006B5C2D" w:rsidRPr="004F6089" w:rsidRDefault="006B5C2D" w:rsidP="006B5C2D">
      <w:pPr>
        <w:spacing w:after="120"/>
        <w:jc w:val="both"/>
        <w:rPr>
          <w:color w:val="000000" w:themeColor="text1"/>
        </w:rPr>
      </w:pPr>
      <w:r w:rsidRPr="00E5710B">
        <w:rPr>
          <w:color w:val="000000" w:themeColor="text1"/>
        </w:rPr>
        <w:t xml:space="preserve">По отношение на дълга, България </w:t>
      </w:r>
      <w:r>
        <w:rPr>
          <w:color w:val="000000" w:themeColor="text1"/>
        </w:rPr>
        <w:t>е втора</w:t>
      </w:r>
      <w:r w:rsidRPr="00E5710B">
        <w:rPr>
          <w:color w:val="000000" w:themeColor="text1"/>
        </w:rPr>
        <w:t xml:space="preserve"> след Естония</w:t>
      </w:r>
      <w:r>
        <w:rPr>
          <w:color w:val="000000" w:themeColor="text1"/>
        </w:rPr>
        <w:t xml:space="preserve"> </w:t>
      </w:r>
      <w:r w:rsidRPr="00E5710B">
        <w:rPr>
          <w:color w:val="000000" w:themeColor="text1"/>
        </w:rPr>
        <w:t>с най-нисък дълг на сектор „Държавно управление“ в ЕС за 20</w:t>
      </w:r>
      <w:r>
        <w:rPr>
          <w:color w:val="000000" w:themeColor="text1"/>
        </w:rPr>
        <w:t>22</w:t>
      </w:r>
      <w:r w:rsidRPr="00E5710B">
        <w:rPr>
          <w:color w:val="000000" w:themeColor="text1"/>
        </w:rPr>
        <w:t xml:space="preserve"> г. </w:t>
      </w:r>
      <w:r w:rsidRPr="00D40081">
        <w:rPr>
          <w:color w:val="000000" w:themeColor="text1"/>
        </w:rPr>
        <w:t xml:space="preserve">– </w:t>
      </w:r>
      <w:r>
        <w:rPr>
          <w:color w:val="000000" w:themeColor="text1"/>
        </w:rPr>
        <w:t>22,9 % от БВП</w:t>
      </w:r>
      <w:r w:rsidRPr="00E5710B">
        <w:rPr>
          <w:color w:val="000000" w:themeColor="text1"/>
        </w:rPr>
        <w:t xml:space="preserve">. </w:t>
      </w:r>
      <w:r>
        <w:rPr>
          <w:color w:val="000000" w:themeColor="text1"/>
        </w:rPr>
        <w:t>Тринадесет</w:t>
      </w:r>
      <w:r w:rsidRPr="001E4243">
        <w:rPr>
          <w:color w:val="000000" w:themeColor="text1"/>
        </w:rPr>
        <w:t xml:space="preserve"> държави</w:t>
      </w:r>
      <w:r w:rsidRPr="00D40081">
        <w:rPr>
          <w:color w:val="000000" w:themeColor="text1"/>
        </w:rPr>
        <w:t xml:space="preserve"> </w:t>
      </w:r>
      <w:r w:rsidRPr="001E4243">
        <w:rPr>
          <w:color w:val="000000" w:themeColor="text1"/>
        </w:rPr>
        <w:t xml:space="preserve">членки </w:t>
      </w:r>
      <w:r w:rsidRPr="004F6089">
        <w:rPr>
          <w:color w:val="000000" w:themeColor="text1"/>
        </w:rPr>
        <w:t xml:space="preserve">надвишават референтната стойност от 60 % от БВП в Пакта за стабилност и растеж, като средно за ЕС дългът се свива с 4,0 пр. п. на годишна база до 84,0 % от БВП за 2022 година. </w:t>
      </w:r>
    </w:p>
    <w:p w14:paraId="02CED22A" w14:textId="77777777" w:rsidR="006B5C2D" w:rsidRPr="004F6089" w:rsidRDefault="006B5C2D" w:rsidP="006B5C2D">
      <w:pPr>
        <w:keepNext/>
        <w:keepLines/>
        <w:spacing w:before="40"/>
        <w:jc w:val="both"/>
        <w:outlineLvl w:val="2"/>
        <w:rPr>
          <w:b/>
          <w:color w:val="000000" w:themeColor="text1"/>
          <w:u w:val="single"/>
          <w:lang w:eastAsia="bg-BG"/>
        </w:rPr>
      </w:pPr>
      <w:r w:rsidRPr="004F6089">
        <w:rPr>
          <w:b/>
          <w:color w:val="000000" w:themeColor="text1"/>
          <w:u w:val="single"/>
          <w:lang w:eastAsia="bg-BG"/>
        </w:rPr>
        <w:t>Развитие на икономическата среда</w:t>
      </w:r>
    </w:p>
    <w:p w14:paraId="4D37BE23" w14:textId="77777777" w:rsidR="004D15F0" w:rsidRPr="004D15F0" w:rsidRDefault="004D15F0" w:rsidP="004D15F0">
      <w:pPr>
        <w:spacing w:before="120"/>
        <w:jc w:val="both"/>
        <w:rPr>
          <w:color w:val="000000" w:themeColor="text1"/>
        </w:rPr>
      </w:pPr>
      <w:r w:rsidRPr="004D15F0">
        <w:rPr>
          <w:color w:val="000000" w:themeColor="text1"/>
        </w:rPr>
        <w:t>През първото тримесечие на 2023 г. бизнес климатът в страната се подобри спрямо последното тримесечие на 2022 г. Това се дължеше на подобрени очаквания, докато оценките за текущото бизнес състояние на предприятията бяха по-резервирани. Динамиката съответства на данните от краткосрочната бизнес статистика, според които в периода януари-февруари е отчетен спад на промишленото производство от 1,6 % спрямо същия период на 2022 г. Това развитие сигнализира за забавяне на икономическия растеж през първото тримесечие на годината. В същото време, при оборота в търговията на дребно бе отчетен стабилен растеж от 4,9 %.</w:t>
      </w:r>
    </w:p>
    <w:p w14:paraId="6E861E40" w14:textId="77777777" w:rsidR="004D15F0" w:rsidRPr="004D15F0" w:rsidRDefault="004D15F0" w:rsidP="004D15F0">
      <w:pPr>
        <w:jc w:val="both"/>
        <w:rPr>
          <w:color w:val="000000" w:themeColor="text1"/>
        </w:rPr>
      </w:pPr>
      <w:r w:rsidRPr="004D15F0">
        <w:rPr>
          <w:color w:val="000000" w:themeColor="text1"/>
        </w:rPr>
        <w:t>През първите три месеца на 2023 г. се наблюдаваше традиционната за този сезон динамика на регистрираните безработни. След като през януари техният брой се повиши спрямо края на 2022 г., през февруари и март броят им намаля и достигна 152 230 души, което е с 2,3 % по-ниско спрямо март 2022 г. Недостигът на квалифицирана работна сила отново увеличи значението си като пречка за предприемачите пред развитието на бизнеса им, което е индикатор за високо равнище на търсене на труд.</w:t>
      </w:r>
    </w:p>
    <w:p w14:paraId="2A437FC7" w14:textId="697910F0" w:rsidR="004D15F0" w:rsidRPr="004D15F0" w:rsidRDefault="004D15F0" w:rsidP="004D15F0">
      <w:pPr>
        <w:spacing w:before="120"/>
        <w:jc w:val="both"/>
        <w:rPr>
          <w:color w:val="000000" w:themeColor="text1"/>
        </w:rPr>
      </w:pPr>
      <w:r w:rsidRPr="004D15F0">
        <w:rPr>
          <w:color w:val="000000" w:themeColor="text1"/>
        </w:rPr>
        <w:t>Започналата от началото на четвъртото тримесечие на 2022 г. тенденция за забавяне на инфлацията в страната продължи и през първите три месеца на 2023 г. Годишният темп на инфлация според ХИПЦ достигна 12,1 % през март, при 15,6 % през септември 2022 г., като основен принос за това имаше същественото свиване на приноса на енергийните стоки във връзка с низходящата ценова динамика на съответните суровини. Поскъпването при хранителните стоки също се забави до 21,5</w:t>
      </w:r>
      <w:r w:rsidR="00A95BDD">
        <w:rPr>
          <w:color w:val="000000" w:themeColor="text1"/>
        </w:rPr>
        <w:t xml:space="preserve"> </w:t>
      </w:r>
      <w:r w:rsidRPr="004D15F0">
        <w:rPr>
          <w:color w:val="000000" w:themeColor="text1"/>
        </w:rPr>
        <w:t>% на годишна база, като тази група формира малко над 40 % от повишението на общия индекс. Базисната инфлация</w:t>
      </w:r>
      <w:r w:rsidRPr="004D15F0">
        <w:rPr>
          <w:color w:val="000000" w:themeColor="text1"/>
          <w:vertAlign w:val="superscript"/>
        </w:rPr>
        <w:footnoteReference w:customMarkFollows="1" w:id="2"/>
        <w:t>[1]</w:t>
      </w:r>
      <w:r w:rsidRPr="004D15F0">
        <w:rPr>
          <w:color w:val="000000" w:themeColor="text1"/>
        </w:rPr>
        <w:t xml:space="preserve"> отчете слабо понижение до </w:t>
      </w:r>
      <w:r w:rsidRPr="004D15F0">
        <w:rPr>
          <w:color w:val="000000" w:themeColor="text1"/>
        </w:rPr>
        <w:lastRenderedPageBreak/>
        <w:t xml:space="preserve">10,8 % спрямо същия месец на 2022 г. Приносът и на двата основни подкомпонента – услуги и неенергийни промишлени стоки, бе почти равностоен, а с проинфлационно влияние бяха както по-високите цени от внос, така и нарастването на доходите в страната и силното вътрешно търсене. </w:t>
      </w:r>
    </w:p>
    <w:p w14:paraId="7A89B8F3" w14:textId="77777777" w:rsidR="004D15F0" w:rsidRPr="004D15F0" w:rsidRDefault="004D15F0" w:rsidP="004D15F0">
      <w:pPr>
        <w:spacing w:before="120"/>
        <w:jc w:val="both"/>
        <w:rPr>
          <w:color w:val="000000" w:themeColor="text1"/>
        </w:rPr>
      </w:pPr>
      <w:r w:rsidRPr="004D15F0">
        <w:rPr>
          <w:color w:val="000000" w:themeColor="text1"/>
        </w:rPr>
        <w:t xml:space="preserve">Балансът на текущата сметка премина в излишък от 0,8 % от прогнозния БВП за първите два месеца на годината, при дефицит от 0,7 % за същия период на 2022 г. Свиването на търговския дефицит бе основна причина за подобрението. Износът на стоки се увеличи с 15,4 %, </w:t>
      </w:r>
      <w:r w:rsidRPr="004D15F0">
        <w:rPr>
          <w:color w:val="000000" w:themeColor="text1"/>
          <w:lang w:val="en-GB"/>
        </w:rPr>
        <w:t>a</w:t>
      </w:r>
      <w:r w:rsidRPr="004D15F0">
        <w:rPr>
          <w:color w:val="000000" w:themeColor="text1"/>
        </w:rPr>
        <w:t xml:space="preserve"> вносът - със 7,5 %. Динамиката и на двете бе водена от търговията със страните от ЕС. Вносът от трети страни се забави много по-съществено от износа. При услугите се наблюдава значително нарастване на приходите от посещения на чужденци в страната, с 49,1 %</w:t>
      </w:r>
      <w:r w:rsidRPr="00A95BDD">
        <w:rPr>
          <w:color w:val="000000" w:themeColor="text1"/>
          <w:lang w:val="ru-RU"/>
        </w:rPr>
        <w:t xml:space="preserve">. </w:t>
      </w:r>
      <w:r w:rsidRPr="004D15F0">
        <w:rPr>
          <w:color w:val="000000" w:themeColor="text1"/>
        </w:rPr>
        <w:t>По-значим положителен принос оказа и износът на ИТ услуги, с увеличение от 16,8 %. Общият баланс на доходните статии се подобри в резултат на по-ниския инвестиционен доход изплатен към нерезиденти.</w:t>
      </w:r>
    </w:p>
    <w:p w14:paraId="1089434F" w14:textId="77777777" w:rsidR="004D15F0" w:rsidRPr="004D15F0" w:rsidRDefault="004D15F0" w:rsidP="004D15F0">
      <w:pPr>
        <w:spacing w:before="120"/>
        <w:jc w:val="both"/>
        <w:rPr>
          <w:color w:val="000000" w:themeColor="text1"/>
        </w:rPr>
      </w:pPr>
      <w:r w:rsidRPr="004D15F0">
        <w:rPr>
          <w:color w:val="000000" w:themeColor="text1"/>
        </w:rPr>
        <w:t>Търсенето на заемни ресурси в икономиката остана високо през първото тримесечие на 2023</w:t>
      </w:r>
      <w:r w:rsidRPr="004D15F0">
        <w:rPr>
          <w:color w:val="000000" w:themeColor="text1"/>
          <w:lang w:val="en-GB"/>
        </w:rPr>
        <w:t> </w:t>
      </w:r>
      <w:r w:rsidRPr="004D15F0">
        <w:rPr>
          <w:color w:val="000000" w:themeColor="text1"/>
        </w:rPr>
        <w:t>г. Темпът на нарастване на кредита за частния сектор се забави от началото на годината, но остана относително висок - 11,9 % в края на март спрямо 12,7 % в края на 2022 г. По-ниският темп се дължеше на по-слабото увеличение на кредитите за нефинансови предприятия (основно на овърдрафта), 7,9 % към март при 10,4 % към декември, докато кредитите за домакинства запазиха скоростта си от края на предходната година, 14,6 %. Кредитите за покупка на жилища се повишиха със 17,8 % на годишна база и също запазиха темпа си на растеж.  Продължаващото силно търсене на кредити за покупка на жилище беше мотивирано от още много ниските номинални лихвени проценти, отрицателната реална възвръщаемост по депозитите, и продължаващия значителен ръст на цените на жилищата. Депозитите на нефинансовите предприятия и домакинствата продължиха да нарастват с относително високи темпове, което осигури стабилен поток от привлечени средства за банковата система.</w:t>
      </w:r>
    </w:p>
    <w:p w14:paraId="0E2600B8" w14:textId="77777777" w:rsidR="006B5C2D" w:rsidRPr="0003165A" w:rsidRDefault="006B5C2D" w:rsidP="006B5C2D">
      <w:pPr>
        <w:jc w:val="both"/>
      </w:pPr>
    </w:p>
    <w:p w14:paraId="62F644E5" w14:textId="77777777" w:rsidR="006B5C2D" w:rsidRPr="005D051A" w:rsidRDefault="006B5C2D" w:rsidP="006B5C2D">
      <w:pPr>
        <w:keepNext/>
        <w:keepLines/>
        <w:spacing w:before="40"/>
        <w:jc w:val="both"/>
        <w:outlineLvl w:val="2"/>
        <w:rPr>
          <w:b/>
          <w:u w:val="single"/>
          <w:lang w:eastAsia="bg-BG"/>
        </w:rPr>
      </w:pPr>
      <w:r w:rsidRPr="005D051A">
        <w:rPr>
          <w:b/>
          <w:u w:val="single"/>
          <w:lang w:eastAsia="bg-BG"/>
        </w:rPr>
        <w:t>Основни акценти във връзка с текущото наблюдение на изпълнението на консолидираната фискална програма за първото тримесечие на 202</w:t>
      </w:r>
      <w:r>
        <w:rPr>
          <w:b/>
          <w:u w:val="single"/>
          <w:lang w:eastAsia="bg-BG"/>
        </w:rPr>
        <w:t>3</w:t>
      </w:r>
      <w:r w:rsidRPr="005D051A">
        <w:rPr>
          <w:b/>
          <w:u w:val="single"/>
          <w:lang w:eastAsia="bg-BG"/>
        </w:rPr>
        <w:t xml:space="preserve"> г.</w:t>
      </w:r>
    </w:p>
    <w:p w14:paraId="1CBDEBEC" w14:textId="77777777" w:rsidR="006B5C2D" w:rsidRPr="005D051A" w:rsidRDefault="006B5C2D" w:rsidP="006B5C2D">
      <w:pPr>
        <w:spacing w:after="120"/>
        <w:jc w:val="both"/>
        <w:rPr>
          <w:color w:val="000000" w:themeColor="text1"/>
          <w:sz w:val="12"/>
          <w:szCs w:val="12"/>
        </w:rPr>
      </w:pPr>
    </w:p>
    <w:p w14:paraId="3D107156" w14:textId="77E696C2" w:rsidR="006B5C2D" w:rsidRDefault="006B5C2D" w:rsidP="006B5C2D">
      <w:pPr>
        <w:spacing w:after="120"/>
        <w:jc w:val="both"/>
        <w:rPr>
          <w:color w:val="000000" w:themeColor="text1"/>
        </w:rPr>
      </w:pPr>
      <w:r w:rsidRPr="00EA08EC">
        <w:rPr>
          <w:color w:val="000000" w:themeColor="text1"/>
        </w:rPr>
        <w:t xml:space="preserve">Фискалните развития през първото тримесечие на 2023 г, </w:t>
      </w:r>
      <w:r w:rsidR="00067469" w:rsidRPr="00067469">
        <w:rPr>
          <w:color w:val="000000" w:themeColor="text1"/>
        </w:rPr>
        <w:t>бяха доминирани от множество фактори, влияещи разнопосочно върху бюджетните показатели</w:t>
      </w:r>
      <w:r w:rsidRPr="00EA08EC">
        <w:rPr>
          <w:color w:val="000000" w:themeColor="text1"/>
        </w:rPr>
        <w:t xml:space="preserve">. </w:t>
      </w:r>
      <w:r w:rsidR="00817AEB" w:rsidRPr="00817AEB">
        <w:rPr>
          <w:color w:val="000000" w:themeColor="text1"/>
        </w:rPr>
        <w:t xml:space="preserve">Настоящата година е втора подред за която до приемането на годишния закон за държавния бюджет се прилага разпоредбата на чл. 87 на Закона за публичните финанси и съответно разпоредбите на удължителен закон. </w:t>
      </w:r>
      <w:r w:rsidRPr="00EA08EC">
        <w:rPr>
          <w:color w:val="000000" w:themeColor="text1"/>
        </w:rPr>
        <w:t>За разлика от предходната година</w:t>
      </w:r>
      <w:r w:rsidR="00A95BDD">
        <w:rPr>
          <w:color w:val="000000" w:themeColor="text1"/>
        </w:rPr>
        <w:t>,</w:t>
      </w:r>
      <w:r w:rsidRPr="00EA08EC">
        <w:rPr>
          <w:color w:val="000000" w:themeColor="text1"/>
        </w:rPr>
        <w:t xml:space="preserve"> срокът на прилагане на тези разпоредби е по-дълъг, като редица законодателни промени, одобрени през 2022 г. </w:t>
      </w:r>
      <w:r w:rsidR="00A95BDD">
        <w:rPr>
          <w:color w:val="000000" w:themeColor="text1"/>
        </w:rPr>
        <w:t>водят до</w:t>
      </w:r>
      <w:r w:rsidRPr="00EA08EC">
        <w:rPr>
          <w:color w:val="000000" w:themeColor="text1"/>
        </w:rPr>
        <w:t xml:space="preserve"> значителен ръст на разходите, в т.ч. промените в пенсионната сфера, увеличените размери на възнагражденията в редица администрации</w:t>
      </w:r>
      <w:r>
        <w:rPr>
          <w:color w:val="000000" w:themeColor="text1"/>
        </w:rPr>
        <w:t xml:space="preserve">, одобрени програми за компенсиране на разходите на небитовите крайни потребители на електрическа енергия и т.н. </w:t>
      </w:r>
    </w:p>
    <w:p w14:paraId="3AD8B75A" w14:textId="4357FBBE" w:rsidR="006B5C2D" w:rsidRDefault="006B5C2D" w:rsidP="006B5C2D">
      <w:pPr>
        <w:spacing w:after="120"/>
        <w:jc w:val="both"/>
        <w:rPr>
          <w:color w:val="000000" w:themeColor="text1"/>
        </w:rPr>
      </w:pPr>
      <w:r>
        <w:rPr>
          <w:color w:val="000000" w:themeColor="text1"/>
        </w:rPr>
        <w:t xml:space="preserve">В допълнение върху фиска продължават да оказват влияние волатилните пазари на суровини и енергоносители, нарушените вериги за доставка и наложените санкции, респективно контрасанкции поради войната в Украйна. Ситуацията през настоящата година е значително променена – за разлика от шоковото нарастване на цената на енергоносителите и в </w:t>
      </w:r>
      <w:r w:rsidRPr="007F01B6">
        <w:rPr>
          <w:color w:val="000000" w:themeColor="text1"/>
        </w:rPr>
        <w:t>частност на нефта на международните пазари непосредствено след избухването на войната, през настоящата година се наблюдава значително поевтиняване и завръщане на цените до предвоенни нива, което съответно се отра</w:t>
      </w:r>
      <w:r>
        <w:rPr>
          <w:color w:val="000000" w:themeColor="text1"/>
        </w:rPr>
        <w:t>зява и върху приходите при облагането при внос и върху данъчна</w:t>
      </w:r>
      <w:r w:rsidR="00537415">
        <w:rPr>
          <w:color w:val="000000" w:themeColor="text1"/>
        </w:rPr>
        <w:t>та основа при сделки при вътре</w:t>
      </w:r>
      <w:r>
        <w:rPr>
          <w:color w:val="000000" w:themeColor="text1"/>
        </w:rPr>
        <w:t>ообщностни придобивания</w:t>
      </w:r>
      <w:r w:rsidRPr="007F01B6">
        <w:rPr>
          <w:color w:val="000000" w:themeColor="text1"/>
        </w:rPr>
        <w:t xml:space="preserve">. </w:t>
      </w:r>
      <w:r>
        <w:t>Средната цена на суровия петрол внесен за преработка средно за първото тримесечие на 2022 г. бе около 97,7</w:t>
      </w:r>
      <w:r w:rsidR="00B73850">
        <w:t> </w:t>
      </w:r>
      <w:r>
        <w:t>щатски долара за барел, докато средно за първото тримесечие на 2023 г. е 54,1 щатски долара</w:t>
      </w:r>
      <w:r w:rsidR="00CF370F">
        <w:t xml:space="preserve"> за барел (намаление с 44</w:t>
      </w:r>
      <w:r>
        <w:t xml:space="preserve">,7 на сто). В допълнение върху размера на ДДС от внос и приходите от мита влияят и курса на щатския долар, спад в количествата суров петрол, внесени за преработка, както и спад на количествата на внесените стоки пораждащи ДДС. </w:t>
      </w:r>
      <w:r w:rsidRPr="007F01B6">
        <w:rPr>
          <w:color w:val="000000" w:themeColor="text1"/>
        </w:rPr>
        <w:t>Подобна е и тенденцията при цените на природния газ и електрическата енергия на регионалните борси. Средномесечната цена на електрическата енергия на сегмента „ден напред“ на БНЕБ спадна от 735 лева/</w:t>
      </w:r>
      <w:r w:rsidRPr="007F01B6">
        <w:rPr>
          <w:color w:val="000000" w:themeColor="text1"/>
          <w:lang w:val="en-US"/>
        </w:rPr>
        <w:t>MWh</w:t>
      </w:r>
      <w:r w:rsidRPr="007F01B6">
        <w:rPr>
          <w:color w:val="000000" w:themeColor="text1"/>
        </w:rPr>
        <w:t xml:space="preserve"> за </w:t>
      </w:r>
      <w:r w:rsidRPr="007F01B6">
        <w:rPr>
          <w:color w:val="000000" w:themeColor="text1"/>
        </w:rPr>
        <w:lastRenderedPageBreak/>
        <w:t>септември 2022 г. до 212 лева/</w:t>
      </w:r>
      <w:r>
        <w:rPr>
          <w:color w:val="000000" w:themeColor="text1"/>
          <w:lang w:val="en-US"/>
        </w:rPr>
        <w:t>MWh</w:t>
      </w:r>
      <w:r>
        <w:rPr>
          <w:color w:val="000000" w:themeColor="text1"/>
        </w:rPr>
        <w:t xml:space="preserve"> за март 2023 г., съвсем близо до заложения праг за изплащане на </w:t>
      </w:r>
      <w:r w:rsidR="000C6079">
        <w:rPr>
          <w:color w:val="000000" w:themeColor="text1"/>
        </w:rPr>
        <w:t>компенсации</w:t>
      </w:r>
      <w:r>
        <w:rPr>
          <w:color w:val="000000" w:themeColor="text1"/>
        </w:rPr>
        <w:t xml:space="preserve"> от 200 лева/</w:t>
      </w:r>
      <w:r>
        <w:rPr>
          <w:color w:val="000000" w:themeColor="text1"/>
          <w:lang w:val="en-US"/>
        </w:rPr>
        <w:t>MWh</w:t>
      </w:r>
      <w:r w:rsidRPr="00A95BDD">
        <w:rPr>
          <w:color w:val="000000" w:themeColor="text1"/>
          <w:lang w:val="ru-RU"/>
        </w:rPr>
        <w:t>.</w:t>
      </w:r>
      <w:r>
        <w:rPr>
          <w:color w:val="000000" w:themeColor="text1"/>
        </w:rPr>
        <w:t xml:space="preserve"> Това</w:t>
      </w:r>
      <w:r w:rsidR="00CF370F">
        <w:rPr>
          <w:color w:val="000000" w:themeColor="text1"/>
        </w:rPr>
        <w:t>,</w:t>
      </w:r>
      <w:r>
        <w:rPr>
          <w:color w:val="000000" w:themeColor="text1"/>
        </w:rPr>
        <w:t xml:space="preserve"> от една страна</w:t>
      </w:r>
      <w:r w:rsidR="00CF370F">
        <w:rPr>
          <w:color w:val="000000" w:themeColor="text1"/>
        </w:rPr>
        <w:t>,</w:t>
      </w:r>
      <w:r>
        <w:rPr>
          <w:color w:val="000000" w:themeColor="text1"/>
        </w:rPr>
        <w:t xml:space="preserve"> намалява натиска върху разходната част на бюджета, като </w:t>
      </w:r>
      <w:r w:rsidR="00CF370F">
        <w:rPr>
          <w:color w:val="000000" w:themeColor="text1"/>
        </w:rPr>
        <w:t>редуцира</w:t>
      </w:r>
      <w:r>
        <w:rPr>
          <w:color w:val="000000" w:themeColor="text1"/>
        </w:rPr>
        <w:t xml:space="preserve"> значително разходите за изплащане на компенсации по бюджета на Фонд „Сигурност на електроенергийната система“ спрямо изплатените за последното тримесечие на 2022 г., </w:t>
      </w:r>
      <w:r w:rsidR="00CF370F">
        <w:rPr>
          <w:color w:val="000000" w:themeColor="text1"/>
        </w:rPr>
        <w:t>а</w:t>
      </w:r>
      <w:r>
        <w:rPr>
          <w:color w:val="000000" w:themeColor="text1"/>
        </w:rPr>
        <w:t xml:space="preserve"> от друга</w:t>
      </w:r>
      <w:r w:rsidR="00CF370F">
        <w:rPr>
          <w:color w:val="000000" w:themeColor="text1"/>
        </w:rPr>
        <w:t xml:space="preserve"> -</w:t>
      </w:r>
      <w:r>
        <w:rPr>
          <w:color w:val="000000" w:themeColor="text1"/>
        </w:rPr>
        <w:t xml:space="preserve"> намали значително данъчната основа и облагаемата печалба в сектор енергетика. Продължава силното представяне на експорта, което съответно води до по-висок ДДС за възстановяване на фирмите износители.</w:t>
      </w:r>
    </w:p>
    <w:p w14:paraId="26FEB9A2" w14:textId="56D2D22B" w:rsidR="006B5C2D" w:rsidRPr="007F01B6" w:rsidRDefault="006B5C2D" w:rsidP="006B5C2D">
      <w:pPr>
        <w:spacing w:after="120"/>
        <w:jc w:val="both"/>
        <w:rPr>
          <w:color w:val="000000" w:themeColor="text1"/>
        </w:rPr>
      </w:pPr>
      <w:r>
        <w:rPr>
          <w:color w:val="000000" w:themeColor="text1"/>
        </w:rPr>
        <w:t>При така действащата законова рамка и на база на параметрите по изпълнението на консолидираната фискална рамка за първите три месеца на 2023 г. се очертава ясно изразена тенденция на изпреварващ ръст на разходите, докато нарастването в частта на приходите е умерено, което съответно води до влошаване на бюджетната позиция спрямо същия период на предходната година. Номиналният ръст на разходите за първите три месеца на 2023 г. спрямо същия период на предходната година е 27 на сто докато приходите нарастват номинално с 18,6</w:t>
      </w:r>
      <w:r w:rsidR="00100931">
        <w:rPr>
          <w:color w:val="000000" w:themeColor="text1"/>
        </w:rPr>
        <w:t> </w:t>
      </w:r>
      <w:r>
        <w:rPr>
          <w:color w:val="000000" w:themeColor="text1"/>
        </w:rPr>
        <w:t>на сто.</w:t>
      </w:r>
    </w:p>
    <w:p w14:paraId="15244FB3" w14:textId="77777777" w:rsidR="006B5C2D" w:rsidRPr="005D051A" w:rsidRDefault="006B5C2D" w:rsidP="006B5C2D">
      <w:pPr>
        <w:spacing w:after="120"/>
        <w:jc w:val="both"/>
        <w:rPr>
          <w:b/>
          <w:i/>
          <w:color w:val="000000" w:themeColor="text1"/>
          <w:u w:val="single"/>
        </w:rPr>
      </w:pPr>
      <w:r w:rsidRPr="005D051A">
        <w:rPr>
          <w:b/>
          <w:i/>
          <w:color w:val="000000" w:themeColor="text1"/>
          <w:u w:val="single"/>
        </w:rPr>
        <w:t xml:space="preserve">Бюджетно салдо по КФП </w:t>
      </w:r>
      <w:r>
        <w:rPr>
          <w:b/>
          <w:i/>
          <w:color w:val="000000" w:themeColor="text1"/>
          <w:u w:val="single"/>
        </w:rPr>
        <w:t>за</w:t>
      </w:r>
      <w:r w:rsidRPr="005D051A">
        <w:rPr>
          <w:b/>
          <w:i/>
          <w:color w:val="000000" w:themeColor="text1"/>
          <w:u w:val="single"/>
        </w:rPr>
        <w:t xml:space="preserve"> първото тримесечие на 202</w:t>
      </w:r>
      <w:r>
        <w:rPr>
          <w:b/>
          <w:i/>
          <w:color w:val="000000" w:themeColor="text1"/>
          <w:u w:val="single"/>
        </w:rPr>
        <w:t>3</w:t>
      </w:r>
      <w:r w:rsidRPr="005D051A">
        <w:rPr>
          <w:b/>
          <w:i/>
          <w:color w:val="000000" w:themeColor="text1"/>
          <w:u w:val="single"/>
        </w:rPr>
        <w:t xml:space="preserve"> г.</w:t>
      </w:r>
    </w:p>
    <w:p w14:paraId="2D124352" w14:textId="3BDD9968" w:rsidR="006B5C2D" w:rsidRPr="00654A03" w:rsidRDefault="006B5C2D" w:rsidP="006B5C2D">
      <w:pPr>
        <w:spacing w:after="120"/>
        <w:jc w:val="both"/>
        <w:rPr>
          <w:color w:val="000000" w:themeColor="text1"/>
        </w:rPr>
      </w:pPr>
      <w:r w:rsidRPr="00654A03">
        <w:rPr>
          <w:color w:val="000000" w:themeColor="text1"/>
        </w:rPr>
        <w:t>На база на данните от месечните отчети за касовото изпълнение на разпоредителите с бюджет за първото тримесечие на 202</w:t>
      </w:r>
      <w:r>
        <w:rPr>
          <w:color w:val="000000" w:themeColor="text1"/>
        </w:rPr>
        <w:t>3</w:t>
      </w:r>
      <w:r w:rsidRPr="00654A03">
        <w:rPr>
          <w:color w:val="000000" w:themeColor="text1"/>
        </w:rPr>
        <w:t xml:space="preserve"> г. бюджетното салдо по КФП </w:t>
      </w:r>
      <w:r>
        <w:rPr>
          <w:color w:val="000000" w:themeColor="text1"/>
        </w:rPr>
        <w:t>е дефицит</w:t>
      </w:r>
      <w:r w:rsidRPr="00654A03">
        <w:rPr>
          <w:color w:val="000000" w:themeColor="text1"/>
        </w:rPr>
        <w:t xml:space="preserve"> в размер на 0,</w:t>
      </w:r>
      <w:r>
        <w:rPr>
          <w:color w:val="000000" w:themeColor="text1"/>
        </w:rPr>
        <w:t>4</w:t>
      </w:r>
      <w:r w:rsidRPr="00654A03">
        <w:rPr>
          <w:color w:val="000000" w:themeColor="text1"/>
        </w:rPr>
        <w:t xml:space="preserve"> от прогнозния БВП. Съпоставено със същия период на предходната година, се отчита </w:t>
      </w:r>
      <w:r w:rsidRPr="00395604">
        <w:rPr>
          <w:color w:val="000000" w:themeColor="text1"/>
        </w:rPr>
        <w:t xml:space="preserve">влошаване на бюджетната позиция с 0,6 пр. п., което се дължи </w:t>
      </w:r>
      <w:r w:rsidR="009A5D58">
        <w:rPr>
          <w:color w:val="000000" w:themeColor="text1"/>
        </w:rPr>
        <w:t>на</w:t>
      </w:r>
      <w:r w:rsidRPr="00395604">
        <w:rPr>
          <w:color w:val="000000" w:themeColor="text1"/>
        </w:rPr>
        <w:t xml:space="preserve"> изпреварващ</w:t>
      </w:r>
      <w:r w:rsidR="009A5D58">
        <w:rPr>
          <w:color w:val="000000" w:themeColor="text1"/>
        </w:rPr>
        <w:t>ия</w:t>
      </w:r>
      <w:r w:rsidRPr="00395604">
        <w:rPr>
          <w:color w:val="000000" w:themeColor="text1"/>
        </w:rPr>
        <w:t xml:space="preserve"> ръст на разходите, произтичащ от действието на влезли в сила актове на Народното събрание и Министерския съвет</w:t>
      </w:r>
      <w:r>
        <w:rPr>
          <w:color w:val="000000" w:themeColor="text1"/>
        </w:rPr>
        <w:t>.</w:t>
      </w:r>
      <w:r w:rsidRPr="00654A03">
        <w:rPr>
          <w:color w:val="000000" w:themeColor="text1"/>
        </w:rPr>
        <w:t xml:space="preserve">  </w:t>
      </w:r>
    </w:p>
    <w:p w14:paraId="30AD6A98" w14:textId="77777777" w:rsidR="006B5C2D" w:rsidRPr="005D051A" w:rsidRDefault="006B5C2D" w:rsidP="006B5C2D">
      <w:pPr>
        <w:spacing w:before="240"/>
        <w:jc w:val="both"/>
        <w:rPr>
          <w:b/>
          <w:i/>
          <w:color w:val="000000" w:themeColor="text1"/>
        </w:rPr>
      </w:pPr>
      <w:r w:rsidRPr="005D051A">
        <w:rPr>
          <w:b/>
          <w:i/>
          <w:color w:val="000000" w:themeColor="text1"/>
        </w:rPr>
        <w:t>Приходи</w:t>
      </w:r>
    </w:p>
    <w:p w14:paraId="07DF1FD7" w14:textId="0A0FCF99" w:rsidR="006B5C2D" w:rsidRDefault="006B5C2D" w:rsidP="006B5C2D">
      <w:pPr>
        <w:autoSpaceDE w:val="0"/>
        <w:autoSpaceDN w:val="0"/>
        <w:adjustRightInd w:val="0"/>
        <w:spacing w:before="120"/>
        <w:jc w:val="both"/>
        <w:rPr>
          <w:noProof/>
          <w:color w:val="000000" w:themeColor="text1"/>
        </w:rPr>
      </w:pPr>
      <w:r w:rsidRPr="005D051A">
        <w:rPr>
          <w:noProof/>
          <w:color w:val="000000" w:themeColor="text1"/>
        </w:rPr>
        <w:t>Общо приходите, помощите и даренията по КФП за първото тримесечие на</w:t>
      </w:r>
      <w:r>
        <w:rPr>
          <w:noProof/>
          <w:color w:val="000000" w:themeColor="text1"/>
        </w:rPr>
        <w:t xml:space="preserve"> 2022 г. нарастват номинално с 2,3</w:t>
      </w:r>
      <w:r w:rsidRPr="005D051A">
        <w:rPr>
          <w:noProof/>
          <w:color w:val="000000" w:themeColor="text1"/>
        </w:rPr>
        <w:t xml:space="preserve"> млрд. лв. (</w:t>
      </w:r>
      <w:r>
        <w:rPr>
          <w:noProof/>
          <w:color w:val="000000" w:themeColor="text1"/>
        </w:rPr>
        <w:t>18,6</w:t>
      </w:r>
      <w:r w:rsidRPr="005D051A">
        <w:rPr>
          <w:noProof/>
          <w:color w:val="000000" w:themeColor="text1"/>
        </w:rPr>
        <w:t xml:space="preserve"> на сто), като основен двигател за това са данъчните и осигурителните приходи</w:t>
      </w:r>
      <w:r>
        <w:rPr>
          <w:noProof/>
          <w:color w:val="000000" w:themeColor="text1"/>
        </w:rPr>
        <w:t>, вкл. и поради въведен</w:t>
      </w:r>
      <w:r w:rsidR="009A5D58">
        <w:rPr>
          <w:noProof/>
          <w:color w:val="000000" w:themeColor="text1"/>
        </w:rPr>
        <w:t>а</w:t>
      </w:r>
      <w:r>
        <w:rPr>
          <w:noProof/>
          <w:color w:val="000000" w:themeColor="text1"/>
        </w:rPr>
        <w:t>т</w:t>
      </w:r>
      <w:r w:rsidR="009A5D58">
        <w:rPr>
          <w:noProof/>
          <w:color w:val="000000" w:themeColor="text1"/>
        </w:rPr>
        <w:t>а</w:t>
      </w:r>
      <w:r>
        <w:rPr>
          <w:noProof/>
          <w:color w:val="000000" w:themeColor="text1"/>
        </w:rPr>
        <w:t xml:space="preserve"> от началото на годината з</w:t>
      </w:r>
      <w:r w:rsidRPr="007C3D08">
        <w:rPr>
          <w:noProof/>
          <w:color w:val="000000" w:themeColor="text1"/>
        </w:rPr>
        <w:t>адължителна временна солидарна вноска за 2022 г. и 2023 г. за дружествата и местата на стопанска дейност от Съюза, извършващи дейност в отраслите на суровия нефт, природния газ, въглищата и нефтопреработването за генерираните свръхпечалби съгласно чл</w:t>
      </w:r>
      <w:r w:rsidR="009A5D58">
        <w:rPr>
          <w:noProof/>
          <w:color w:val="000000" w:themeColor="text1"/>
        </w:rPr>
        <w:t xml:space="preserve">. </w:t>
      </w:r>
      <w:r w:rsidRPr="007C3D08">
        <w:rPr>
          <w:noProof/>
          <w:color w:val="000000" w:themeColor="text1"/>
        </w:rPr>
        <w:t>14 от Регламент (ЕС) 2022/1854 на Съвета от 6 октомври 2022 г. относно спешна намеса за справяне с високите цени на енергията (Регламент (ЕС) 2022/1854)</w:t>
      </w:r>
      <w:r>
        <w:rPr>
          <w:noProof/>
          <w:color w:val="000000" w:themeColor="text1"/>
        </w:rPr>
        <w:t xml:space="preserve">, както и целевите вноски по </w:t>
      </w:r>
      <w:r w:rsidRPr="007C3D08">
        <w:rPr>
          <w:noProof/>
          <w:color w:val="000000" w:themeColor="text1"/>
        </w:rPr>
        <w:t>§ 8 от ПЗР на Закона за прилагане на разпоредби на ЗДБРБ за 2022 г., ЗБДОО за 2022 г. и ЗБНЗОК за 2022 г.</w:t>
      </w:r>
      <w:r>
        <w:rPr>
          <w:noProof/>
          <w:color w:val="000000" w:themeColor="text1"/>
        </w:rPr>
        <w:t xml:space="preserve"> От друга страна</w:t>
      </w:r>
      <w:r w:rsidR="009A5D58">
        <w:rPr>
          <w:noProof/>
          <w:color w:val="000000" w:themeColor="text1"/>
        </w:rPr>
        <w:t>,</w:t>
      </w:r>
      <w:r>
        <w:rPr>
          <w:noProof/>
          <w:color w:val="000000" w:themeColor="text1"/>
        </w:rPr>
        <w:t xml:space="preserve"> следва да се отчете, че и през 2023 г. са в сила</w:t>
      </w:r>
      <w:r w:rsidRPr="005D051A">
        <w:rPr>
          <w:noProof/>
          <w:color w:val="000000" w:themeColor="text1"/>
        </w:rPr>
        <w:t xml:space="preserve"> </w:t>
      </w:r>
      <w:r w:rsidRPr="005D051A">
        <w:rPr>
          <w:color w:val="000000" w:themeColor="text1"/>
        </w:rPr>
        <w:t xml:space="preserve">приетите </w:t>
      </w:r>
      <w:r>
        <w:rPr>
          <w:color w:val="000000" w:themeColor="text1"/>
        </w:rPr>
        <w:t xml:space="preserve">през 2020 г. </w:t>
      </w:r>
      <w:r w:rsidR="009A5D58">
        <w:rPr>
          <w:color w:val="000000" w:themeColor="text1"/>
        </w:rPr>
        <w:t>във връзка с</w:t>
      </w:r>
      <w:r>
        <w:rPr>
          <w:color w:val="000000" w:themeColor="text1"/>
        </w:rPr>
        <w:t xml:space="preserve"> избухването на пандемията от </w:t>
      </w:r>
      <w:r>
        <w:rPr>
          <w:color w:val="000000" w:themeColor="text1"/>
          <w:lang w:val="en-US"/>
        </w:rPr>
        <w:t>COVID</w:t>
      </w:r>
      <w:r w:rsidRPr="00A95BDD">
        <w:rPr>
          <w:color w:val="000000" w:themeColor="text1"/>
          <w:lang w:val="ru-RU"/>
        </w:rPr>
        <w:t xml:space="preserve">-19 </w:t>
      </w:r>
      <w:r w:rsidRPr="005D051A">
        <w:rPr>
          <w:color w:val="000000" w:themeColor="text1"/>
        </w:rPr>
        <w:t>законодателни промени в крайните срокове за подаване на годишната данъчна декларация по Закона за корпоративното подоходно облагане (ЗКПО), както и за внасяне на корпоративния данък, данъка върху разходите, данъка върху приходите на бюджетните предприятия, както и на данъка върху дейността от опериране на кораби</w:t>
      </w:r>
      <w:r>
        <w:rPr>
          <w:color w:val="000000" w:themeColor="text1"/>
        </w:rPr>
        <w:t xml:space="preserve">. С тези промени на сроковете </w:t>
      </w:r>
      <w:r w:rsidRPr="005D051A">
        <w:rPr>
          <w:color w:val="000000" w:themeColor="text1"/>
        </w:rPr>
        <w:t>(от 31 март на 30 юни), част от постъпленията се изместват от края на първото тримесечие в края на второто тримесечие.</w:t>
      </w:r>
      <w:r w:rsidRPr="005D051A">
        <w:rPr>
          <w:noProof/>
          <w:color w:val="000000" w:themeColor="text1"/>
        </w:rPr>
        <w:t xml:space="preserve"> </w:t>
      </w:r>
      <w:r>
        <w:rPr>
          <w:noProof/>
          <w:color w:val="000000" w:themeColor="text1"/>
        </w:rPr>
        <w:t>Продължават да действат и намалени</w:t>
      </w:r>
      <w:r w:rsidR="009A5D58">
        <w:rPr>
          <w:noProof/>
          <w:color w:val="000000" w:themeColor="text1"/>
        </w:rPr>
        <w:t>те</w:t>
      </w:r>
      <w:r>
        <w:rPr>
          <w:noProof/>
          <w:color w:val="000000" w:themeColor="text1"/>
        </w:rPr>
        <w:t xml:space="preserve"> ставки за облагане по ЗДДС и намалени</w:t>
      </w:r>
      <w:r w:rsidR="009A5D58">
        <w:rPr>
          <w:noProof/>
          <w:color w:val="000000" w:themeColor="text1"/>
        </w:rPr>
        <w:t>те</w:t>
      </w:r>
      <w:r>
        <w:rPr>
          <w:noProof/>
          <w:color w:val="000000" w:themeColor="text1"/>
        </w:rPr>
        <w:t xml:space="preserve"> акцизни ставки за някои стоки, което също води, при други равни условия, до по-ниски приходи. </w:t>
      </w:r>
    </w:p>
    <w:p w14:paraId="15D52DAF" w14:textId="35CDF287" w:rsidR="006B5C2D" w:rsidRDefault="006B5C2D" w:rsidP="006B5C2D">
      <w:pPr>
        <w:autoSpaceDE w:val="0"/>
        <w:autoSpaceDN w:val="0"/>
        <w:adjustRightInd w:val="0"/>
        <w:spacing w:before="120"/>
        <w:jc w:val="both"/>
      </w:pPr>
      <w:r>
        <w:t>Постъпленията от данъци и осигурителни вноски нарастват с 1,9 млрд. лв. (19,7 %) спрямо отчетените за същия период на предходната година, като формират 80,4 % от общите постъпления по КФП за периода.</w:t>
      </w:r>
      <w:r>
        <w:rPr>
          <w:noProof/>
          <w:color w:val="000000" w:themeColor="text1"/>
        </w:rPr>
        <w:t xml:space="preserve"> </w:t>
      </w:r>
      <w:r w:rsidRPr="00D2254A">
        <w:rPr>
          <w:noProof/>
          <w:color w:val="000000" w:themeColor="text1"/>
        </w:rPr>
        <w:t>В частта на приходите от пре</w:t>
      </w:r>
      <w:r>
        <w:rPr>
          <w:noProof/>
          <w:color w:val="000000" w:themeColor="text1"/>
        </w:rPr>
        <w:t xml:space="preserve">ки данъци постъпленията </w:t>
      </w:r>
      <w:r>
        <w:t>нарастват  номинално с 0,2</w:t>
      </w:r>
      <w:r>
        <w:rPr>
          <w:rFonts w:eastAsia="Calibri"/>
        </w:rPr>
        <w:t xml:space="preserve"> млрд. лв. </w:t>
      </w:r>
      <w:r>
        <w:rPr>
          <w:rFonts w:eastAsia="Calibri"/>
          <w:lang w:val="ru-RU"/>
        </w:rPr>
        <w:t>(</w:t>
      </w:r>
      <w:r>
        <w:rPr>
          <w:rFonts w:eastAsia="Calibri"/>
        </w:rPr>
        <w:t>14,3 %</w:t>
      </w:r>
      <w:r>
        <w:rPr>
          <w:rFonts w:eastAsia="Calibri"/>
          <w:lang w:val="ru-RU"/>
        </w:rPr>
        <w:t xml:space="preserve">) спрямо </w:t>
      </w:r>
      <w:r>
        <w:t>отчетените към март 2022 г.</w:t>
      </w:r>
      <w:r>
        <w:rPr>
          <w:noProof/>
          <w:color w:val="000000" w:themeColor="text1"/>
        </w:rPr>
        <w:t xml:space="preserve"> Върху постъпленията от преки данъци влияние оказват</w:t>
      </w:r>
      <w:r w:rsidRPr="00D2254A">
        <w:rPr>
          <w:noProof/>
          <w:color w:val="000000" w:themeColor="text1"/>
        </w:rPr>
        <w:t xml:space="preserve"> от една страна, </w:t>
      </w:r>
      <w:r w:rsidRPr="004968A8">
        <w:rPr>
          <w:noProof/>
          <w:color w:val="000000" w:themeColor="text1"/>
        </w:rPr>
        <w:t>посочените променени срокове по ЗКПО, и от друга, ефектите върху постъпленията от ДДФЛ</w:t>
      </w:r>
      <w:r w:rsidRPr="00D2254A">
        <w:rPr>
          <w:noProof/>
          <w:color w:val="000000" w:themeColor="text1"/>
        </w:rPr>
        <w:t xml:space="preserve"> поради ползваното от правоимащите лица </w:t>
      </w:r>
      <w:r>
        <w:rPr>
          <w:noProof/>
          <w:color w:val="000000" w:themeColor="text1"/>
        </w:rPr>
        <w:t xml:space="preserve">на </w:t>
      </w:r>
      <w:r w:rsidRPr="00D2254A">
        <w:rPr>
          <w:noProof/>
          <w:color w:val="000000" w:themeColor="text1"/>
        </w:rPr>
        <w:t>данъчно облекчение за 202</w:t>
      </w:r>
      <w:r>
        <w:rPr>
          <w:noProof/>
          <w:color w:val="000000" w:themeColor="text1"/>
        </w:rPr>
        <w:t>2</w:t>
      </w:r>
      <w:r w:rsidRPr="00D2254A">
        <w:rPr>
          <w:noProof/>
          <w:color w:val="000000" w:themeColor="text1"/>
        </w:rPr>
        <w:t xml:space="preserve"> г.</w:t>
      </w:r>
      <w:r>
        <w:rPr>
          <w:noProof/>
          <w:color w:val="000000" w:themeColor="text1"/>
        </w:rPr>
        <w:t xml:space="preserve"> и 2023 г.</w:t>
      </w:r>
      <w:r w:rsidRPr="00D2254A">
        <w:rPr>
          <w:noProof/>
          <w:color w:val="000000" w:themeColor="text1"/>
        </w:rPr>
        <w:t xml:space="preserve"> по чл. 22в и чл. 22г</w:t>
      </w:r>
      <w:r>
        <w:rPr>
          <w:noProof/>
          <w:color w:val="000000" w:themeColor="text1"/>
        </w:rPr>
        <w:t xml:space="preserve"> </w:t>
      </w:r>
      <w:r w:rsidRPr="00D2254A">
        <w:rPr>
          <w:noProof/>
          <w:color w:val="000000" w:themeColor="text1"/>
        </w:rPr>
        <w:t>от ЗДДФЛ. Постъпленията от социално и здравно осигурителни вноски нарастват с 0,</w:t>
      </w:r>
      <w:r>
        <w:rPr>
          <w:noProof/>
          <w:color w:val="000000" w:themeColor="text1"/>
        </w:rPr>
        <w:t>6</w:t>
      </w:r>
      <w:r w:rsidRPr="00D2254A">
        <w:rPr>
          <w:noProof/>
          <w:color w:val="000000" w:themeColor="text1"/>
        </w:rPr>
        <w:t xml:space="preserve"> млрд. лв. (</w:t>
      </w:r>
      <w:r>
        <w:rPr>
          <w:noProof/>
          <w:color w:val="000000" w:themeColor="text1"/>
        </w:rPr>
        <w:t>18,</w:t>
      </w:r>
      <w:r w:rsidR="009A5D58">
        <w:rPr>
          <w:noProof/>
          <w:color w:val="000000" w:themeColor="text1"/>
        </w:rPr>
        <w:t>5</w:t>
      </w:r>
      <w:r w:rsidRPr="00D2254A">
        <w:rPr>
          <w:noProof/>
          <w:color w:val="000000" w:themeColor="text1"/>
        </w:rPr>
        <w:t xml:space="preserve"> на сто),</w:t>
      </w:r>
      <w:r>
        <w:rPr>
          <w:noProof/>
          <w:color w:val="000000" w:themeColor="text1"/>
        </w:rPr>
        <w:t xml:space="preserve"> като върху постъпленията в групата влияние оказват ръста на средната работна заплата, респективно средния осигурителен доход, както и увеличения</w:t>
      </w:r>
      <w:r w:rsidR="009A5D58">
        <w:rPr>
          <w:noProof/>
          <w:color w:val="000000" w:themeColor="text1"/>
        </w:rPr>
        <w:t>т</w:t>
      </w:r>
      <w:r>
        <w:rPr>
          <w:noProof/>
          <w:color w:val="000000" w:themeColor="text1"/>
        </w:rPr>
        <w:t xml:space="preserve"> размер на минималната работна заплата от януари 2023 г. от </w:t>
      </w:r>
      <w:r>
        <w:t>710 лв. на 780 лв.</w:t>
      </w:r>
      <w:r>
        <w:rPr>
          <w:noProof/>
          <w:color w:val="000000" w:themeColor="text1"/>
        </w:rPr>
        <w:t xml:space="preserve">, ниските нива на безработицата и други. Приходите от косвени данъци нарастват номинално с 0,5 млрд. лв. (9,8 на сто) спрямо първото тримесечие на 2022 г., като върху постъпленията в групата влияние оказват вече посочените по-горе фактори, в т.ч. спад на цените не суровините и енергоносителите на международните пазари, </w:t>
      </w:r>
      <w:r>
        <w:t xml:space="preserve">курса на щатския долар, спад в количествата суров петрол, внесени за </w:t>
      </w:r>
      <w:r w:rsidRPr="00B15872">
        <w:t xml:space="preserve">преработка, както и спад на количествата на внесените стоки пораждащи ДДС и др. При приходите от акцизи </w:t>
      </w:r>
      <w:r w:rsidR="009A5D58">
        <w:t>за</w:t>
      </w:r>
      <w:r w:rsidRPr="00B15872">
        <w:t xml:space="preserve"> месец март има еднократен за годината ефект от въвед</w:t>
      </w:r>
      <w:r w:rsidR="009A5D58">
        <w:t>ените</w:t>
      </w:r>
      <w:r w:rsidRPr="00B15872">
        <w:t xml:space="preserve"> от 01.03.2023 г. по-високи акцизни ставки на освободените за потребление количества тютюн и тютюневи изделия, както и презапасяването с цигари и други тютюневи изделия при действието на предходния по-благоприятен акцизен режим.</w:t>
      </w:r>
      <w:r>
        <w:t xml:space="preserve"> Постъпленията в групата на </w:t>
      </w:r>
      <w:r w:rsidRPr="00755792">
        <w:t>други</w:t>
      </w:r>
      <w:r>
        <w:t>те</w:t>
      </w:r>
      <w:r w:rsidRPr="00755792">
        <w:t xml:space="preserve"> данъци</w:t>
      </w:r>
      <w:r>
        <w:t xml:space="preserve"> (включват други данъци по ЗКПО, имуществени и др. данъци) нарастват номинално с 0,7 млрд. лв., което е близо </w:t>
      </w:r>
      <w:r w:rsidR="009A5D58">
        <w:t>два</w:t>
      </w:r>
      <w:r>
        <w:t xml:space="preserve"> пъти повече от отчетеното за първото тримесечие на 2022 г. (в т. ч. 552,5 млн. лв. целеви вноски във Фонд "Сигурност на електроенергийната система"</w:t>
      </w:r>
      <w:r w:rsidR="009A5D58">
        <w:t xml:space="preserve"> </w:t>
      </w:r>
      <w:r>
        <w:t xml:space="preserve">по </w:t>
      </w:r>
      <w:r w:rsidRPr="007C3D08">
        <w:rPr>
          <w:noProof/>
          <w:color w:val="000000" w:themeColor="text1"/>
        </w:rPr>
        <w:t>§ 8 от ПЗР на Закона за прилагане на разпоредби на ЗДБРБ за 2022 г., ЗБДОО за 2022 г. и ЗБНЗОК за 2022 г.</w:t>
      </w:r>
      <w:r>
        <w:t xml:space="preserve">). </w:t>
      </w:r>
    </w:p>
    <w:p w14:paraId="2E465D5B" w14:textId="676C74D5" w:rsidR="006B5C2D" w:rsidRDefault="006B5C2D" w:rsidP="006B5C2D">
      <w:pPr>
        <w:autoSpaceDE w:val="0"/>
        <w:autoSpaceDN w:val="0"/>
        <w:adjustRightInd w:val="0"/>
        <w:spacing w:before="120"/>
        <w:jc w:val="both"/>
        <w:rPr>
          <w:rFonts w:eastAsia="Calibri"/>
        </w:rPr>
      </w:pPr>
      <w:r w:rsidRPr="002967D1">
        <w:rPr>
          <w:bCs/>
          <w:iCs/>
        </w:rPr>
        <w:t>Неданъчните приходи нарастват с</w:t>
      </w:r>
      <w:r>
        <w:rPr>
          <w:rFonts w:eastAsia="Calibri"/>
        </w:rPr>
        <w:t xml:space="preserve"> 0,4 млрд. лв. (20,4 % на сто) спрямо същия период на</w:t>
      </w:r>
      <w:r>
        <w:t xml:space="preserve"> 2022</w:t>
      </w:r>
      <w:r w:rsidR="00277842">
        <w:rPr>
          <w:lang w:val="en-US"/>
        </w:rPr>
        <w:t> </w:t>
      </w:r>
      <w:r>
        <w:t>г.</w:t>
      </w:r>
      <w:r>
        <w:rPr>
          <w:rFonts w:eastAsia="Calibri"/>
          <w:bCs/>
        </w:rPr>
        <w:t xml:space="preserve"> 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Pr>
          <w:rFonts w:eastAsia="Calibri"/>
        </w:rPr>
        <w:t>.</w:t>
      </w:r>
    </w:p>
    <w:p w14:paraId="5C782A2C" w14:textId="77777777" w:rsidR="006B5C2D" w:rsidRPr="002967D1" w:rsidRDefault="006B5C2D" w:rsidP="006B5C2D">
      <w:pPr>
        <w:autoSpaceDE w:val="0"/>
        <w:autoSpaceDN w:val="0"/>
        <w:adjustRightInd w:val="0"/>
        <w:spacing w:before="120"/>
        <w:jc w:val="both"/>
      </w:pPr>
      <w:r>
        <w:t>Постъпленията в частта на помощите и даренията остават близки до отчетените за същия период на предходната година, като тук се отчитат основно грантовете по програмите и фондовете на ЕС.</w:t>
      </w:r>
    </w:p>
    <w:p w14:paraId="08F6CA15" w14:textId="77777777" w:rsidR="006B5C2D" w:rsidRPr="005D051A" w:rsidRDefault="006B5C2D" w:rsidP="006B5C2D">
      <w:pPr>
        <w:spacing w:before="240"/>
        <w:jc w:val="both"/>
        <w:rPr>
          <w:b/>
          <w:i/>
          <w:color w:val="000000" w:themeColor="text1"/>
        </w:rPr>
      </w:pPr>
      <w:r w:rsidRPr="005D051A">
        <w:rPr>
          <w:b/>
          <w:i/>
          <w:color w:val="000000" w:themeColor="text1"/>
        </w:rPr>
        <w:t>Разходи</w:t>
      </w:r>
    </w:p>
    <w:p w14:paraId="7EB330E9" w14:textId="6EF03203" w:rsidR="006B5C2D" w:rsidRDefault="006B5C2D" w:rsidP="006B5C2D">
      <w:pPr>
        <w:spacing w:before="120" w:after="120"/>
        <w:jc w:val="both"/>
        <w:rPr>
          <w:rFonts w:eastAsia="Calibri"/>
          <w:color w:val="000000" w:themeColor="text1"/>
        </w:rPr>
      </w:pPr>
      <w:r w:rsidRPr="005D051A">
        <w:rPr>
          <w:rFonts w:eastAsia="Calibri"/>
          <w:color w:val="000000" w:themeColor="text1"/>
        </w:rPr>
        <w:t>Разходите по КФП (вкл. вноската на Република България в бюджета на ЕС) към март 202</w:t>
      </w:r>
      <w:r>
        <w:rPr>
          <w:rFonts w:eastAsia="Calibri"/>
          <w:color w:val="000000" w:themeColor="text1"/>
        </w:rPr>
        <w:t>3</w:t>
      </w:r>
      <w:r w:rsidRPr="005D051A">
        <w:rPr>
          <w:rFonts w:eastAsia="Calibri"/>
          <w:color w:val="000000" w:themeColor="text1"/>
        </w:rPr>
        <w:t xml:space="preserve"> г. нарастват номинално с </w:t>
      </w:r>
      <w:r>
        <w:rPr>
          <w:rFonts w:eastAsia="Calibri"/>
          <w:color w:val="000000" w:themeColor="text1"/>
        </w:rPr>
        <w:t>3,3</w:t>
      </w:r>
      <w:r w:rsidRPr="005D051A">
        <w:rPr>
          <w:rFonts w:eastAsia="Calibri"/>
          <w:color w:val="000000" w:themeColor="text1"/>
        </w:rPr>
        <w:t xml:space="preserve"> млрд. лв. </w:t>
      </w:r>
      <w:r>
        <w:rPr>
          <w:rFonts w:eastAsia="Calibri"/>
          <w:color w:val="000000" w:themeColor="text1"/>
        </w:rPr>
        <w:t>(27,0</w:t>
      </w:r>
      <w:r w:rsidRPr="005D051A">
        <w:rPr>
          <w:rFonts w:eastAsia="Calibri"/>
          <w:color w:val="000000" w:themeColor="text1"/>
        </w:rPr>
        <w:t xml:space="preserve"> </w:t>
      </w:r>
      <w:r>
        <w:rPr>
          <w:rFonts w:eastAsia="Calibri"/>
          <w:color w:val="000000" w:themeColor="text1"/>
        </w:rPr>
        <w:t>на сто) спрямо същия период на предходната година</w:t>
      </w:r>
      <w:r w:rsidRPr="005D051A">
        <w:rPr>
          <w:rFonts w:eastAsia="Calibri"/>
          <w:color w:val="000000" w:themeColor="text1"/>
        </w:rPr>
        <w:t xml:space="preserve">. </w:t>
      </w:r>
      <w:r>
        <w:t>В отделните разходни показатели най-значително нарастване има при разходите за пенсии</w:t>
      </w:r>
      <w:r>
        <w:rPr>
          <w:lang w:val="ru-RU"/>
        </w:rPr>
        <w:t xml:space="preserve"> (1</w:t>
      </w:r>
      <w:r>
        <w:rPr>
          <w:lang w:val="en-US"/>
        </w:rPr>
        <w:t> </w:t>
      </w:r>
      <w:r>
        <w:rPr>
          <w:lang w:val="ru-RU"/>
        </w:rPr>
        <w:t xml:space="preserve">050,2 </w:t>
      </w:r>
      <w:r>
        <w:t>млн. лв. или 30,5 на сто</w:t>
      </w:r>
      <w:r>
        <w:rPr>
          <w:lang w:val="ru-RU"/>
        </w:rPr>
        <w:t>)</w:t>
      </w:r>
      <w:r>
        <w:t xml:space="preserve">, както и в частта на разходите за издръжка </w:t>
      </w:r>
      <w:r>
        <w:rPr>
          <w:lang w:val="ru-RU"/>
        </w:rPr>
        <w:t xml:space="preserve">(652,6 </w:t>
      </w:r>
      <w:r>
        <w:t>млн. лв.</w:t>
      </w:r>
      <w:r w:rsidR="0020342F" w:rsidRPr="0092503F">
        <w:rPr>
          <w:lang w:val="ru-RU"/>
        </w:rPr>
        <w:t>)</w:t>
      </w:r>
      <w:r w:rsidRPr="00EA08EC">
        <w:t xml:space="preserve">, разходите за персонал </w:t>
      </w:r>
      <w:r w:rsidRPr="00EA08EC">
        <w:rPr>
          <w:lang w:val="ru-RU"/>
        </w:rPr>
        <w:t xml:space="preserve">(628,2 </w:t>
      </w:r>
      <w:r w:rsidRPr="00EA08EC">
        <w:t>млн. лв. или 20,9 на сто</w:t>
      </w:r>
      <w:r w:rsidRPr="00EA08EC">
        <w:rPr>
          <w:lang w:val="ru-RU"/>
        </w:rPr>
        <w:t>)</w:t>
      </w:r>
      <w:r w:rsidRPr="00EA08EC">
        <w:t xml:space="preserve">, разходите за субсидии </w:t>
      </w:r>
      <w:r w:rsidRPr="00EA08EC">
        <w:rPr>
          <w:lang w:val="ru-RU"/>
        </w:rPr>
        <w:t>(604,8</w:t>
      </w:r>
      <w:r w:rsidR="005835DA">
        <w:rPr>
          <w:lang w:val="ru-RU"/>
        </w:rPr>
        <w:t> </w:t>
      </w:r>
      <w:r w:rsidRPr="00EA08EC">
        <w:t>млн. лв.</w:t>
      </w:r>
      <w:r w:rsidRPr="00EA08EC">
        <w:rPr>
          <w:lang w:val="ru-RU"/>
        </w:rPr>
        <w:t>)</w:t>
      </w:r>
      <w:r w:rsidRPr="00EA08EC">
        <w:t xml:space="preserve"> и други. Ръстът на разходите се дължи на влезли в сила нормативни актове, вкл. промени в пенсионната сфера, разплащане на задължения по бюджета на МРРБ,</w:t>
      </w:r>
      <w:r>
        <w:t xml:space="preserve"> влезли в сила увеличени размери на възнагражденията в редица администрации, действащи програми за изплащане на компенсации на небитовите крайни потребители на електрическа енергия и други.</w:t>
      </w:r>
    </w:p>
    <w:p w14:paraId="3B685E12" w14:textId="60175D7F" w:rsidR="006B5C2D" w:rsidRPr="00B3524F" w:rsidRDefault="006B5C2D" w:rsidP="006B5C2D">
      <w:pPr>
        <w:spacing w:before="120" w:after="120"/>
        <w:jc w:val="both"/>
      </w:pPr>
      <w:r>
        <w:rPr>
          <w:rFonts w:eastAsia="Calibri"/>
          <w:color w:val="000000" w:themeColor="text1"/>
        </w:rPr>
        <w:t xml:space="preserve">За разлика от </w:t>
      </w:r>
      <w:r w:rsidR="009A5D58">
        <w:rPr>
          <w:rFonts w:eastAsia="Calibri"/>
          <w:color w:val="000000" w:themeColor="text1"/>
        </w:rPr>
        <w:t>2022 г.</w:t>
      </w:r>
      <w:r>
        <w:rPr>
          <w:rFonts w:eastAsia="Calibri"/>
          <w:color w:val="000000" w:themeColor="text1"/>
        </w:rPr>
        <w:t>, когато п</w:t>
      </w:r>
      <w:r w:rsidRPr="005D051A">
        <w:rPr>
          <w:rFonts w:eastAsia="Calibri"/>
          <w:color w:val="000000" w:themeColor="text1"/>
        </w:rPr>
        <w:t xml:space="preserve">о-късното приемане на ЗДБРБ за 2022 г. и прилагането на хипотезата на чл. 87 </w:t>
      </w:r>
      <w:r>
        <w:rPr>
          <w:rFonts w:eastAsia="Calibri"/>
          <w:color w:val="000000" w:themeColor="text1"/>
        </w:rPr>
        <w:t xml:space="preserve">на Закона за публичните финанси и удължителен закон доведоха до задържане на разходите на ниво близко до отчетените за първото тримесечие на 2021 г., през 2023 г. при прилагането на аналогична законова рамка разходите отчитат значителен ръст. </w:t>
      </w:r>
      <w:r w:rsidR="00F36019">
        <w:rPr>
          <w:rFonts w:eastAsia="Calibri"/>
          <w:color w:val="000000" w:themeColor="text1"/>
        </w:rPr>
        <w:t>Н</w:t>
      </w:r>
      <w:r w:rsidRPr="005D051A">
        <w:rPr>
          <w:rFonts w:eastAsia="Calibri"/>
          <w:color w:val="000000" w:themeColor="text1"/>
        </w:rPr>
        <w:t xml:space="preserve">ай-значителен </w:t>
      </w:r>
      <w:r>
        <w:rPr>
          <w:rFonts w:eastAsia="Calibri"/>
          <w:color w:val="000000" w:themeColor="text1"/>
        </w:rPr>
        <w:t xml:space="preserve">в абсолютно изражение </w:t>
      </w:r>
      <w:r w:rsidRPr="005D051A">
        <w:rPr>
          <w:rFonts w:eastAsia="Calibri"/>
          <w:color w:val="000000" w:themeColor="text1"/>
        </w:rPr>
        <w:t xml:space="preserve">номинален ръст се отчита при социалните разходи, </w:t>
      </w:r>
      <w:r>
        <w:rPr>
          <w:rFonts w:eastAsia="Calibri"/>
          <w:color w:val="000000" w:themeColor="text1"/>
        </w:rPr>
        <w:t>гла</w:t>
      </w:r>
      <w:r w:rsidRPr="005D051A">
        <w:rPr>
          <w:rFonts w:eastAsia="Calibri"/>
          <w:color w:val="000000" w:themeColor="text1"/>
        </w:rPr>
        <w:t>вно в ча</w:t>
      </w:r>
      <w:r>
        <w:rPr>
          <w:rFonts w:eastAsia="Calibri"/>
          <w:color w:val="000000" w:themeColor="text1"/>
        </w:rPr>
        <w:t>стта на разходите за пенсии</w:t>
      </w:r>
      <w:r w:rsidRPr="005D051A">
        <w:rPr>
          <w:rFonts w:eastAsia="Calibri"/>
          <w:color w:val="000000" w:themeColor="text1"/>
        </w:rPr>
        <w:t>. Основните мерки в пенсионната сфера</w:t>
      </w:r>
      <w:r>
        <w:rPr>
          <w:rFonts w:eastAsia="Calibri"/>
          <w:color w:val="000000" w:themeColor="text1"/>
        </w:rPr>
        <w:t>,</w:t>
      </w:r>
      <w:r w:rsidRPr="005D051A">
        <w:rPr>
          <w:rFonts w:eastAsia="Calibri"/>
          <w:color w:val="000000" w:themeColor="text1"/>
        </w:rPr>
        <w:t xml:space="preserve"> действащи през първото тримесечие на 202</w:t>
      </w:r>
      <w:r>
        <w:rPr>
          <w:rFonts w:eastAsia="Calibri"/>
          <w:color w:val="000000" w:themeColor="text1"/>
        </w:rPr>
        <w:t>3</w:t>
      </w:r>
      <w:r w:rsidRPr="005D051A">
        <w:rPr>
          <w:rFonts w:eastAsia="Calibri"/>
          <w:color w:val="000000" w:themeColor="text1"/>
        </w:rPr>
        <w:t xml:space="preserve"> г.</w:t>
      </w:r>
      <w:r>
        <w:rPr>
          <w:rFonts w:eastAsia="Calibri"/>
          <w:color w:val="000000" w:themeColor="text1"/>
        </w:rPr>
        <w:t>,</w:t>
      </w:r>
      <w:r w:rsidRPr="005D051A">
        <w:rPr>
          <w:rFonts w:eastAsia="Calibri"/>
          <w:color w:val="000000" w:themeColor="text1"/>
        </w:rPr>
        <w:t xml:space="preserve"> влязоха в сила от </w:t>
      </w:r>
      <w:r>
        <w:rPr>
          <w:rFonts w:eastAsia="Calibri"/>
          <w:color w:val="000000" w:themeColor="text1"/>
        </w:rPr>
        <w:t>01</w:t>
      </w:r>
      <w:r w:rsidRPr="005D051A">
        <w:rPr>
          <w:rFonts w:eastAsia="Calibri"/>
          <w:color w:val="000000" w:themeColor="text1"/>
        </w:rPr>
        <w:t xml:space="preserve"> </w:t>
      </w:r>
      <w:r>
        <w:rPr>
          <w:rFonts w:eastAsia="Calibri"/>
          <w:color w:val="000000" w:themeColor="text1"/>
        </w:rPr>
        <w:t>юли</w:t>
      </w:r>
      <w:r w:rsidRPr="005D051A">
        <w:rPr>
          <w:rFonts w:eastAsia="Calibri"/>
          <w:color w:val="000000" w:themeColor="text1"/>
        </w:rPr>
        <w:t xml:space="preserve"> 202</w:t>
      </w:r>
      <w:r>
        <w:rPr>
          <w:rFonts w:eastAsia="Calibri"/>
          <w:color w:val="000000" w:themeColor="text1"/>
        </w:rPr>
        <w:t>2</w:t>
      </w:r>
      <w:r w:rsidRPr="005D051A">
        <w:rPr>
          <w:rFonts w:eastAsia="Calibri"/>
          <w:color w:val="000000" w:themeColor="text1"/>
        </w:rPr>
        <w:t xml:space="preserve"> г.</w:t>
      </w:r>
      <w:r>
        <w:rPr>
          <w:rFonts w:eastAsia="Calibri"/>
          <w:color w:val="000000" w:themeColor="text1"/>
        </w:rPr>
        <w:t xml:space="preserve"> и 01 октомври 2022 г.</w:t>
      </w:r>
      <w:r w:rsidRPr="005D051A">
        <w:rPr>
          <w:rFonts w:eastAsia="Calibri"/>
          <w:color w:val="000000" w:themeColor="text1"/>
        </w:rPr>
        <w:t>, и включват</w:t>
      </w:r>
      <w:r>
        <w:rPr>
          <w:rFonts w:eastAsia="Calibri"/>
          <w:color w:val="000000" w:themeColor="text1"/>
        </w:rPr>
        <w:t>:</w:t>
      </w:r>
      <w:r w:rsidRPr="005D051A">
        <w:rPr>
          <w:rFonts w:eastAsia="Calibri"/>
          <w:color w:val="000000" w:themeColor="text1"/>
        </w:rPr>
        <w:t xml:space="preserve"> увеличение на размера на минималната пенсия за осигурителен стаж и възраст от 3</w:t>
      </w:r>
      <w:r>
        <w:rPr>
          <w:rFonts w:eastAsia="Calibri"/>
          <w:color w:val="000000" w:themeColor="text1"/>
        </w:rPr>
        <w:t>70</w:t>
      </w:r>
      <w:r w:rsidRPr="005D051A">
        <w:rPr>
          <w:rFonts w:eastAsia="Calibri"/>
          <w:color w:val="000000" w:themeColor="text1"/>
        </w:rPr>
        <w:t xml:space="preserve"> лева на </w:t>
      </w:r>
      <w:r>
        <w:rPr>
          <w:rFonts w:eastAsia="Calibri"/>
          <w:color w:val="000000" w:themeColor="text1"/>
        </w:rPr>
        <w:t>427 лева;</w:t>
      </w:r>
      <w:r w:rsidRPr="005D051A">
        <w:rPr>
          <w:rFonts w:eastAsia="Calibri"/>
          <w:color w:val="000000" w:themeColor="text1"/>
        </w:rPr>
        <w:t xml:space="preserve"> </w:t>
      </w:r>
      <w:r>
        <w:rPr>
          <w:rFonts w:eastAsia="Calibri"/>
          <w:color w:val="000000" w:themeColor="text1"/>
        </w:rPr>
        <w:t xml:space="preserve">увеличение на всички пенсии с 10 на сто от 01 юли 2022 г., като към пенсиите се добавят и 60 лева, изплащани до тогава като добавка към пенсиите; </w:t>
      </w:r>
      <w:r w:rsidRPr="005D051A">
        <w:rPr>
          <w:rFonts w:eastAsia="Calibri"/>
          <w:color w:val="000000" w:themeColor="text1"/>
        </w:rPr>
        <w:t xml:space="preserve">преизчисляване </w:t>
      </w:r>
      <w:r>
        <w:rPr>
          <w:rFonts w:eastAsia="Calibri"/>
          <w:color w:val="000000" w:themeColor="text1"/>
        </w:rPr>
        <w:t xml:space="preserve">от 01 октомври 2022 г. на пенсиите </w:t>
      </w:r>
      <w:r>
        <w:t xml:space="preserve">за трудова дейност, отпуснати с начална дата преди 31.12.2021 г., като за тях се определя размер, относим към 2008 г., който се осъвременява с установените проценти за всяка календарна година след 2007 г., отчитайки средномесечния осигурителен доход за страната и т.н. </w:t>
      </w:r>
      <w:r>
        <w:rPr>
          <w:rFonts w:eastAsia="Calibri"/>
          <w:color w:val="000000" w:themeColor="text1"/>
        </w:rPr>
        <w:t xml:space="preserve">Разходите за издръжка са друг разходен показател, където се отчита значително нарастване в абсолютен размер спрямо </w:t>
      </w:r>
      <w:r w:rsidRPr="00EA08EC">
        <w:rPr>
          <w:rFonts w:eastAsia="Calibri"/>
          <w:color w:val="000000" w:themeColor="text1"/>
        </w:rPr>
        <w:t xml:space="preserve">същия период на предходната година. Основната причина за ръста на разходите в тази група </w:t>
      </w:r>
      <w:r w:rsidRPr="004F2F44">
        <w:rPr>
          <w:rFonts w:eastAsia="Calibri"/>
          <w:color w:val="000000" w:themeColor="text1"/>
        </w:rPr>
        <w:t>са разплатени задължения от предходни години за дейности по текущ ремонт и поддръжка на републиканската пътна инфраструктура и други проекти, за които бе одобрено финансиране с РМС №103/2023 г. Разходите за персонал нарастват основно</w:t>
      </w:r>
      <w:r w:rsidR="00C74044">
        <w:rPr>
          <w:rFonts w:eastAsia="Calibri"/>
          <w:color w:val="000000" w:themeColor="text1"/>
        </w:rPr>
        <w:t xml:space="preserve"> поради влезли в сила през 2022 </w:t>
      </w:r>
      <w:r w:rsidRPr="004F2F44">
        <w:rPr>
          <w:rFonts w:eastAsia="Calibri"/>
          <w:color w:val="000000" w:themeColor="text1"/>
        </w:rPr>
        <w:t>г. увеличени</w:t>
      </w:r>
      <w:r>
        <w:rPr>
          <w:rFonts w:eastAsia="Calibri"/>
          <w:color w:val="000000" w:themeColor="text1"/>
        </w:rPr>
        <w:t xml:space="preserve"> размери на възнагражденията в някои администрации, включително и с приетите промени в ЗДБРБ за 2022 г. от юли 2022 г. В частта на разходите за субсидии още от второто тримесечие на 2022 г. фокусът бе изместен от мерки за борба с пандемията от </w:t>
      </w:r>
      <w:r>
        <w:rPr>
          <w:rFonts w:eastAsia="Calibri"/>
          <w:color w:val="000000" w:themeColor="text1"/>
          <w:lang w:val="en-US"/>
        </w:rPr>
        <w:t>COVID</w:t>
      </w:r>
      <w:r w:rsidRPr="00A95BDD">
        <w:rPr>
          <w:rFonts w:eastAsia="Calibri"/>
          <w:color w:val="000000" w:themeColor="text1"/>
          <w:lang w:val="ru-RU"/>
        </w:rPr>
        <w:t>-19</w:t>
      </w:r>
      <w:r>
        <w:rPr>
          <w:rFonts w:eastAsia="Calibri"/>
          <w:color w:val="000000" w:themeColor="text1"/>
        </w:rPr>
        <w:t xml:space="preserve"> и запазване на заетост към мерки </w:t>
      </w:r>
      <w:r w:rsidRPr="00DC023B">
        <w:t>за компенсиране на небитовите крайни к</w:t>
      </w:r>
      <w:r>
        <w:t xml:space="preserve">лиенти на електрическа енергия за високите цени на електричеството. През първото тримесечие на 2023 г. разходите на Фонд „Сигурност на електроенергийната система“ (ФСЕС) за изплащане на компенсации за небитовите крайни клиенти на електрическа енергия </w:t>
      </w:r>
      <w:r w:rsidR="00C74044">
        <w:t xml:space="preserve">по програмите, </w:t>
      </w:r>
      <w:r>
        <w:t>приети с РМС № 710/2022 г. и РМС №104/2023 г. са в размер на близо 0,</w:t>
      </w:r>
      <w:r w:rsidR="00B40BE5">
        <w:t>55</w:t>
      </w:r>
      <w:r>
        <w:t xml:space="preserve"> млрд. лв. Именно тези разходи, отчетени в частта на разходите за субсидии</w:t>
      </w:r>
      <w:r w:rsidR="007E56AE">
        <w:t>,</w:t>
      </w:r>
      <w:r>
        <w:t xml:space="preserve"> са основната причина за значителния ръст на разходите в този показател спрямо същия период на предходната година. Програмата за компенсиране на разходите на небитовите крайни клиенти за електрическа енергия и на операторите на електропреносната и на електроразпределителните мрежи за закупуване на количества електрическа енергия, потребна за технологични разходи за периода 01 януари – 31 март 2023 г. (РМС №104/2023</w:t>
      </w:r>
      <w:r w:rsidR="00F36019">
        <w:t xml:space="preserve"> г.</w:t>
      </w:r>
      <w:r>
        <w:t>) предвижда компенсации в размер на 100 на сто от разликата между средномесечната борсова цена за базов товар на сегмента „ден напред“ на БНЕБ и базова цена от 200 лева/</w:t>
      </w:r>
      <w:r>
        <w:rPr>
          <w:lang w:val="en-US"/>
        </w:rPr>
        <w:t>MWh</w:t>
      </w:r>
      <w:r w:rsidRPr="00A95BDD">
        <w:rPr>
          <w:lang w:val="ru-RU"/>
        </w:rPr>
        <w:t>.</w:t>
      </w:r>
      <w:r>
        <w:t xml:space="preserve"> През месец януари </w:t>
      </w:r>
      <w:r w:rsidR="00F36019">
        <w:t xml:space="preserve">се извършиха </w:t>
      </w:r>
      <w:r>
        <w:t>и плащания по Програмата за компенсиране на разходите на небитовите крайни клиенти за електрическа енергия и на операторите на електропреносната и на електроразпределителните мрежи за закупуване на количества електрическа енергия, потребна за технологични разходи за периода 01 октомври – 31 декември 2022 г. (РМС №710/2022</w:t>
      </w:r>
      <w:r w:rsidR="00F36019">
        <w:t xml:space="preserve"> г.</w:t>
      </w:r>
      <w:r>
        <w:t xml:space="preserve">), дължими за месец декември 2022 г. и изплатени през януари 2023 г. Програмата по РМС №710/2022 </w:t>
      </w:r>
      <w:r w:rsidR="00F36019">
        <w:t xml:space="preserve">г. </w:t>
      </w:r>
      <w:r>
        <w:t>предвиждаше компенсации в размер на 100 на сто от разликата между средномесечната борсова цена за базов товар на сегмента „ден напред“ на БНЕБ и базова цена от 250 лева/</w:t>
      </w:r>
      <w:r>
        <w:rPr>
          <w:lang w:val="en-US"/>
        </w:rPr>
        <w:t>MWh</w:t>
      </w:r>
      <w:r w:rsidRPr="00A95BDD">
        <w:rPr>
          <w:lang w:val="ru-RU"/>
        </w:rPr>
        <w:t>.</w:t>
      </w:r>
      <w:r>
        <w:t xml:space="preserve"> При другите елементи на разходите се отчита по-умерен ръст, докато разходите за лихви са по-ниски от отчетените за същия период на предходната година.</w:t>
      </w:r>
    </w:p>
    <w:p w14:paraId="51D85DB3" w14:textId="736CF366" w:rsidR="005024E0" w:rsidRPr="004954B5" w:rsidRDefault="005024E0" w:rsidP="005024E0">
      <w:pPr>
        <w:pStyle w:val="Heading1"/>
        <w:spacing w:before="240"/>
        <w:ind w:left="142" w:right="-108"/>
        <w:jc w:val="both"/>
        <w:rPr>
          <w:sz w:val="24"/>
        </w:rPr>
      </w:pPr>
      <w:r w:rsidRPr="004954B5">
        <w:rPr>
          <w:sz w:val="24"/>
        </w:rPr>
        <w:t>Информация за разходи, свързани с хуманитарната криза породена от военните действия в Украйна</w:t>
      </w:r>
      <w:bookmarkEnd w:id="0"/>
    </w:p>
    <w:p w14:paraId="0C255B36" w14:textId="5C3E0CA8" w:rsidR="00534CF1" w:rsidRPr="00792849" w:rsidRDefault="00534CF1" w:rsidP="004B20AC">
      <w:pPr>
        <w:spacing w:before="120"/>
        <w:jc w:val="both"/>
        <w:rPr>
          <w:bCs/>
          <w:lang w:eastAsia="bg-BG"/>
        </w:rPr>
      </w:pPr>
      <w:r w:rsidRPr="00792849">
        <w:rPr>
          <w:lang w:eastAsia="bg-BG"/>
        </w:rPr>
        <w:t>Отчетените от ПРБ разходи към 3</w:t>
      </w:r>
      <w:r w:rsidR="00792849" w:rsidRPr="00AB241B">
        <w:rPr>
          <w:lang w:val="ru-RU" w:eastAsia="bg-BG"/>
        </w:rPr>
        <w:t>1</w:t>
      </w:r>
      <w:r w:rsidRPr="00792849">
        <w:rPr>
          <w:lang w:eastAsia="bg-BG"/>
        </w:rPr>
        <w:t>.0</w:t>
      </w:r>
      <w:r w:rsidR="00792849" w:rsidRPr="00AB241B">
        <w:rPr>
          <w:lang w:val="ru-RU" w:eastAsia="bg-BG"/>
        </w:rPr>
        <w:t>3</w:t>
      </w:r>
      <w:r w:rsidRPr="00792849">
        <w:rPr>
          <w:lang w:eastAsia="bg-BG"/>
        </w:rPr>
        <w:t>.202</w:t>
      </w:r>
      <w:r w:rsidR="00792849" w:rsidRPr="00AB241B">
        <w:rPr>
          <w:lang w:val="ru-RU" w:eastAsia="bg-BG"/>
        </w:rPr>
        <w:t>3</w:t>
      </w:r>
      <w:r w:rsidRPr="00792849">
        <w:rPr>
          <w:lang w:eastAsia="bg-BG"/>
        </w:rPr>
        <w:t xml:space="preserve"> г.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както и за извършване на разходи за справяне с последствията от военните действия срещу Украйна</w:t>
      </w:r>
      <w:r w:rsidR="00C52EE1">
        <w:rPr>
          <w:lang w:eastAsia="bg-BG"/>
        </w:rPr>
        <w:t>,</w:t>
      </w:r>
      <w:r w:rsidRPr="00792849">
        <w:rPr>
          <w:lang w:eastAsia="bg-BG"/>
        </w:rPr>
        <w:t xml:space="preserve"> са в размер на </w:t>
      </w:r>
      <w:r w:rsidR="00792849" w:rsidRPr="00AB241B">
        <w:rPr>
          <w:lang w:val="ru-RU" w:eastAsia="bg-BG"/>
        </w:rPr>
        <w:t>17,3</w:t>
      </w:r>
      <w:r w:rsidRPr="00792849">
        <w:rPr>
          <w:lang w:eastAsia="bg-BG"/>
        </w:rPr>
        <w:t xml:space="preserve"> млн.</w:t>
      </w:r>
      <w:r w:rsidRPr="00792849">
        <w:rPr>
          <w:bCs/>
          <w:lang w:eastAsia="bg-BG"/>
        </w:rPr>
        <w:t xml:space="preserve"> лв.</w:t>
      </w:r>
      <w:r w:rsidR="00792849" w:rsidRPr="00792849">
        <w:rPr>
          <w:bCs/>
          <w:lang w:eastAsia="bg-BG"/>
        </w:rPr>
        <w:t xml:space="preserve"> за сметка на националния бюджет и 4</w:t>
      </w:r>
      <w:r w:rsidRPr="00792849">
        <w:rPr>
          <w:bCs/>
          <w:lang w:eastAsia="bg-BG"/>
        </w:rPr>
        <w:t xml:space="preserve">,4 млн. лв. за сметка на </w:t>
      </w:r>
      <w:r w:rsidR="00792849" w:rsidRPr="00792849">
        <w:rPr>
          <w:bCs/>
          <w:lang w:eastAsia="bg-BG"/>
        </w:rPr>
        <w:t>средства от ЕС</w:t>
      </w:r>
      <w:r w:rsidRPr="00792849">
        <w:rPr>
          <w:bCs/>
          <w:lang w:eastAsia="bg-BG"/>
        </w:rPr>
        <w:t>.</w:t>
      </w:r>
      <w:r w:rsidR="00905E17" w:rsidRPr="00792849">
        <w:rPr>
          <w:bCs/>
          <w:lang w:eastAsia="bg-BG"/>
        </w:rPr>
        <w:t xml:space="preserve"> </w:t>
      </w:r>
      <w:r w:rsidR="00B4333D" w:rsidRPr="00792849">
        <w:rPr>
          <w:bCs/>
          <w:lang w:eastAsia="bg-BG"/>
        </w:rPr>
        <w:t xml:space="preserve"> По бюджетите на общините отчетените разходи са в размер на </w:t>
      </w:r>
      <w:r w:rsidR="00792849" w:rsidRPr="00792849">
        <w:rPr>
          <w:bCs/>
          <w:lang w:eastAsia="bg-BG"/>
        </w:rPr>
        <w:t>0</w:t>
      </w:r>
      <w:r w:rsidR="00B4333D" w:rsidRPr="00792849">
        <w:rPr>
          <w:bCs/>
          <w:lang w:eastAsia="bg-BG"/>
        </w:rPr>
        <w:t>,</w:t>
      </w:r>
      <w:r w:rsidR="00792849" w:rsidRPr="00792849">
        <w:rPr>
          <w:bCs/>
          <w:lang w:eastAsia="bg-BG"/>
        </w:rPr>
        <w:t>6</w:t>
      </w:r>
      <w:r w:rsidR="00B4333D" w:rsidRPr="00792849">
        <w:rPr>
          <w:bCs/>
          <w:lang w:eastAsia="bg-BG"/>
        </w:rPr>
        <w:t xml:space="preserve"> млн. лв.</w:t>
      </w:r>
      <w:r w:rsidR="00792849" w:rsidRPr="00792849">
        <w:rPr>
          <w:bCs/>
          <w:lang w:eastAsia="bg-BG"/>
        </w:rPr>
        <w:t>, от които 0,2 млн. лв. за сметка на средства от ЕС.</w:t>
      </w:r>
    </w:p>
    <w:p w14:paraId="1028DA2C" w14:textId="339ACE2F" w:rsidR="00534CF1" w:rsidRPr="00715E0F" w:rsidRDefault="00534CF1" w:rsidP="004B20AC">
      <w:pPr>
        <w:spacing w:before="120"/>
        <w:jc w:val="both"/>
        <w:rPr>
          <w:bCs/>
          <w:lang w:eastAsia="bg-BG"/>
        </w:rPr>
      </w:pPr>
      <w:r w:rsidRPr="002D3FB5">
        <w:rPr>
          <w:b/>
          <w:i/>
          <w:lang w:eastAsia="bg-BG"/>
        </w:rPr>
        <w:t>Програми за хуманитарна помощ за лица, търсещи временна закрила</w:t>
      </w:r>
      <w:r w:rsidRPr="002D3FB5">
        <w:rPr>
          <w:lang w:eastAsia="bg-BG"/>
        </w:rPr>
        <w:t xml:space="preserve"> - в началото на март</w:t>
      </w:r>
      <w:r w:rsidR="002D3FB5" w:rsidRPr="002D3FB5">
        <w:rPr>
          <w:lang w:eastAsia="bg-BG"/>
        </w:rPr>
        <w:t xml:space="preserve"> 2022 г.</w:t>
      </w:r>
      <w:r w:rsidRPr="002D3FB5">
        <w:rPr>
          <w:lang w:eastAsia="bg-BG"/>
        </w:rPr>
        <w:t xml:space="preserve"> с РМС № 145/2022 г. бе одобрена Програма за ползване на хуманитарна помощ за лица, търсещи временна закрила в Република България вследствие на военните действия в Реп</w:t>
      </w:r>
      <w:r w:rsidR="00715E0F">
        <w:rPr>
          <w:lang w:eastAsia="bg-BG"/>
        </w:rPr>
        <w:t>ублика Украйна</w:t>
      </w:r>
      <w:r w:rsidRPr="002D3FB5">
        <w:rPr>
          <w:lang w:eastAsia="bg-BG"/>
        </w:rPr>
        <w:t>, която по-късно бе изменена и допълнена с РМС № 181</w:t>
      </w:r>
      <w:r w:rsidR="002D3FB5" w:rsidRPr="002D3FB5">
        <w:rPr>
          <w:lang w:eastAsia="bg-BG"/>
        </w:rPr>
        <w:t>/2022 и РМС № 239/2022 г</w:t>
      </w:r>
      <w:r w:rsidR="009D7B2B" w:rsidRPr="002D3FB5">
        <w:rPr>
          <w:lang w:eastAsia="bg-BG"/>
        </w:rPr>
        <w:t>.</w:t>
      </w:r>
      <w:r w:rsidR="00715E0F">
        <w:rPr>
          <w:lang w:eastAsia="bg-BG"/>
        </w:rPr>
        <w:t xml:space="preserve"> </w:t>
      </w:r>
      <w:r w:rsidR="00715E0F" w:rsidRPr="00715E0F">
        <w:rPr>
          <w:lang w:eastAsia="bg-BG"/>
        </w:rPr>
        <w:t>С РМС № 317</w:t>
      </w:r>
      <w:r w:rsidR="00715E0F">
        <w:rPr>
          <w:lang w:eastAsia="bg-BG"/>
        </w:rPr>
        <w:t>/</w:t>
      </w:r>
      <w:r w:rsidR="00715E0F" w:rsidRPr="00715E0F">
        <w:rPr>
          <w:lang w:eastAsia="bg-BG"/>
        </w:rPr>
        <w:t xml:space="preserve">2022 г. </w:t>
      </w:r>
      <w:r w:rsidR="00715E0F">
        <w:rPr>
          <w:lang w:eastAsia="bg-BG"/>
        </w:rPr>
        <w:t>б</w:t>
      </w:r>
      <w:r w:rsidR="00715E0F" w:rsidRPr="00715E0F">
        <w:rPr>
          <w:lang w:eastAsia="bg-BG"/>
        </w:rPr>
        <w:t xml:space="preserve">е одобрена </w:t>
      </w:r>
      <w:r w:rsidR="00715E0F">
        <w:rPr>
          <w:lang w:eastAsia="bg-BG"/>
        </w:rPr>
        <w:t xml:space="preserve">и </w:t>
      </w:r>
      <w:r w:rsidR="00715E0F" w:rsidRPr="00715E0F">
        <w:rPr>
          <w:lang w:eastAsia="bg-BG"/>
        </w:rPr>
        <w:t>нова „Програма за хуманитарно подпомагане на разселени лица от Украйна с предоставена временна закрила в Република България“</w:t>
      </w:r>
      <w:r w:rsidR="00715E0F">
        <w:rPr>
          <w:lang w:eastAsia="bg-BG"/>
        </w:rPr>
        <w:t xml:space="preserve"> Програмите</w:t>
      </w:r>
      <w:r w:rsidRPr="002D3FB5">
        <w:rPr>
          <w:lang w:eastAsia="bg-BG"/>
        </w:rPr>
        <w:t xml:space="preserve"> се администрира</w:t>
      </w:r>
      <w:r w:rsidR="00715E0F">
        <w:rPr>
          <w:lang w:eastAsia="bg-BG"/>
        </w:rPr>
        <w:t>т</w:t>
      </w:r>
      <w:r w:rsidRPr="002D3FB5">
        <w:rPr>
          <w:lang w:eastAsia="bg-BG"/>
        </w:rPr>
        <w:t xml:space="preserve"> от Министерството на туризма</w:t>
      </w:r>
      <w:r w:rsidR="00715E0F">
        <w:rPr>
          <w:lang w:eastAsia="bg-BG"/>
        </w:rPr>
        <w:t>,</w:t>
      </w:r>
      <w:r w:rsidR="00715E0F" w:rsidRPr="00715E0F">
        <w:rPr>
          <w:color w:val="0070C0"/>
          <w:lang w:eastAsia="bg-BG"/>
        </w:rPr>
        <w:t xml:space="preserve"> </w:t>
      </w:r>
      <w:r w:rsidR="00715E0F" w:rsidRPr="00715E0F">
        <w:rPr>
          <w:lang w:eastAsia="bg-BG"/>
        </w:rPr>
        <w:t>като помощта се одобрява с акт на Министерския съвет</w:t>
      </w:r>
      <w:r w:rsidRPr="00715E0F">
        <w:rPr>
          <w:lang w:eastAsia="bg-BG"/>
        </w:rPr>
        <w:t>.</w:t>
      </w:r>
    </w:p>
    <w:p w14:paraId="4899FCBB" w14:textId="58388A65" w:rsidR="00E747EA" w:rsidRPr="00715E0F" w:rsidRDefault="00E747EA" w:rsidP="00E747EA">
      <w:pPr>
        <w:spacing w:before="120"/>
        <w:jc w:val="both"/>
        <w:rPr>
          <w:lang w:eastAsia="bg-BG"/>
        </w:rPr>
      </w:pPr>
      <w:r w:rsidRPr="00715E0F">
        <w:rPr>
          <w:lang w:eastAsia="bg-BG"/>
        </w:rPr>
        <w:t xml:space="preserve">С ПМС № </w:t>
      </w:r>
      <w:r w:rsidR="002D3FB5" w:rsidRPr="00715E0F">
        <w:rPr>
          <w:lang w:eastAsia="bg-BG"/>
        </w:rPr>
        <w:t xml:space="preserve">484/2022 </w:t>
      </w:r>
      <w:r w:rsidRPr="00715E0F">
        <w:rPr>
          <w:lang w:eastAsia="bg-BG"/>
        </w:rPr>
        <w:t xml:space="preserve">г. са одобрени допълнителни разходи по бюджета на Министерството на туризма за 2022 г. във връзка с изплащането на сумите </w:t>
      </w:r>
      <w:r w:rsidR="00715E0F" w:rsidRPr="00715E0F">
        <w:rPr>
          <w:lang w:eastAsia="bg-BG"/>
        </w:rPr>
        <w:t>по тези програми</w:t>
      </w:r>
      <w:r w:rsidRPr="00715E0F">
        <w:rPr>
          <w:lang w:eastAsia="bg-BG"/>
        </w:rPr>
        <w:t xml:space="preserve"> в размер на </w:t>
      </w:r>
      <w:r w:rsidR="00715E0F" w:rsidRPr="00715E0F">
        <w:rPr>
          <w:lang w:eastAsia="bg-BG"/>
        </w:rPr>
        <w:t>37,6</w:t>
      </w:r>
      <w:r w:rsidR="004E5B4A">
        <w:rPr>
          <w:lang w:eastAsia="bg-BG"/>
        </w:rPr>
        <w:t> </w:t>
      </w:r>
      <w:r w:rsidR="00715E0F">
        <w:rPr>
          <w:lang w:eastAsia="bg-BG"/>
        </w:rPr>
        <w:t>млн. </w:t>
      </w:r>
      <w:r w:rsidRPr="00715E0F">
        <w:rPr>
          <w:lang w:eastAsia="bg-BG"/>
        </w:rPr>
        <w:t>лв.</w:t>
      </w:r>
    </w:p>
    <w:p w14:paraId="4749ED4B" w14:textId="604BE491" w:rsidR="00E747EA" w:rsidRPr="004501C4" w:rsidRDefault="00E747EA" w:rsidP="00E747EA">
      <w:pPr>
        <w:spacing w:before="120"/>
        <w:jc w:val="both"/>
        <w:rPr>
          <w:lang w:eastAsia="bg-BG"/>
        </w:rPr>
      </w:pPr>
      <w:r w:rsidRPr="004501C4">
        <w:rPr>
          <w:lang w:eastAsia="bg-BG"/>
        </w:rPr>
        <w:t>Към 3</w:t>
      </w:r>
      <w:r w:rsidR="002F37D0" w:rsidRPr="004501C4">
        <w:rPr>
          <w:lang w:eastAsia="bg-BG"/>
        </w:rPr>
        <w:t>1</w:t>
      </w:r>
      <w:r w:rsidRPr="004501C4">
        <w:rPr>
          <w:lang w:eastAsia="bg-BG"/>
        </w:rPr>
        <w:t>.0</w:t>
      </w:r>
      <w:r w:rsidR="002F37D0" w:rsidRPr="004501C4">
        <w:rPr>
          <w:lang w:eastAsia="bg-BG"/>
        </w:rPr>
        <w:t>3</w:t>
      </w:r>
      <w:r w:rsidRPr="004501C4">
        <w:rPr>
          <w:lang w:eastAsia="bg-BG"/>
        </w:rPr>
        <w:t>.202</w:t>
      </w:r>
      <w:r w:rsidR="002F37D0" w:rsidRPr="004501C4">
        <w:rPr>
          <w:lang w:eastAsia="bg-BG"/>
        </w:rPr>
        <w:t>3</w:t>
      </w:r>
      <w:r w:rsidRPr="004501C4">
        <w:rPr>
          <w:lang w:eastAsia="bg-BG"/>
        </w:rPr>
        <w:t xml:space="preserve"> г. по бюджета на Министерството на туризма са о</w:t>
      </w:r>
      <w:r w:rsidR="002F37D0" w:rsidRPr="004501C4">
        <w:rPr>
          <w:lang w:eastAsia="bg-BG"/>
        </w:rPr>
        <w:t>тчетени разходи</w:t>
      </w:r>
      <w:r w:rsidRPr="004501C4">
        <w:rPr>
          <w:lang w:eastAsia="bg-BG"/>
        </w:rPr>
        <w:t xml:space="preserve"> в общ размер на 1</w:t>
      </w:r>
      <w:r w:rsidR="002F37D0" w:rsidRPr="004501C4">
        <w:rPr>
          <w:lang w:eastAsia="bg-BG"/>
        </w:rPr>
        <w:t>4</w:t>
      </w:r>
      <w:r w:rsidRPr="004501C4">
        <w:rPr>
          <w:lang w:eastAsia="bg-BG"/>
        </w:rPr>
        <w:t>,</w:t>
      </w:r>
      <w:r w:rsidR="002F37D0" w:rsidRPr="004501C4">
        <w:rPr>
          <w:lang w:eastAsia="bg-BG"/>
        </w:rPr>
        <w:t>9</w:t>
      </w:r>
      <w:r w:rsidRPr="004501C4">
        <w:rPr>
          <w:lang w:eastAsia="bg-BG"/>
        </w:rPr>
        <w:t xml:space="preserve"> млн. лв. за хуманитарна помощ</w:t>
      </w:r>
      <w:r w:rsidR="004501C4" w:rsidRPr="004501C4">
        <w:rPr>
          <w:lang w:eastAsia="bg-BG"/>
        </w:rPr>
        <w:t xml:space="preserve"> за лица, търсещи временна закрила в Република България</w:t>
      </w:r>
      <w:r w:rsidRPr="004501C4">
        <w:rPr>
          <w:lang w:eastAsia="bg-BG"/>
        </w:rPr>
        <w:t xml:space="preserve"> в</w:t>
      </w:r>
      <w:r w:rsidR="004501C4" w:rsidRPr="004501C4">
        <w:rPr>
          <w:lang w:eastAsia="bg-BG"/>
        </w:rPr>
        <w:t>следствие на</w:t>
      </w:r>
      <w:r w:rsidRPr="004501C4">
        <w:rPr>
          <w:lang w:eastAsia="bg-BG"/>
        </w:rPr>
        <w:t xml:space="preserve"> военните действия в Украйна. </w:t>
      </w:r>
    </w:p>
    <w:p w14:paraId="77A72672" w14:textId="576A5E45" w:rsidR="00534CF1" w:rsidRDefault="00534CF1" w:rsidP="004B20AC">
      <w:pPr>
        <w:spacing w:before="120"/>
        <w:jc w:val="both"/>
        <w:rPr>
          <w:lang w:eastAsia="bg-BG"/>
        </w:rPr>
      </w:pPr>
      <w:r w:rsidRPr="00FE102E">
        <w:rPr>
          <w:b/>
          <w:i/>
          <w:lang w:eastAsia="bg-BG"/>
        </w:rPr>
        <w:t>В областта на социалната закрила</w:t>
      </w:r>
      <w:r w:rsidRPr="00FE102E">
        <w:rPr>
          <w:lang w:eastAsia="bg-BG"/>
        </w:rPr>
        <w:t xml:space="preserve"> - в рамките на действащата нормативна уредба в областта на системата на социалното подпомагане, пристигащите в страната лица със статут на временна закрила, за които след оценка на всеки конкретен случай се констатира, че се нуждаят от подкрепа за задоволяване на основните жизнени потребности, имат право на социални помощи и защита, в т. ч. и хора с увреждания. Наред с това, пристигащите от Украйна имат право да работят у нас без разрешение за достъп до пазара на труда, както и да ползват облекчени процедури за достъп до българския пазар на труда. Към 3</w:t>
      </w:r>
      <w:r w:rsidR="00FE102E" w:rsidRPr="00AB241B">
        <w:rPr>
          <w:lang w:val="ru-RU" w:eastAsia="bg-BG"/>
        </w:rPr>
        <w:t>1</w:t>
      </w:r>
      <w:r w:rsidR="00FE102E" w:rsidRPr="00FE102E">
        <w:rPr>
          <w:lang w:eastAsia="bg-BG"/>
        </w:rPr>
        <w:t>.03</w:t>
      </w:r>
      <w:r w:rsidRPr="00FE102E">
        <w:rPr>
          <w:lang w:eastAsia="bg-BG"/>
        </w:rPr>
        <w:t>.202</w:t>
      </w:r>
      <w:r w:rsidR="00FE102E" w:rsidRPr="00AB241B">
        <w:rPr>
          <w:lang w:val="ru-RU" w:eastAsia="bg-BG"/>
        </w:rPr>
        <w:t>3</w:t>
      </w:r>
      <w:r w:rsidRPr="00FE102E">
        <w:rPr>
          <w:lang w:eastAsia="bg-BG"/>
        </w:rPr>
        <w:t xml:space="preserve"> г. Министерството на труда и социалната политика отчита общо </w:t>
      </w:r>
      <w:r w:rsidR="00FE102E" w:rsidRPr="00AB241B">
        <w:rPr>
          <w:lang w:val="ru-RU" w:eastAsia="bg-BG"/>
        </w:rPr>
        <w:t>5</w:t>
      </w:r>
      <w:r w:rsidRPr="00FE102E">
        <w:rPr>
          <w:lang w:eastAsia="bg-BG"/>
        </w:rPr>
        <w:t>,</w:t>
      </w:r>
      <w:r w:rsidR="00FE102E" w:rsidRPr="00AB241B">
        <w:rPr>
          <w:lang w:val="ru-RU" w:eastAsia="bg-BG"/>
        </w:rPr>
        <w:t>5</w:t>
      </w:r>
      <w:r w:rsidRPr="00FE102E">
        <w:rPr>
          <w:lang w:eastAsia="bg-BG"/>
        </w:rPr>
        <w:t xml:space="preserve"> млн. лв.</w:t>
      </w:r>
      <w:r w:rsidR="00FE102E" w:rsidRPr="00FE102E">
        <w:rPr>
          <w:lang w:eastAsia="bg-BG"/>
        </w:rPr>
        <w:t>, в т.ч. 4,4 млн. лв. за сметка на средства от ЕС.</w:t>
      </w:r>
      <w:r w:rsidRPr="00FE102E">
        <w:rPr>
          <w:lang w:eastAsia="bg-BG"/>
        </w:rPr>
        <w:t xml:space="preserve"> </w:t>
      </w:r>
      <w:r w:rsidR="00FE102E" w:rsidRPr="00FE102E">
        <w:rPr>
          <w:lang w:eastAsia="bg-BG"/>
        </w:rPr>
        <w:t>О</w:t>
      </w:r>
      <w:r w:rsidRPr="00FE102E">
        <w:rPr>
          <w:lang w:eastAsia="bg-BG"/>
        </w:rPr>
        <w:t>тпуснати</w:t>
      </w:r>
      <w:r w:rsidR="00FE102E" w:rsidRPr="00FE102E">
        <w:rPr>
          <w:lang w:eastAsia="bg-BG"/>
        </w:rPr>
        <w:t>те</w:t>
      </w:r>
      <w:r w:rsidRPr="00FE102E">
        <w:rPr>
          <w:lang w:eastAsia="bg-BG"/>
        </w:rPr>
        <w:t xml:space="preserve"> еднократни помощи по реда на чл. 16 от Правилника за прилагане на Закона за социално подпомагане (ППЗСП) на разселени от Украйна лица с предоставена временна закрила, до петкратния размер на гарантирания минимален доход (375 лв.)</w:t>
      </w:r>
      <w:r w:rsidR="00FE102E" w:rsidRPr="00FE102E">
        <w:rPr>
          <w:lang w:eastAsia="bg-BG"/>
        </w:rPr>
        <w:t xml:space="preserve"> са в размер на 1,1</w:t>
      </w:r>
      <w:r w:rsidR="00817314">
        <w:rPr>
          <w:lang w:eastAsia="bg-BG"/>
        </w:rPr>
        <w:t> </w:t>
      </w:r>
      <w:r w:rsidR="00FE102E" w:rsidRPr="00FE102E">
        <w:rPr>
          <w:lang w:eastAsia="bg-BG"/>
        </w:rPr>
        <w:t>млн. лв.</w:t>
      </w:r>
      <w:r w:rsidRPr="00FE102E">
        <w:rPr>
          <w:lang w:eastAsia="bg-BG"/>
        </w:rPr>
        <w:t xml:space="preserve"> Помощта се отпуска въз основа на подадено заявление-декларация в Агенцията за социално подпомагане по адрес на местопребиваването им. За </w:t>
      </w:r>
      <w:r w:rsidR="00FE102E" w:rsidRPr="00FE102E">
        <w:rPr>
          <w:lang w:eastAsia="bg-BG"/>
        </w:rPr>
        <w:t>отчетния период</w:t>
      </w:r>
      <w:r w:rsidRPr="00FE102E">
        <w:rPr>
          <w:lang w:eastAsia="bg-BG"/>
        </w:rPr>
        <w:t xml:space="preserve"> са изплатени еднократни помощи на </w:t>
      </w:r>
      <w:r w:rsidR="00FE102E" w:rsidRPr="00FE102E">
        <w:rPr>
          <w:lang w:eastAsia="bg-BG"/>
        </w:rPr>
        <w:t>2</w:t>
      </w:r>
      <w:r w:rsidRPr="00FE102E">
        <w:rPr>
          <w:lang w:eastAsia="bg-BG"/>
        </w:rPr>
        <w:t xml:space="preserve"> </w:t>
      </w:r>
      <w:r w:rsidR="00FE102E" w:rsidRPr="00FE102E">
        <w:rPr>
          <w:lang w:eastAsia="bg-BG"/>
        </w:rPr>
        <w:t>838</w:t>
      </w:r>
      <w:r w:rsidRPr="00FE102E">
        <w:rPr>
          <w:lang w:eastAsia="bg-BG"/>
        </w:rPr>
        <w:t xml:space="preserve"> лица с предоставена временна закрила.</w:t>
      </w:r>
    </w:p>
    <w:p w14:paraId="1893C927" w14:textId="457AFAB5" w:rsidR="004914C9" w:rsidRDefault="004914C9" w:rsidP="004914C9">
      <w:pPr>
        <w:spacing w:before="120"/>
        <w:jc w:val="both"/>
        <w:rPr>
          <w:lang w:eastAsia="bg-BG"/>
        </w:rPr>
      </w:pPr>
      <w:r>
        <w:rPr>
          <w:lang w:eastAsia="bg-BG"/>
        </w:rPr>
        <w:t>Отчетени са и 3,0 млн. лв. социални разходи за ваучери с номинал 100,00 лева по операция BG05FMOP001-6.001 – „Предоставяне на ваучери за осигуряване на храни и стоки от първа необходимост за разселени лица от Украйна“ по Оперативна програма храни и/или основно материално подпомагане от Фонд за подпомагане на най-нуждаещите се лица с финансиране по линията на REACT-EU. За периода от 01.01.2023 г. до 31.03.2023 г. са реализирани общо 29 527 ваучера.</w:t>
      </w:r>
    </w:p>
    <w:p w14:paraId="0EE3A7C6" w14:textId="16A21EEB" w:rsidR="004914C9" w:rsidRDefault="004914C9" w:rsidP="004914C9">
      <w:pPr>
        <w:spacing w:before="120"/>
        <w:jc w:val="both"/>
        <w:rPr>
          <w:lang w:eastAsia="bg-BG"/>
        </w:rPr>
      </w:pPr>
      <w:r>
        <w:rPr>
          <w:lang w:eastAsia="bg-BG"/>
        </w:rPr>
        <w:t>Изплатените средства по проект „Солидарност“ за предоставени субсидии са в размер на 1,4</w:t>
      </w:r>
      <w:r w:rsidR="00FE574B">
        <w:rPr>
          <w:lang w:eastAsia="bg-BG"/>
        </w:rPr>
        <w:t> </w:t>
      </w:r>
      <w:r>
        <w:rPr>
          <w:lang w:eastAsia="bg-BG"/>
        </w:rPr>
        <w:t>млн. лв. и включват минимална помощ по смисъла на Регламент(ЕС) № 1407/2013 г. и интеграционна добавка за настаняване на лица, украински граждани.</w:t>
      </w:r>
    </w:p>
    <w:p w14:paraId="4EA80DB4" w14:textId="77777777" w:rsidR="004914C9" w:rsidRDefault="004914C9" w:rsidP="004914C9">
      <w:pPr>
        <w:spacing w:before="120"/>
        <w:jc w:val="both"/>
        <w:rPr>
          <w:lang w:eastAsia="bg-BG"/>
        </w:rPr>
      </w:pPr>
      <w:r>
        <w:rPr>
          <w:lang w:eastAsia="bg-BG"/>
        </w:rPr>
        <w:t xml:space="preserve">Възнагражденията на 1 411 украински граждани възлизат на стойност 880 180 лв. От интеграционната добавка в размер на 338 200 лв. са се възползвали 853 украински граждани. Възнагражденията на 343 ментори са в размер на 135 646 лв. </w:t>
      </w:r>
    </w:p>
    <w:p w14:paraId="202283C4" w14:textId="77777777" w:rsidR="004914C9" w:rsidRDefault="004914C9" w:rsidP="004914C9">
      <w:pPr>
        <w:spacing w:before="120"/>
        <w:jc w:val="both"/>
        <w:rPr>
          <w:lang w:eastAsia="bg-BG"/>
        </w:rPr>
      </w:pPr>
      <w:r>
        <w:rPr>
          <w:lang w:eastAsia="bg-BG"/>
        </w:rPr>
        <w:t>За периода от 01.01.2023 г. до 31.03.2023 г. по проект „Солидарност” са постъпили 77 броя заявления от работодатели за разкриване на 305 работни места. Започналите работа лица за периода са 278. Активните договори за периода са в размер на 30 бр. Най-много работни места са заявени в секторите: „Хотелиерство и ресторантьорство“, „Транспорт, складиране и пощи“, „Търговия на дребно, без търговия на автомобили и мотоциклети“.</w:t>
      </w:r>
    </w:p>
    <w:p w14:paraId="6725B3B8" w14:textId="77777777" w:rsidR="004914C9" w:rsidRDefault="004914C9" w:rsidP="004914C9">
      <w:pPr>
        <w:spacing w:before="120"/>
        <w:jc w:val="both"/>
        <w:rPr>
          <w:lang w:eastAsia="bg-BG"/>
        </w:rPr>
      </w:pPr>
      <w:r>
        <w:rPr>
          <w:lang w:eastAsia="bg-BG"/>
        </w:rPr>
        <w:t xml:space="preserve">Проектът се реализира по ОП РЧР 2014-2020, приоритетна ос 6 „Подкрепа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Средствата по проекта се предоставят съгласно Регламент (ЕС) 2022/613 на Европейския Парламент и на  Съвета от 12 април 2022 година за изменение на Регламенти (ЕС) № 1303/2013 и (ЕС) № 223/2014 по отношение на увеличено предварително финансиране със средства по линия на REACT-EU и за определяне на разход за единица продукт. </w:t>
      </w:r>
    </w:p>
    <w:p w14:paraId="2C6C788E" w14:textId="77777777" w:rsidR="004914C9" w:rsidRDefault="004914C9" w:rsidP="004914C9">
      <w:pPr>
        <w:spacing w:before="120"/>
        <w:jc w:val="both"/>
        <w:rPr>
          <w:lang w:eastAsia="bg-BG"/>
        </w:rPr>
      </w:pPr>
      <w:r>
        <w:rPr>
          <w:lang w:eastAsia="bg-BG"/>
        </w:rPr>
        <w:t>Чрез Проект „Солидарност” се предоставя подкрепа чрез изплащане на:</w:t>
      </w:r>
    </w:p>
    <w:p w14:paraId="5859A9D7" w14:textId="000F7DDE" w:rsidR="004914C9" w:rsidRDefault="004914C9" w:rsidP="004914C9">
      <w:pPr>
        <w:ind w:firstLine="567"/>
        <w:jc w:val="both"/>
        <w:rPr>
          <w:lang w:eastAsia="bg-BG"/>
        </w:rPr>
      </w:pPr>
      <w:r>
        <w:rPr>
          <w:lang w:eastAsia="bg-BG"/>
        </w:rPr>
        <w:t>-средства за възнаграждения на база минималната работна заплата, установена за страна и дължимите осигуровки за сметка на работодателите за период до 3 месеца, за наетите от него лица;</w:t>
      </w:r>
    </w:p>
    <w:p w14:paraId="02D5772C" w14:textId="51A4F49A" w:rsidR="004914C9" w:rsidRDefault="004914C9" w:rsidP="004914C9">
      <w:pPr>
        <w:ind w:firstLine="567"/>
        <w:jc w:val="both"/>
        <w:rPr>
          <w:lang w:eastAsia="bg-BG"/>
        </w:rPr>
      </w:pPr>
      <w:r>
        <w:rPr>
          <w:lang w:eastAsia="bg-BG"/>
        </w:rPr>
        <w:t>-средства за възнаграждения на ментори, които подпомагат назначените лица за период до 3 месеца. Месечното възнаграждение е в размер на ½ от минималната работна заплата, установена за страната;</w:t>
      </w:r>
    </w:p>
    <w:p w14:paraId="52499332" w14:textId="29A87A7B" w:rsidR="004914C9" w:rsidRDefault="004914C9" w:rsidP="004914C9">
      <w:pPr>
        <w:ind w:firstLine="567"/>
        <w:jc w:val="both"/>
        <w:rPr>
          <w:lang w:eastAsia="bg-BG"/>
        </w:rPr>
      </w:pPr>
      <w:r>
        <w:rPr>
          <w:lang w:eastAsia="bg-BG"/>
        </w:rPr>
        <w:t>-средства за интеграционна добавка за настаняване включваща разходи за наем, режийни разходи и интернет на наетите лица за период до 3 месеца в размер на 356,00 лв. на месец за едно лице;</w:t>
      </w:r>
    </w:p>
    <w:p w14:paraId="0E62A3B8" w14:textId="2DB17685" w:rsidR="004914C9" w:rsidRDefault="004914C9" w:rsidP="004914C9">
      <w:pPr>
        <w:ind w:firstLine="567"/>
        <w:jc w:val="both"/>
        <w:rPr>
          <w:lang w:eastAsia="bg-BG"/>
        </w:rPr>
      </w:pPr>
      <w:r>
        <w:rPr>
          <w:lang w:eastAsia="bg-BG"/>
        </w:rPr>
        <w:t>-средства за стимули, покриващи разходите за всички дължими вноски за сметка на работодателите, съгласно изискванията на КТ и КСО за останалите на работа лица, изчислени върху установената за страната минимална работна заплата за период, пропорционален на продължителността на субсидираната заетост.</w:t>
      </w:r>
    </w:p>
    <w:p w14:paraId="0C1C9C1E" w14:textId="15BCB7E6" w:rsidR="00461390" w:rsidRPr="00164220" w:rsidRDefault="00461390" w:rsidP="00461390">
      <w:pPr>
        <w:pStyle w:val="Heading1"/>
        <w:spacing w:before="360"/>
        <w:ind w:left="142" w:right="-108"/>
        <w:jc w:val="both"/>
        <w:rPr>
          <w:sz w:val="24"/>
        </w:rPr>
      </w:pPr>
      <w:r w:rsidRPr="00164220">
        <w:rPr>
          <w:sz w:val="24"/>
        </w:rPr>
        <w:t>Информация за разходите по програмите за компенсиране на разходите на небитови крайни клиенти за електрическа енергия и на операторите на електропреносната и електроразпределителните мрежи за закупуване на количества електрическа енергия, потребена за технологични разходи</w:t>
      </w:r>
    </w:p>
    <w:p w14:paraId="01308586" w14:textId="19CB9502" w:rsidR="00461390" w:rsidRPr="00164220" w:rsidRDefault="00461390" w:rsidP="00461390">
      <w:pPr>
        <w:spacing w:before="120"/>
        <w:jc w:val="both"/>
      </w:pPr>
      <w:r w:rsidRPr="00164220">
        <w:t>Към 31.03.2023 г. приходите във фонд „Сигурност на електроенергийната система“ от</w:t>
      </w:r>
      <w:r w:rsidRPr="00164220">
        <w:rPr>
          <w:b/>
        </w:rPr>
        <w:t xml:space="preserve"> </w:t>
      </w:r>
      <w:r w:rsidRPr="00164220">
        <w:t>целеви вноски по § 8 от П</w:t>
      </w:r>
      <w:r w:rsidR="005119C0" w:rsidRPr="00164220">
        <w:t>ЗР</w:t>
      </w:r>
      <w:r w:rsidRPr="00164220">
        <w:t xml:space="preserve"> на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 (</w:t>
      </w:r>
      <w:r w:rsidR="008F160D">
        <w:t xml:space="preserve">отразени в частта на </w:t>
      </w:r>
      <w:r w:rsidRPr="00164220">
        <w:t xml:space="preserve">други данъци) за покриване на разходи по одобрени от МС програми за компенсиране високите цени на енергията са в размер на </w:t>
      </w:r>
      <w:r w:rsidRPr="00164220">
        <w:rPr>
          <w:b/>
        </w:rPr>
        <w:t>552,5 млн. лв.</w:t>
      </w:r>
    </w:p>
    <w:p w14:paraId="3D7F0932" w14:textId="5626CB5C" w:rsidR="00461390" w:rsidRPr="00461390" w:rsidRDefault="00461390" w:rsidP="005E2B9E">
      <w:pPr>
        <w:spacing w:before="120"/>
        <w:jc w:val="both"/>
      </w:pPr>
      <w:r w:rsidRPr="00164220">
        <w:t>Към 31.03.2023 г. фонд „Сигурност на електроенергийната система“</w:t>
      </w:r>
      <w:r w:rsidRPr="00164220">
        <w:rPr>
          <w:b/>
        </w:rPr>
        <w:t xml:space="preserve"> </w:t>
      </w:r>
      <w:r w:rsidRPr="00164220">
        <w:t xml:space="preserve">отчита разходи за субсидии в размер на </w:t>
      </w:r>
      <w:r w:rsidRPr="00164220">
        <w:rPr>
          <w:b/>
        </w:rPr>
        <w:t xml:space="preserve">550,7 млн. лв. </w:t>
      </w:r>
      <w:r w:rsidRPr="00164220">
        <w:t>за компенсиране разходите на небитовите крайни клиенти за електрическа енергия и на операторите на електропреносната и на електроразпределителните мрежи за закупуване на количествата електрическа енергия, потребена за технологични разходи, от които 0,1 млн. лв. по РМС № 534 от 2022 г., 355,4 млн. лв. по РМС № 710 от 2022 г. и 195,2 млн. лв. по РМС № 104 от 2023 г.</w:t>
      </w:r>
    </w:p>
    <w:p w14:paraId="7A76CCEB" w14:textId="77777777" w:rsidR="005024E0" w:rsidRPr="004954B5" w:rsidRDefault="005024E0" w:rsidP="00461390">
      <w:pPr>
        <w:pStyle w:val="Heading1"/>
        <w:spacing w:before="360"/>
        <w:ind w:left="142" w:right="-108"/>
        <w:jc w:val="both"/>
        <w:rPr>
          <w:sz w:val="24"/>
        </w:rPr>
      </w:pPr>
      <w:bookmarkStart w:id="1" w:name="_Toc109903429"/>
      <w:r w:rsidRPr="004954B5">
        <w:rPr>
          <w:sz w:val="24"/>
        </w:rPr>
        <w:t>Информация за ефектите в приходите и разходите от мерките за борба с COVID-19 и преодоляване на социално-икономическите последствия от пандемията</w:t>
      </w:r>
      <w:bookmarkEnd w:id="1"/>
    </w:p>
    <w:p w14:paraId="3AA04E54" w14:textId="77777777" w:rsidR="005024E0" w:rsidRPr="00C15913" w:rsidRDefault="005024E0" w:rsidP="005024E0">
      <w:pPr>
        <w:rPr>
          <w:color w:val="0070C0"/>
          <w:sz w:val="12"/>
          <w:szCs w:val="12"/>
          <w:lang w:eastAsia="bg-BG"/>
        </w:rPr>
      </w:pPr>
    </w:p>
    <w:p w14:paraId="2F4C26C0" w14:textId="77777777" w:rsidR="007961AA" w:rsidRPr="00E04064" w:rsidRDefault="007961AA" w:rsidP="007961AA">
      <w:pPr>
        <w:spacing w:after="120"/>
        <w:ind w:right="-43"/>
        <w:jc w:val="both"/>
        <w:rPr>
          <w:b/>
          <w:i/>
          <w:lang w:eastAsia="bg-BG"/>
        </w:rPr>
      </w:pPr>
      <w:r w:rsidRPr="00E04064">
        <w:rPr>
          <w:b/>
          <w:i/>
          <w:lang w:eastAsia="bg-BG"/>
        </w:rPr>
        <w:t xml:space="preserve">Мерки в частта на приходите           </w:t>
      </w:r>
    </w:p>
    <w:p w14:paraId="530565D5" w14:textId="77777777" w:rsidR="000D4CF8" w:rsidRPr="000D4CF8" w:rsidRDefault="000D4CF8" w:rsidP="000D4CF8">
      <w:pPr>
        <w:spacing w:after="120"/>
        <w:ind w:right="-43"/>
        <w:jc w:val="both"/>
        <w:rPr>
          <w:lang w:eastAsia="bg-BG"/>
        </w:rPr>
      </w:pPr>
      <w:r w:rsidRPr="000D4CF8">
        <w:rPr>
          <w:lang w:eastAsia="bg-BG"/>
        </w:rPr>
        <w:t xml:space="preserve">Приетите през предходните години мерки, свързани с прилагане на намалена ставка за ДДС на определени стоки и услуги от 20 % на 9 %, и увеличаване на размера на данъчните облекчения за деца (чл. 22в и чл. 22г от ЗДДФЛ) ще продължат да се прилагат и през 2023 г. Удължен е срокът на действие и на намалената ставка за ресторантьорски и кетъринг и за доставка на услуга за използване на спортни съоръжения до края на годината. От 1 януари 2023 г. като постоянна мярка са въведени намалените данъчни ставки на ДДС в размер на 9 % за доставка на книги, на храна, подходяща за бебета или за малки деца и на бебешките пелени. Намалената ставка на ДДС от 9 % за доставките на природен газ и централно отопление ще се прилага до края на месец юни 2023 г. </w:t>
      </w:r>
    </w:p>
    <w:p w14:paraId="11207C5D" w14:textId="77777777" w:rsidR="000D4CF8" w:rsidRPr="000D4CF8" w:rsidRDefault="000D4CF8" w:rsidP="000D4CF8">
      <w:pPr>
        <w:spacing w:after="120"/>
        <w:ind w:right="-43"/>
        <w:jc w:val="both"/>
        <w:rPr>
          <w:lang w:eastAsia="bg-BG"/>
        </w:rPr>
      </w:pPr>
      <w:r w:rsidRPr="000D4CF8">
        <w:rPr>
          <w:lang w:eastAsia="bg-BG"/>
        </w:rPr>
        <w:t>Приетите мерки със Закона за изменение и допълнение на бюджета за 2022 г. като нулева ставка на ДДС за доставките на хляб и брашно, освобождаване от акциз на електроенергия, природен газ и втечнен нефтен газ (LPG) се запазват и през 2023 година.</w:t>
      </w:r>
    </w:p>
    <w:p w14:paraId="5E58A2FA" w14:textId="264FC96A" w:rsidR="00F91FB6" w:rsidRPr="000D4CF8" w:rsidRDefault="000D4CF8" w:rsidP="000D4CF8">
      <w:pPr>
        <w:spacing w:after="120"/>
        <w:ind w:right="-43"/>
        <w:jc w:val="both"/>
        <w:rPr>
          <w:lang w:eastAsia="bg-BG"/>
        </w:rPr>
      </w:pPr>
      <w:r w:rsidRPr="000D4CF8">
        <w:rPr>
          <w:lang w:eastAsia="bg-BG"/>
        </w:rPr>
        <w:t>От началото на тази година се повиши и прага за регистрация по ДДС за фирми, като тази мярка е оценена на 110,0 млн. лв. по-малко данъчни приходи</w:t>
      </w:r>
      <w:r w:rsidR="00F91FB6" w:rsidRPr="000D4CF8">
        <w:rPr>
          <w:lang w:eastAsia="bg-BG"/>
        </w:rPr>
        <w:t>.</w:t>
      </w:r>
    </w:p>
    <w:p w14:paraId="02F2D568" w14:textId="77777777" w:rsidR="00FB77CF" w:rsidRPr="00E04064" w:rsidRDefault="00FB77CF" w:rsidP="00FB77CF">
      <w:pPr>
        <w:spacing w:before="240" w:after="120"/>
        <w:ind w:right="-45"/>
        <w:jc w:val="both"/>
        <w:rPr>
          <w:b/>
          <w:i/>
          <w:lang w:val="ru-RU" w:eastAsia="bg-BG"/>
        </w:rPr>
      </w:pPr>
      <w:r w:rsidRPr="00E04064">
        <w:rPr>
          <w:b/>
          <w:i/>
          <w:lang w:eastAsia="bg-BG"/>
        </w:rPr>
        <w:t>Мерки в частта на разходите</w:t>
      </w:r>
    </w:p>
    <w:p w14:paraId="38F1B9D8" w14:textId="4BD0094C" w:rsidR="00FB77CF" w:rsidRPr="00EC0D64" w:rsidRDefault="00FB77CF" w:rsidP="00FB77CF">
      <w:pPr>
        <w:spacing w:before="120" w:after="120"/>
        <w:jc w:val="both"/>
        <w:rPr>
          <w:lang w:eastAsia="bg-BG"/>
        </w:rPr>
      </w:pPr>
      <w:r w:rsidRPr="00EC0D64">
        <w:rPr>
          <w:lang w:eastAsia="bg-BG"/>
        </w:rPr>
        <w:t>В касовите отчети на ПРБ и общините към 3</w:t>
      </w:r>
      <w:r w:rsidR="001E4060" w:rsidRPr="00AB241B">
        <w:rPr>
          <w:lang w:val="ru-RU" w:eastAsia="bg-BG"/>
        </w:rPr>
        <w:t>1</w:t>
      </w:r>
      <w:r w:rsidRPr="00EC0D64">
        <w:rPr>
          <w:lang w:eastAsia="bg-BG"/>
        </w:rPr>
        <w:t>.0</w:t>
      </w:r>
      <w:r w:rsidR="001E4060" w:rsidRPr="00AB241B">
        <w:rPr>
          <w:lang w:val="ru-RU" w:eastAsia="bg-BG"/>
        </w:rPr>
        <w:t>3</w:t>
      </w:r>
      <w:r w:rsidRPr="00EC0D64">
        <w:rPr>
          <w:lang w:eastAsia="bg-BG"/>
        </w:rPr>
        <w:t>.202</w:t>
      </w:r>
      <w:r w:rsidR="001E4060" w:rsidRPr="00AB241B">
        <w:rPr>
          <w:lang w:val="ru-RU" w:eastAsia="bg-BG"/>
        </w:rPr>
        <w:t>3</w:t>
      </w:r>
      <w:r w:rsidRPr="00EC0D64">
        <w:rPr>
          <w:lang w:eastAsia="bg-BG"/>
        </w:rPr>
        <w:t xml:space="preserve"> г. са отчетени </w:t>
      </w:r>
      <w:r w:rsidRPr="00EC0D64">
        <w:rPr>
          <w:b/>
          <w:lang w:val="ru-RU" w:eastAsia="bg-BG"/>
        </w:rPr>
        <w:t>9</w:t>
      </w:r>
      <w:r w:rsidR="001E4060" w:rsidRPr="00EC0D64">
        <w:rPr>
          <w:b/>
          <w:lang w:eastAsia="bg-BG"/>
        </w:rPr>
        <w:t>,5</w:t>
      </w:r>
      <w:r w:rsidRPr="00EC0D64">
        <w:rPr>
          <w:b/>
          <w:lang w:eastAsia="bg-BG"/>
        </w:rPr>
        <w:t xml:space="preserve"> млн. лв.</w:t>
      </w:r>
      <w:r w:rsidRPr="00EC0D64">
        <w:rPr>
          <w:lang w:eastAsia="bg-BG"/>
        </w:rPr>
        <w:t xml:space="preserve"> разходи за мерките за борба с COVID-19 и преодоляване на социално-икономическите последствия от пандемията. </w:t>
      </w:r>
    </w:p>
    <w:p w14:paraId="2C735CC1" w14:textId="308A9328" w:rsidR="00FB77CF" w:rsidRPr="00C15913" w:rsidRDefault="00FB77CF" w:rsidP="00FB77CF">
      <w:pPr>
        <w:spacing w:after="120"/>
        <w:jc w:val="both"/>
        <w:rPr>
          <w:b/>
          <w:color w:val="0070C0"/>
          <w:lang w:val="ru-RU" w:eastAsia="bg-BG"/>
        </w:rPr>
      </w:pPr>
      <w:r w:rsidRPr="00EC0D64">
        <w:rPr>
          <w:lang w:eastAsia="bg-BG"/>
        </w:rPr>
        <w:t xml:space="preserve">В частта на </w:t>
      </w:r>
      <w:r w:rsidRPr="00EC0D64">
        <w:rPr>
          <w:b/>
          <w:lang w:eastAsia="bg-BG"/>
        </w:rPr>
        <w:t>мерките за подкрепа на домакинствата</w:t>
      </w:r>
      <w:r w:rsidRPr="00EC0D64">
        <w:rPr>
          <w:lang w:eastAsia="bg-BG"/>
        </w:rPr>
        <w:t xml:space="preserve"> са изразходвани </w:t>
      </w:r>
      <w:r w:rsidR="00EC0D64" w:rsidRPr="00EC0D64">
        <w:rPr>
          <w:b/>
          <w:lang w:eastAsia="bg-BG"/>
        </w:rPr>
        <w:t>1</w:t>
      </w:r>
      <w:r w:rsidRPr="00EC0D64">
        <w:rPr>
          <w:b/>
          <w:lang w:eastAsia="bg-BG"/>
        </w:rPr>
        <w:t>,</w:t>
      </w:r>
      <w:r w:rsidR="00EC0D64" w:rsidRPr="00AB241B">
        <w:rPr>
          <w:b/>
          <w:lang w:val="ru-RU" w:eastAsia="bg-BG"/>
        </w:rPr>
        <w:t>5</w:t>
      </w:r>
      <w:r w:rsidRPr="00EC0D64">
        <w:rPr>
          <w:b/>
          <w:lang w:eastAsia="bg-BG"/>
        </w:rPr>
        <w:t xml:space="preserve"> млн. лв. </w:t>
      </w:r>
      <w:r w:rsidRPr="00EC0D64">
        <w:rPr>
          <w:lang w:eastAsia="bg-BG"/>
        </w:rPr>
        <w:t>по линия на националния бюджет</w:t>
      </w:r>
      <w:r w:rsidR="00EC0D64">
        <w:rPr>
          <w:lang w:eastAsia="bg-BG"/>
        </w:rPr>
        <w:t>, главно плащания чрез бюджета на Националния осигурителен институт</w:t>
      </w:r>
      <w:r w:rsidRPr="00EC0D64">
        <w:rPr>
          <w:b/>
          <w:lang w:val="ru-RU" w:eastAsia="bg-BG"/>
        </w:rPr>
        <w:t xml:space="preserve">. </w:t>
      </w:r>
    </w:p>
    <w:p w14:paraId="5D815C9A" w14:textId="31620C85" w:rsidR="008045CF" w:rsidRPr="008045CF" w:rsidRDefault="008045CF" w:rsidP="00FB77CF">
      <w:pPr>
        <w:spacing w:after="120"/>
        <w:jc w:val="both"/>
        <w:rPr>
          <w:lang w:eastAsia="bg-BG"/>
        </w:rPr>
      </w:pPr>
      <w:r w:rsidRPr="008045CF">
        <w:rPr>
          <w:lang w:eastAsia="bg-BG"/>
        </w:rPr>
        <w:t>В изпълнение на Постановление № 479 от 30 декември 2021 г. (ПМС № 479 от 2021 г.), НОИ изплаща допълнителна сума към пенсиите на всички пенсионери в размер на 60 лв. за месеците от януари до юни 2022 г. включително. За периода от 1 януари до 31 март 2023 г. са извършени плащания в размер на 0,7 млн. лв.</w:t>
      </w:r>
    </w:p>
    <w:p w14:paraId="60BA14F4" w14:textId="428526E5" w:rsidR="00FB77CF" w:rsidRPr="008045CF" w:rsidRDefault="00FB77CF" w:rsidP="00FB77CF">
      <w:pPr>
        <w:spacing w:after="120"/>
        <w:jc w:val="both"/>
        <w:rPr>
          <w:b/>
          <w:bCs/>
          <w:lang w:eastAsia="bg-BG"/>
        </w:rPr>
      </w:pPr>
      <w:r w:rsidRPr="008045CF">
        <w:rPr>
          <w:lang w:eastAsia="bg-BG"/>
        </w:rPr>
        <w:t xml:space="preserve">В изпълнение на параграф 1 от </w:t>
      </w:r>
      <w:r w:rsidR="00E94113" w:rsidRPr="008045CF">
        <w:rPr>
          <w:lang w:eastAsia="bg-BG"/>
        </w:rPr>
        <w:t>П</w:t>
      </w:r>
      <w:r w:rsidRPr="008045CF">
        <w:rPr>
          <w:lang w:eastAsia="bg-BG"/>
        </w:rPr>
        <w:t>реходните и заключителни разпоредби на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 и Закона за бюджета на Националната здравноосигурителна каса за 2021 г., НОИ изплаща сума, представляваща разликата между дохода от пенсии с включена т.нар. „ковид добавка“ от 120 лв. за декември 2021 г. и дохода от пенсии с включена т.нар. „ковид добавка“ от 60 лв. за януари 2022 г. Компенсаторните суми се дължат за периода от януари до юни 2022 г. Към 3</w:t>
      </w:r>
      <w:r w:rsidR="008045CF" w:rsidRPr="008045CF">
        <w:rPr>
          <w:lang w:eastAsia="bg-BG"/>
        </w:rPr>
        <w:t>1</w:t>
      </w:r>
      <w:r w:rsidRPr="008045CF">
        <w:rPr>
          <w:lang w:eastAsia="bg-BG"/>
        </w:rPr>
        <w:t xml:space="preserve"> </w:t>
      </w:r>
      <w:r w:rsidR="008045CF" w:rsidRPr="008045CF">
        <w:rPr>
          <w:lang w:eastAsia="bg-BG"/>
        </w:rPr>
        <w:t>март</w:t>
      </w:r>
      <w:r w:rsidRPr="008045CF">
        <w:rPr>
          <w:lang w:eastAsia="bg-BG"/>
        </w:rPr>
        <w:t xml:space="preserve"> 202</w:t>
      </w:r>
      <w:r w:rsidR="008045CF" w:rsidRPr="008045CF">
        <w:rPr>
          <w:lang w:eastAsia="bg-BG"/>
        </w:rPr>
        <w:t>3</w:t>
      </w:r>
      <w:r w:rsidRPr="008045CF">
        <w:rPr>
          <w:lang w:eastAsia="bg-BG"/>
        </w:rPr>
        <w:t xml:space="preserve"> г. са извършени разходи в размер на </w:t>
      </w:r>
      <w:r w:rsidR="008045CF" w:rsidRPr="008045CF">
        <w:rPr>
          <w:lang w:eastAsia="bg-BG"/>
        </w:rPr>
        <w:t>0</w:t>
      </w:r>
      <w:r w:rsidRPr="008045CF">
        <w:rPr>
          <w:bCs/>
          <w:lang w:eastAsia="bg-BG"/>
        </w:rPr>
        <w:t>,</w:t>
      </w:r>
      <w:r w:rsidR="008045CF" w:rsidRPr="008045CF">
        <w:rPr>
          <w:bCs/>
          <w:lang w:eastAsia="bg-BG"/>
        </w:rPr>
        <w:t>2</w:t>
      </w:r>
      <w:r w:rsidRPr="008045CF">
        <w:rPr>
          <w:bCs/>
          <w:lang w:eastAsia="bg-BG"/>
        </w:rPr>
        <w:t xml:space="preserve"> млн. лв.</w:t>
      </w:r>
      <w:r w:rsidRPr="008045CF">
        <w:rPr>
          <w:b/>
          <w:bCs/>
          <w:lang w:eastAsia="bg-BG"/>
        </w:rPr>
        <w:t xml:space="preserve"> </w:t>
      </w:r>
    </w:p>
    <w:p w14:paraId="0931F01E" w14:textId="0E0D5283" w:rsidR="008045CF" w:rsidRPr="008045CF" w:rsidRDefault="008045CF" w:rsidP="00FB77CF">
      <w:pPr>
        <w:spacing w:after="120"/>
        <w:jc w:val="both"/>
        <w:rPr>
          <w:lang w:eastAsia="bg-BG"/>
        </w:rPr>
      </w:pPr>
      <w:r w:rsidRPr="008045CF">
        <w:rPr>
          <w:lang w:eastAsia="bg-BG"/>
        </w:rPr>
        <w:t>Еднократно изплащане на допълнителни суми към пенсиите в размер на 50 лв. за периода август-декември 2020 г., месец януари-септември 2021 г. и по 120 лв. на месец за периода октомври-декември 2021 г. За периода от 1 януари до 31 март 2023 г. са изплатени 0,6 млн. лв. на пенсионери, чиито пенсии са с начална дата преди 2022 г., но за които резултатите от производства по отпускане, възстановяване или възобновяване на пенсиите са приключили през 2022 г.</w:t>
      </w:r>
    </w:p>
    <w:p w14:paraId="509596E5" w14:textId="6D85242F" w:rsidR="00FB77CF" w:rsidRPr="008045CF" w:rsidRDefault="008045CF" w:rsidP="00FB77CF">
      <w:pPr>
        <w:jc w:val="both"/>
      </w:pPr>
      <w:r w:rsidRPr="008045CF">
        <w:t xml:space="preserve">През първо тримесечие на 2023 г. не са изразходвани средства </w:t>
      </w:r>
      <w:r w:rsidR="00FB77CF" w:rsidRPr="008045CF">
        <w:t xml:space="preserve">за </w:t>
      </w:r>
      <w:r w:rsidR="00FB77CF" w:rsidRPr="008045CF">
        <w:rPr>
          <w:b/>
        </w:rPr>
        <w:t>мерки в подкрепа на бизнеса</w:t>
      </w:r>
      <w:r w:rsidRPr="008045CF">
        <w:rPr>
          <w:b/>
        </w:rPr>
        <w:t>.</w:t>
      </w:r>
    </w:p>
    <w:p w14:paraId="15CAAF1A" w14:textId="77777777" w:rsidR="00FB77CF" w:rsidRPr="00C15913" w:rsidRDefault="00FB77CF" w:rsidP="00FB77CF">
      <w:pPr>
        <w:jc w:val="both"/>
        <w:rPr>
          <w:color w:val="0070C0"/>
          <w:sz w:val="8"/>
          <w:szCs w:val="8"/>
          <w:lang w:val="ru-RU"/>
        </w:rPr>
      </w:pPr>
    </w:p>
    <w:p w14:paraId="075841C4" w14:textId="0EEB31B4" w:rsidR="000D7B46" w:rsidRPr="008045CF" w:rsidRDefault="00FB77CF" w:rsidP="003D20E1">
      <w:pPr>
        <w:spacing w:after="120"/>
        <w:jc w:val="both"/>
        <w:rPr>
          <w:lang w:eastAsia="bg-BG"/>
        </w:rPr>
      </w:pPr>
      <w:r w:rsidRPr="008045CF">
        <w:rPr>
          <w:b/>
          <w:lang w:eastAsia="bg-BG"/>
        </w:rPr>
        <w:t>За</w:t>
      </w:r>
      <w:r w:rsidRPr="008045CF">
        <w:rPr>
          <w:lang w:eastAsia="bg-BG"/>
        </w:rPr>
        <w:t xml:space="preserve"> </w:t>
      </w:r>
      <w:r w:rsidRPr="008045CF">
        <w:rPr>
          <w:b/>
          <w:lang w:eastAsia="bg-BG"/>
        </w:rPr>
        <w:t>мерки за органите на държавното управление, натоварени с дейности по овладяване на пандемията и последствията от COVID-19</w:t>
      </w:r>
      <w:r w:rsidRPr="008045CF">
        <w:rPr>
          <w:lang w:eastAsia="bg-BG"/>
        </w:rPr>
        <w:t xml:space="preserve"> по държавния бюджет и бюджетите на общините </w:t>
      </w:r>
      <w:r w:rsidR="008045CF" w:rsidRPr="008045CF">
        <w:rPr>
          <w:lang w:eastAsia="bg-BG"/>
        </w:rPr>
        <w:t xml:space="preserve">за първите три месеца на 2023 г. </w:t>
      </w:r>
      <w:r w:rsidRPr="008045CF">
        <w:rPr>
          <w:lang w:eastAsia="bg-BG"/>
        </w:rPr>
        <w:t>са предоставени общо</w:t>
      </w:r>
      <w:r w:rsidRPr="008045CF">
        <w:rPr>
          <w:b/>
          <w:lang w:eastAsia="bg-BG"/>
        </w:rPr>
        <w:t xml:space="preserve"> </w:t>
      </w:r>
      <w:r w:rsidRPr="008045CF">
        <w:rPr>
          <w:b/>
          <w:lang w:val="ru-RU" w:eastAsia="bg-BG"/>
        </w:rPr>
        <w:t>8</w:t>
      </w:r>
      <w:r w:rsidRPr="008045CF">
        <w:rPr>
          <w:b/>
          <w:lang w:eastAsia="bg-BG"/>
        </w:rPr>
        <w:t>,</w:t>
      </w:r>
      <w:r w:rsidR="008045CF" w:rsidRPr="008045CF">
        <w:rPr>
          <w:b/>
          <w:lang w:eastAsia="bg-BG"/>
        </w:rPr>
        <w:t>0</w:t>
      </w:r>
      <w:r w:rsidRPr="008045CF">
        <w:rPr>
          <w:lang w:eastAsia="bg-BG"/>
        </w:rPr>
        <w:t xml:space="preserve"> </w:t>
      </w:r>
      <w:r w:rsidR="0074704B">
        <w:rPr>
          <w:b/>
          <w:lang w:eastAsia="bg-BG"/>
        </w:rPr>
        <w:t xml:space="preserve">млн. </w:t>
      </w:r>
      <w:r w:rsidR="00D156B6">
        <w:rPr>
          <w:b/>
          <w:lang w:eastAsia="bg-BG"/>
        </w:rPr>
        <w:t>лв</w:t>
      </w:r>
      <w:r w:rsidRPr="008045CF">
        <w:rPr>
          <w:b/>
          <w:lang w:val="ru-RU" w:eastAsia="bg-BG"/>
        </w:rPr>
        <w:t>.</w:t>
      </w:r>
      <w:r w:rsidRPr="008045CF">
        <w:rPr>
          <w:lang w:val="ru-RU" w:eastAsia="bg-BG"/>
        </w:rPr>
        <w:t xml:space="preserve"> </w:t>
      </w:r>
      <w:r w:rsidRPr="008045CF">
        <w:rPr>
          <w:lang w:eastAsia="bg-BG"/>
        </w:rPr>
        <w:t>С най-голям дял са разходите за подкрепа на персонала на първа линия, пряко ангажиран с дейности по предотвратяване разпространението на COVID-19, вкл. за поставяне на ваксини срещу COVID-19</w:t>
      </w:r>
      <w:r w:rsidRPr="008045CF">
        <w:rPr>
          <w:lang w:val="ru-RU" w:eastAsia="bg-BG"/>
        </w:rPr>
        <w:t xml:space="preserve"> - </w:t>
      </w:r>
      <w:r w:rsidRPr="008045CF">
        <w:rPr>
          <w:lang w:eastAsia="bg-BG"/>
        </w:rPr>
        <w:t>5,</w:t>
      </w:r>
      <w:r w:rsidR="008045CF" w:rsidRPr="008045CF">
        <w:rPr>
          <w:lang w:eastAsia="bg-BG"/>
        </w:rPr>
        <w:t>8</w:t>
      </w:r>
      <w:r w:rsidRPr="008045CF">
        <w:rPr>
          <w:lang w:eastAsia="bg-BG"/>
        </w:rPr>
        <w:t xml:space="preserve"> млн. лв. </w:t>
      </w:r>
      <w:r w:rsidRPr="008045CF">
        <w:rPr>
          <w:lang w:val="ru-RU" w:eastAsia="bg-BG"/>
        </w:rPr>
        <w:t xml:space="preserve"> </w:t>
      </w:r>
      <w:r w:rsidRPr="008045CF">
        <w:rPr>
          <w:lang w:eastAsia="bg-BG"/>
        </w:rPr>
        <w:t xml:space="preserve">От общините </w:t>
      </w:r>
      <w:r w:rsidR="008045CF" w:rsidRPr="008045CF">
        <w:rPr>
          <w:lang w:eastAsia="bg-BG"/>
        </w:rPr>
        <w:t xml:space="preserve">за противоепидемични мерки </w:t>
      </w:r>
      <w:r w:rsidRPr="008045CF">
        <w:rPr>
          <w:lang w:eastAsia="bg-BG"/>
        </w:rPr>
        <w:t>са изразход</w:t>
      </w:r>
      <w:r w:rsidR="008045CF">
        <w:rPr>
          <w:lang w:eastAsia="bg-BG"/>
        </w:rPr>
        <w:t>е</w:t>
      </w:r>
      <w:r w:rsidRPr="008045CF">
        <w:rPr>
          <w:lang w:eastAsia="bg-BG"/>
        </w:rPr>
        <w:t xml:space="preserve">ни средства в размер на </w:t>
      </w:r>
      <w:r w:rsidR="008045CF" w:rsidRPr="008045CF">
        <w:rPr>
          <w:lang w:eastAsia="bg-BG"/>
        </w:rPr>
        <w:t>1</w:t>
      </w:r>
      <w:r w:rsidRPr="008045CF">
        <w:rPr>
          <w:lang w:eastAsia="bg-BG"/>
        </w:rPr>
        <w:t>,</w:t>
      </w:r>
      <w:r w:rsidR="008045CF" w:rsidRPr="008045CF">
        <w:rPr>
          <w:lang w:eastAsia="bg-BG"/>
        </w:rPr>
        <w:t>8</w:t>
      </w:r>
      <w:r w:rsidRPr="008045CF">
        <w:rPr>
          <w:lang w:eastAsia="bg-BG"/>
        </w:rPr>
        <w:t xml:space="preserve"> млн. л</w:t>
      </w:r>
      <w:r w:rsidR="008045CF" w:rsidRPr="008045CF">
        <w:rPr>
          <w:lang w:eastAsia="bg-BG"/>
        </w:rPr>
        <w:t>е</w:t>
      </w:r>
      <w:r w:rsidRPr="008045CF">
        <w:rPr>
          <w:lang w:eastAsia="bg-BG"/>
        </w:rPr>
        <w:t>в</w:t>
      </w:r>
      <w:r w:rsidR="008045CF" w:rsidRPr="008045CF">
        <w:rPr>
          <w:lang w:eastAsia="bg-BG"/>
        </w:rPr>
        <w:t>а</w:t>
      </w:r>
      <w:r w:rsidRPr="008045CF">
        <w:rPr>
          <w:lang w:eastAsia="bg-BG"/>
        </w:rPr>
        <w:t>.</w:t>
      </w:r>
    </w:p>
    <w:p w14:paraId="0A53E583" w14:textId="77777777" w:rsidR="003D20E1" w:rsidRPr="00C15913" w:rsidRDefault="003D20E1" w:rsidP="00FB77CF">
      <w:pPr>
        <w:tabs>
          <w:tab w:val="left" w:pos="426"/>
          <w:tab w:val="left" w:pos="851"/>
        </w:tabs>
        <w:contextualSpacing/>
        <w:jc w:val="center"/>
        <w:rPr>
          <w:b/>
          <w:i/>
          <w:color w:val="0070C0"/>
          <w:sz w:val="12"/>
          <w:u w:val="single"/>
        </w:rPr>
      </w:pPr>
    </w:p>
    <w:p w14:paraId="18ACD69E" w14:textId="64B79113" w:rsidR="00FB77CF" w:rsidRDefault="00FB77CF" w:rsidP="00FB77CF">
      <w:pPr>
        <w:jc w:val="both"/>
        <w:rPr>
          <w:color w:val="0070C0"/>
          <w:sz w:val="8"/>
          <w:szCs w:val="8"/>
          <w:lang w:val="ru-RU" w:eastAsia="bg-BG"/>
        </w:rPr>
      </w:pPr>
    </w:p>
    <w:p w14:paraId="714565F5" w14:textId="28CC6FCB" w:rsidR="00D01230" w:rsidRDefault="00D01230" w:rsidP="00FB77CF">
      <w:pPr>
        <w:jc w:val="both"/>
        <w:rPr>
          <w:color w:val="0070C0"/>
          <w:sz w:val="8"/>
          <w:szCs w:val="8"/>
          <w:lang w:val="ru-RU" w:eastAsia="bg-BG"/>
        </w:rPr>
      </w:pPr>
    </w:p>
    <w:p w14:paraId="45E98B9F" w14:textId="6214F8D2" w:rsidR="00D01230" w:rsidRDefault="00D01230" w:rsidP="00FB77CF">
      <w:pPr>
        <w:jc w:val="both"/>
        <w:rPr>
          <w:color w:val="0070C0"/>
          <w:sz w:val="8"/>
          <w:szCs w:val="8"/>
          <w:lang w:val="ru-RU" w:eastAsia="bg-BG"/>
        </w:rPr>
      </w:pPr>
    </w:p>
    <w:p w14:paraId="65295B74" w14:textId="1D374578" w:rsidR="00AD5F24" w:rsidRDefault="00AD5F24">
      <w:pPr>
        <w:rPr>
          <w:rFonts w:ascii="Calibri" w:eastAsia="Calibri" w:hAnsi="Calibri"/>
          <w:color w:val="0070C0"/>
          <w:sz w:val="22"/>
          <w:szCs w:val="22"/>
          <w:lang w:val="ru-RU"/>
        </w:rPr>
      </w:pPr>
      <w:r>
        <w:rPr>
          <w:rFonts w:ascii="Calibri" w:eastAsia="Calibri" w:hAnsi="Calibri"/>
          <w:color w:val="0070C0"/>
          <w:sz w:val="22"/>
          <w:szCs w:val="22"/>
          <w:lang w:val="ru-RU"/>
        </w:rPr>
        <w:br w:type="page"/>
      </w:r>
    </w:p>
    <w:p w14:paraId="53A9593D" w14:textId="71822295" w:rsidR="00E74802" w:rsidRPr="00A90030" w:rsidRDefault="00E74802" w:rsidP="000F1EB1">
      <w:pPr>
        <w:pStyle w:val="Heading1"/>
        <w:numPr>
          <w:ilvl w:val="0"/>
          <w:numId w:val="9"/>
        </w:numPr>
        <w:ind w:right="-108"/>
        <w:jc w:val="both"/>
        <w:rPr>
          <w:sz w:val="24"/>
        </w:rPr>
      </w:pPr>
      <w:r w:rsidRPr="00A90030">
        <w:rPr>
          <w:sz w:val="24"/>
        </w:rPr>
        <w:t>Основни показатели по консолидираната фискална програма</w:t>
      </w:r>
      <w:r w:rsidRPr="00A90030">
        <w:rPr>
          <w:rStyle w:val="FootnoteReference"/>
          <w:sz w:val="24"/>
        </w:rPr>
        <w:footnoteReference w:id="3"/>
      </w:r>
      <w:r w:rsidRPr="00A90030">
        <w:rPr>
          <w:sz w:val="24"/>
        </w:rPr>
        <w:t xml:space="preserve"> за </w:t>
      </w:r>
      <w:r w:rsidR="000F1EB1" w:rsidRPr="00A90030">
        <w:rPr>
          <w:sz w:val="24"/>
        </w:rPr>
        <w:t xml:space="preserve">първото тримесечие </w:t>
      </w:r>
      <w:r w:rsidRPr="00A90030">
        <w:rPr>
          <w:sz w:val="24"/>
        </w:rPr>
        <w:t>на 20</w:t>
      </w:r>
      <w:r w:rsidR="001F7F82" w:rsidRPr="00A90030">
        <w:rPr>
          <w:sz w:val="24"/>
        </w:rPr>
        <w:t>2</w:t>
      </w:r>
      <w:r w:rsidR="000F1EB1" w:rsidRPr="00A90030">
        <w:rPr>
          <w:sz w:val="24"/>
        </w:rPr>
        <w:t>3</w:t>
      </w:r>
      <w:r w:rsidRPr="00A90030">
        <w:rPr>
          <w:sz w:val="24"/>
        </w:rPr>
        <w:t> г.</w:t>
      </w:r>
    </w:p>
    <w:p w14:paraId="22D16163" w14:textId="77777777" w:rsidR="00430A35" w:rsidRPr="00C15913" w:rsidRDefault="00430A35" w:rsidP="00430A35">
      <w:pPr>
        <w:rPr>
          <w:color w:val="0070C0"/>
          <w:sz w:val="6"/>
          <w:szCs w:val="12"/>
        </w:rPr>
      </w:pPr>
    </w:p>
    <w:p w14:paraId="5591DFD7" w14:textId="77777777" w:rsidR="005B6C1F" w:rsidRPr="00C15913" w:rsidRDefault="005B6C1F" w:rsidP="00E863AA">
      <w:pPr>
        <w:jc w:val="both"/>
        <w:rPr>
          <w:color w:val="0070C0"/>
          <w:lang w:val="ru-RU"/>
        </w:rPr>
      </w:pPr>
    </w:p>
    <w:p w14:paraId="1F1A30E1" w14:textId="6AE7AB02" w:rsidR="00222173" w:rsidRDefault="00222173" w:rsidP="00222173">
      <w:pPr>
        <w:jc w:val="both"/>
      </w:pPr>
      <w:r w:rsidRPr="003B76CE">
        <w:t xml:space="preserve">Изпълнението на основните показатели по консолидираната фискална програма за </w:t>
      </w:r>
      <w:r w:rsidR="00CC1F5F" w:rsidRPr="003B76CE">
        <w:t xml:space="preserve">първото тримесечие </w:t>
      </w:r>
      <w:r w:rsidRPr="003B76CE">
        <w:t>на 202</w:t>
      </w:r>
      <w:r w:rsidR="00CC1F5F" w:rsidRPr="003B76CE">
        <w:t>3</w:t>
      </w:r>
      <w:r w:rsidRPr="003B76CE">
        <w:t xml:space="preserve"> г. е представено в следната таблица:</w:t>
      </w:r>
    </w:p>
    <w:p w14:paraId="4AD1EEB2" w14:textId="77777777" w:rsidR="00222173" w:rsidRPr="00C15913" w:rsidRDefault="00222173" w:rsidP="00222173">
      <w:pPr>
        <w:jc w:val="both"/>
        <w:rPr>
          <w:color w:val="0070C0"/>
          <w:sz w:val="4"/>
          <w:szCs w:val="4"/>
        </w:rPr>
      </w:pPr>
    </w:p>
    <w:p w14:paraId="72BEFD06" w14:textId="77777777" w:rsidR="00222173" w:rsidRPr="003B76CE" w:rsidRDefault="00222173" w:rsidP="00222173">
      <w:pPr>
        <w:spacing w:before="120"/>
        <w:rPr>
          <w:b/>
          <w:i/>
          <w:sz w:val="18"/>
          <w:szCs w:val="18"/>
        </w:rPr>
      </w:pPr>
      <w:r w:rsidRPr="003B76CE">
        <w:rPr>
          <w:b/>
          <w:i/>
          <w:sz w:val="22"/>
          <w:szCs w:val="22"/>
        </w:rPr>
        <w:t>Таблица</w:t>
      </w:r>
      <w:r w:rsidRPr="003B76CE">
        <w:rPr>
          <w:b/>
          <w:i/>
          <w:sz w:val="22"/>
          <w:szCs w:val="22"/>
          <w:vertAlign w:val="superscript"/>
        </w:rPr>
        <w:footnoteReference w:id="4"/>
      </w:r>
      <w:r w:rsidRPr="003B76CE">
        <w:rPr>
          <w:b/>
          <w:i/>
          <w:sz w:val="22"/>
          <w:szCs w:val="22"/>
        </w:rPr>
        <w:t xml:space="preserve"> №1</w:t>
      </w:r>
      <w:r w:rsidRPr="003B76CE">
        <w:rPr>
          <w:b/>
          <w:i/>
          <w:sz w:val="22"/>
          <w:szCs w:val="22"/>
        </w:rPr>
        <w:tab/>
      </w:r>
      <w:r w:rsidRPr="003B76CE">
        <w:rPr>
          <w:b/>
          <w:i/>
          <w:sz w:val="22"/>
          <w:szCs w:val="22"/>
        </w:rPr>
        <w:tab/>
      </w:r>
      <w:r w:rsidRPr="003B76CE">
        <w:rPr>
          <w:b/>
          <w:i/>
          <w:sz w:val="22"/>
          <w:szCs w:val="22"/>
        </w:rPr>
        <w:tab/>
      </w:r>
      <w:r w:rsidRPr="003B76CE">
        <w:rPr>
          <w:b/>
          <w:i/>
          <w:sz w:val="22"/>
          <w:szCs w:val="22"/>
        </w:rPr>
        <w:tab/>
      </w:r>
      <w:r w:rsidRPr="003B76CE">
        <w:rPr>
          <w:b/>
          <w:i/>
          <w:sz w:val="22"/>
          <w:szCs w:val="22"/>
        </w:rPr>
        <w:tab/>
      </w:r>
      <w:r w:rsidRPr="003B76CE">
        <w:rPr>
          <w:b/>
          <w:i/>
          <w:sz w:val="22"/>
          <w:szCs w:val="22"/>
        </w:rPr>
        <w:tab/>
      </w:r>
      <w:r w:rsidRPr="003B76CE">
        <w:rPr>
          <w:b/>
          <w:i/>
          <w:sz w:val="22"/>
          <w:szCs w:val="22"/>
        </w:rPr>
        <w:tab/>
      </w:r>
      <w:r w:rsidRPr="003B76CE">
        <w:rPr>
          <w:b/>
          <w:i/>
          <w:sz w:val="22"/>
          <w:szCs w:val="22"/>
        </w:rPr>
        <w:tab/>
      </w:r>
      <w:r w:rsidRPr="003B76CE">
        <w:rPr>
          <w:b/>
          <w:i/>
          <w:sz w:val="22"/>
          <w:szCs w:val="22"/>
        </w:rPr>
        <w:tab/>
      </w:r>
      <w:r w:rsidRPr="003B76CE">
        <w:rPr>
          <w:b/>
          <w:i/>
          <w:sz w:val="22"/>
          <w:szCs w:val="22"/>
        </w:rPr>
        <w:tab/>
      </w:r>
      <w:r w:rsidRPr="003B76CE">
        <w:rPr>
          <w:b/>
          <w:i/>
          <w:sz w:val="22"/>
          <w:szCs w:val="22"/>
        </w:rPr>
        <w:tab/>
      </w:r>
      <w:r w:rsidRPr="003B76CE">
        <w:rPr>
          <w:b/>
          <w:i/>
          <w:sz w:val="18"/>
          <w:szCs w:val="18"/>
        </w:rPr>
        <w:t>(млн. лв.)</w:t>
      </w:r>
    </w:p>
    <w:tbl>
      <w:tblPr>
        <w:tblW w:w="10230" w:type="dxa"/>
        <w:tblInd w:w="98" w:type="dxa"/>
        <w:tblLook w:val="04A0" w:firstRow="1" w:lastRow="0" w:firstColumn="1" w:lastColumn="0" w:noHBand="0" w:noVBand="1"/>
      </w:tblPr>
      <w:tblGrid>
        <w:gridCol w:w="4250"/>
        <w:gridCol w:w="1287"/>
        <w:gridCol w:w="1087"/>
        <w:gridCol w:w="1222"/>
        <w:gridCol w:w="1199"/>
        <w:gridCol w:w="1209"/>
      </w:tblGrid>
      <w:tr w:rsidR="00C15913" w:rsidRPr="00C15913" w14:paraId="386098FB" w14:textId="77777777" w:rsidTr="009A2220">
        <w:trPr>
          <w:trHeight w:val="265"/>
        </w:trPr>
        <w:tc>
          <w:tcPr>
            <w:tcW w:w="4250"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23FDD1A2" w14:textId="77777777" w:rsidR="00222173" w:rsidRPr="005C32A6" w:rsidRDefault="00222173" w:rsidP="000406B2">
            <w:pPr>
              <w:jc w:val="center"/>
              <w:rPr>
                <w:b/>
                <w:bCs/>
                <w:sz w:val="18"/>
                <w:szCs w:val="18"/>
              </w:rPr>
            </w:pPr>
            <w:r w:rsidRPr="005C32A6">
              <w:rPr>
                <w:b/>
                <w:bCs/>
                <w:sz w:val="18"/>
                <w:szCs w:val="18"/>
              </w:rPr>
              <w:t>ПОКАЗАТЕЛ</w:t>
            </w:r>
          </w:p>
        </w:tc>
        <w:tc>
          <w:tcPr>
            <w:tcW w:w="1287" w:type="dxa"/>
            <w:tcBorders>
              <w:top w:val="single" w:sz="8" w:space="0" w:color="auto"/>
              <w:left w:val="single" w:sz="4" w:space="0" w:color="auto"/>
              <w:bottom w:val="nil"/>
              <w:right w:val="single" w:sz="4" w:space="0" w:color="auto"/>
            </w:tcBorders>
            <w:shd w:val="clear" w:color="000000" w:fill="D9D9D9"/>
            <w:noWrap/>
            <w:vAlign w:val="bottom"/>
            <w:hideMark/>
          </w:tcPr>
          <w:p w14:paraId="5B5FF078" w14:textId="13C793E0" w:rsidR="00222173" w:rsidRPr="005C32A6" w:rsidRDefault="005C32A6" w:rsidP="005C32A6">
            <w:pPr>
              <w:jc w:val="center"/>
              <w:rPr>
                <w:b/>
                <w:bCs/>
                <w:sz w:val="18"/>
                <w:szCs w:val="18"/>
                <w:highlight w:val="yellow"/>
              </w:rPr>
            </w:pPr>
            <w:r w:rsidRPr="005C32A6">
              <w:rPr>
                <w:b/>
                <w:bCs/>
                <w:sz w:val="18"/>
                <w:szCs w:val="18"/>
              </w:rPr>
              <w:t>Отчет към 31.03.2022 г.</w:t>
            </w:r>
          </w:p>
        </w:tc>
        <w:tc>
          <w:tcPr>
            <w:tcW w:w="3490"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0A99036A" w14:textId="7726C491" w:rsidR="00222173" w:rsidRPr="005C32A6" w:rsidRDefault="00222173" w:rsidP="00CC1F5F">
            <w:pPr>
              <w:jc w:val="center"/>
              <w:rPr>
                <w:b/>
                <w:bCs/>
                <w:sz w:val="18"/>
                <w:szCs w:val="18"/>
              </w:rPr>
            </w:pPr>
            <w:r w:rsidRPr="005C32A6">
              <w:rPr>
                <w:b/>
                <w:bCs/>
                <w:sz w:val="18"/>
                <w:szCs w:val="18"/>
              </w:rPr>
              <w:t xml:space="preserve">Отчет към </w:t>
            </w:r>
            <w:r w:rsidR="00CC1F5F" w:rsidRPr="005C32A6">
              <w:rPr>
                <w:b/>
                <w:bCs/>
                <w:sz w:val="18"/>
                <w:szCs w:val="18"/>
              </w:rPr>
              <w:t>31</w:t>
            </w:r>
            <w:r w:rsidRPr="005C32A6">
              <w:rPr>
                <w:b/>
                <w:bCs/>
                <w:sz w:val="18"/>
                <w:szCs w:val="18"/>
              </w:rPr>
              <w:t>.</w:t>
            </w:r>
            <w:r w:rsidR="00CC1F5F" w:rsidRPr="005C32A6">
              <w:rPr>
                <w:b/>
                <w:bCs/>
                <w:sz w:val="18"/>
                <w:szCs w:val="18"/>
              </w:rPr>
              <w:t>03</w:t>
            </w:r>
            <w:r w:rsidRPr="005C32A6">
              <w:rPr>
                <w:b/>
                <w:bCs/>
                <w:sz w:val="18"/>
                <w:szCs w:val="18"/>
              </w:rPr>
              <w:t>.20</w:t>
            </w:r>
            <w:r w:rsidRPr="005C32A6">
              <w:rPr>
                <w:b/>
                <w:bCs/>
                <w:sz w:val="18"/>
                <w:szCs w:val="18"/>
                <w:lang w:val="en-US"/>
              </w:rPr>
              <w:t>2</w:t>
            </w:r>
            <w:r w:rsidR="00CC1F5F" w:rsidRPr="005C32A6">
              <w:rPr>
                <w:b/>
                <w:bCs/>
                <w:sz w:val="18"/>
                <w:szCs w:val="18"/>
              </w:rPr>
              <w:t>3</w:t>
            </w:r>
            <w:r w:rsidRPr="005C32A6">
              <w:rPr>
                <w:b/>
                <w:bCs/>
                <w:sz w:val="18"/>
                <w:szCs w:val="18"/>
              </w:rPr>
              <w:t xml:space="preserve"> г.</w:t>
            </w:r>
          </w:p>
        </w:tc>
        <w:tc>
          <w:tcPr>
            <w:tcW w:w="1203" w:type="dxa"/>
            <w:tcBorders>
              <w:top w:val="single" w:sz="8" w:space="0" w:color="auto"/>
              <w:left w:val="nil"/>
              <w:bottom w:val="nil"/>
              <w:right w:val="single" w:sz="8" w:space="0" w:color="auto"/>
            </w:tcBorders>
            <w:shd w:val="clear" w:color="000000" w:fill="D9D9D9"/>
            <w:noWrap/>
            <w:vAlign w:val="bottom"/>
            <w:hideMark/>
          </w:tcPr>
          <w:p w14:paraId="2B24A87D" w14:textId="77777777" w:rsidR="00222173" w:rsidRPr="00BB6EB8" w:rsidRDefault="00222173" w:rsidP="000406B2">
            <w:pPr>
              <w:jc w:val="center"/>
              <w:rPr>
                <w:b/>
                <w:bCs/>
                <w:sz w:val="18"/>
                <w:szCs w:val="18"/>
              </w:rPr>
            </w:pPr>
            <w:r w:rsidRPr="00BB6EB8">
              <w:rPr>
                <w:b/>
                <w:bCs/>
                <w:sz w:val="18"/>
                <w:szCs w:val="18"/>
              </w:rPr>
              <w:t>Изпълнение</w:t>
            </w:r>
          </w:p>
        </w:tc>
      </w:tr>
      <w:tr w:rsidR="00C15913" w:rsidRPr="00C15913" w14:paraId="7732A33D" w14:textId="77777777" w:rsidTr="009A2220">
        <w:trPr>
          <w:trHeight w:val="250"/>
        </w:trPr>
        <w:tc>
          <w:tcPr>
            <w:tcW w:w="4250" w:type="dxa"/>
            <w:vMerge/>
            <w:tcBorders>
              <w:top w:val="single" w:sz="8" w:space="0" w:color="auto"/>
              <w:left w:val="single" w:sz="8" w:space="0" w:color="auto"/>
              <w:bottom w:val="single" w:sz="4" w:space="0" w:color="000000"/>
              <w:right w:val="nil"/>
            </w:tcBorders>
            <w:vAlign w:val="center"/>
            <w:hideMark/>
          </w:tcPr>
          <w:p w14:paraId="6CD9994A" w14:textId="77777777" w:rsidR="00222173" w:rsidRPr="00C15913" w:rsidRDefault="00222173" w:rsidP="000406B2">
            <w:pPr>
              <w:rPr>
                <w:b/>
                <w:bCs/>
                <w:color w:val="0070C0"/>
                <w:sz w:val="18"/>
                <w:szCs w:val="18"/>
              </w:rPr>
            </w:pPr>
          </w:p>
        </w:tc>
        <w:tc>
          <w:tcPr>
            <w:tcW w:w="1287" w:type="dxa"/>
            <w:tcBorders>
              <w:top w:val="nil"/>
              <w:left w:val="single" w:sz="4" w:space="0" w:color="auto"/>
              <w:bottom w:val="single" w:sz="4" w:space="0" w:color="auto"/>
              <w:right w:val="single" w:sz="4" w:space="0" w:color="auto"/>
            </w:tcBorders>
            <w:shd w:val="clear" w:color="000000" w:fill="D9D9D9"/>
            <w:noWrap/>
            <w:vAlign w:val="bottom"/>
            <w:hideMark/>
          </w:tcPr>
          <w:p w14:paraId="72DAB05A" w14:textId="77777777" w:rsidR="00222173" w:rsidRPr="00BB6EB8" w:rsidRDefault="00222173" w:rsidP="000406B2">
            <w:pPr>
              <w:jc w:val="center"/>
              <w:rPr>
                <w:b/>
                <w:bCs/>
                <w:sz w:val="18"/>
                <w:szCs w:val="18"/>
              </w:rPr>
            </w:pPr>
            <w:r w:rsidRPr="00BB6EB8">
              <w:rPr>
                <w:b/>
                <w:bCs/>
                <w:sz w:val="18"/>
                <w:szCs w:val="18"/>
              </w:rPr>
              <w:t xml:space="preserve"> КФП</w:t>
            </w:r>
          </w:p>
        </w:tc>
        <w:tc>
          <w:tcPr>
            <w:tcW w:w="1081" w:type="dxa"/>
            <w:tcBorders>
              <w:top w:val="nil"/>
              <w:left w:val="nil"/>
              <w:bottom w:val="single" w:sz="4" w:space="0" w:color="auto"/>
              <w:right w:val="single" w:sz="4" w:space="0" w:color="auto"/>
            </w:tcBorders>
            <w:shd w:val="clear" w:color="000000" w:fill="D9D9D9"/>
            <w:noWrap/>
            <w:vAlign w:val="bottom"/>
            <w:hideMark/>
          </w:tcPr>
          <w:p w14:paraId="4AAC724B" w14:textId="77777777" w:rsidR="00222173" w:rsidRPr="005C32A6" w:rsidRDefault="00222173" w:rsidP="000406B2">
            <w:pPr>
              <w:jc w:val="center"/>
              <w:rPr>
                <w:b/>
                <w:bCs/>
                <w:sz w:val="18"/>
                <w:szCs w:val="18"/>
              </w:rPr>
            </w:pPr>
            <w:r w:rsidRPr="005C32A6">
              <w:rPr>
                <w:b/>
                <w:bCs/>
                <w:sz w:val="18"/>
                <w:szCs w:val="18"/>
              </w:rPr>
              <w:t xml:space="preserve"> КФП</w:t>
            </w:r>
          </w:p>
        </w:tc>
        <w:tc>
          <w:tcPr>
            <w:tcW w:w="1216" w:type="dxa"/>
            <w:tcBorders>
              <w:top w:val="nil"/>
              <w:left w:val="nil"/>
              <w:bottom w:val="single" w:sz="4" w:space="0" w:color="auto"/>
              <w:right w:val="single" w:sz="4" w:space="0" w:color="auto"/>
            </w:tcBorders>
            <w:shd w:val="clear" w:color="000000" w:fill="D9D9D9"/>
            <w:noWrap/>
            <w:vAlign w:val="bottom"/>
            <w:hideMark/>
          </w:tcPr>
          <w:p w14:paraId="54A97BFD" w14:textId="77777777" w:rsidR="00222173" w:rsidRPr="005C32A6" w:rsidRDefault="00222173" w:rsidP="000406B2">
            <w:pPr>
              <w:jc w:val="center"/>
              <w:rPr>
                <w:b/>
                <w:bCs/>
                <w:sz w:val="18"/>
                <w:szCs w:val="18"/>
              </w:rPr>
            </w:pPr>
            <w:r w:rsidRPr="005C32A6">
              <w:rPr>
                <w:b/>
                <w:bCs/>
                <w:sz w:val="18"/>
                <w:szCs w:val="18"/>
              </w:rPr>
              <w:t>Национален бюджет</w:t>
            </w:r>
          </w:p>
        </w:tc>
        <w:tc>
          <w:tcPr>
            <w:tcW w:w="1193" w:type="dxa"/>
            <w:tcBorders>
              <w:top w:val="nil"/>
              <w:left w:val="nil"/>
              <w:bottom w:val="single" w:sz="4" w:space="0" w:color="auto"/>
              <w:right w:val="single" w:sz="4" w:space="0" w:color="auto"/>
            </w:tcBorders>
            <w:shd w:val="clear" w:color="000000" w:fill="D9D9D9"/>
            <w:noWrap/>
            <w:vAlign w:val="bottom"/>
            <w:hideMark/>
          </w:tcPr>
          <w:p w14:paraId="05068376" w14:textId="77777777" w:rsidR="00222173" w:rsidRPr="005C32A6" w:rsidRDefault="00222173" w:rsidP="000406B2">
            <w:pPr>
              <w:jc w:val="center"/>
              <w:rPr>
                <w:b/>
                <w:bCs/>
                <w:sz w:val="18"/>
                <w:szCs w:val="18"/>
              </w:rPr>
            </w:pPr>
            <w:r w:rsidRPr="005C32A6">
              <w:rPr>
                <w:b/>
                <w:bCs/>
                <w:sz w:val="18"/>
                <w:szCs w:val="18"/>
              </w:rPr>
              <w:t>Европейски средства</w:t>
            </w:r>
          </w:p>
        </w:tc>
        <w:tc>
          <w:tcPr>
            <w:tcW w:w="1203" w:type="dxa"/>
            <w:tcBorders>
              <w:top w:val="nil"/>
              <w:left w:val="nil"/>
              <w:bottom w:val="single" w:sz="4" w:space="0" w:color="auto"/>
              <w:right w:val="single" w:sz="8" w:space="0" w:color="auto"/>
            </w:tcBorders>
            <w:shd w:val="clear" w:color="000000" w:fill="D9D9D9"/>
            <w:noWrap/>
            <w:vAlign w:val="bottom"/>
            <w:hideMark/>
          </w:tcPr>
          <w:p w14:paraId="65EE0495" w14:textId="1A93FABC" w:rsidR="00222173" w:rsidRPr="00BB6EB8" w:rsidRDefault="00222173" w:rsidP="005C32A6">
            <w:pPr>
              <w:jc w:val="center"/>
              <w:rPr>
                <w:b/>
                <w:bCs/>
                <w:sz w:val="18"/>
                <w:szCs w:val="18"/>
              </w:rPr>
            </w:pPr>
            <w:r w:rsidRPr="00BB6EB8">
              <w:rPr>
                <w:b/>
                <w:bCs/>
                <w:sz w:val="18"/>
                <w:szCs w:val="18"/>
              </w:rPr>
              <w:t xml:space="preserve">спрямо </w:t>
            </w:r>
            <w:r w:rsidR="005C32A6" w:rsidRPr="00BB6EB8">
              <w:rPr>
                <w:b/>
                <w:bCs/>
                <w:sz w:val="18"/>
                <w:szCs w:val="18"/>
              </w:rPr>
              <w:t>2022 г.</w:t>
            </w:r>
          </w:p>
        </w:tc>
      </w:tr>
      <w:tr w:rsidR="00C15913" w:rsidRPr="00C15913" w14:paraId="402494B8" w14:textId="77777777" w:rsidTr="009A2220">
        <w:trPr>
          <w:trHeight w:val="265"/>
        </w:trPr>
        <w:tc>
          <w:tcPr>
            <w:tcW w:w="4250" w:type="dxa"/>
            <w:tcBorders>
              <w:top w:val="nil"/>
              <w:left w:val="single" w:sz="8" w:space="0" w:color="auto"/>
              <w:bottom w:val="single" w:sz="8" w:space="0" w:color="auto"/>
              <w:right w:val="nil"/>
            </w:tcBorders>
            <w:shd w:val="clear" w:color="000000" w:fill="D9D9D9"/>
            <w:noWrap/>
            <w:vAlign w:val="bottom"/>
            <w:hideMark/>
          </w:tcPr>
          <w:p w14:paraId="6CAD5691" w14:textId="77777777" w:rsidR="00222173" w:rsidRPr="005550E1" w:rsidRDefault="00222173" w:rsidP="000406B2">
            <w:pPr>
              <w:jc w:val="center"/>
              <w:rPr>
                <w:color w:val="0070C0"/>
                <w:sz w:val="18"/>
                <w:szCs w:val="18"/>
              </w:rPr>
            </w:pPr>
            <w:r w:rsidRPr="005550E1">
              <w:rPr>
                <w:sz w:val="18"/>
                <w:szCs w:val="18"/>
              </w:rPr>
              <w:t>к.1</w:t>
            </w:r>
          </w:p>
        </w:tc>
        <w:tc>
          <w:tcPr>
            <w:tcW w:w="1287" w:type="dxa"/>
            <w:tcBorders>
              <w:top w:val="nil"/>
              <w:left w:val="single" w:sz="4" w:space="0" w:color="auto"/>
              <w:bottom w:val="single" w:sz="8" w:space="0" w:color="auto"/>
              <w:right w:val="single" w:sz="4" w:space="0" w:color="auto"/>
            </w:tcBorders>
            <w:shd w:val="clear" w:color="000000" w:fill="D9D9D9"/>
            <w:noWrap/>
            <w:vAlign w:val="bottom"/>
            <w:hideMark/>
          </w:tcPr>
          <w:p w14:paraId="50DED8CF" w14:textId="77777777" w:rsidR="00222173" w:rsidRPr="005550E1" w:rsidRDefault="00222173" w:rsidP="000406B2">
            <w:pPr>
              <w:jc w:val="center"/>
              <w:rPr>
                <w:bCs/>
                <w:sz w:val="18"/>
                <w:szCs w:val="18"/>
              </w:rPr>
            </w:pPr>
            <w:r w:rsidRPr="005550E1">
              <w:rPr>
                <w:bCs/>
                <w:sz w:val="18"/>
                <w:szCs w:val="18"/>
              </w:rPr>
              <w:t>к.2</w:t>
            </w:r>
          </w:p>
        </w:tc>
        <w:tc>
          <w:tcPr>
            <w:tcW w:w="1081" w:type="dxa"/>
            <w:tcBorders>
              <w:top w:val="nil"/>
              <w:left w:val="nil"/>
              <w:bottom w:val="single" w:sz="8" w:space="0" w:color="auto"/>
              <w:right w:val="single" w:sz="4" w:space="0" w:color="auto"/>
            </w:tcBorders>
            <w:shd w:val="clear" w:color="000000" w:fill="D9D9D9"/>
            <w:noWrap/>
            <w:vAlign w:val="bottom"/>
            <w:hideMark/>
          </w:tcPr>
          <w:p w14:paraId="103058D7" w14:textId="77777777" w:rsidR="00222173" w:rsidRPr="005550E1" w:rsidRDefault="00222173" w:rsidP="000406B2">
            <w:pPr>
              <w:jc w:val="center"/>
              <w:rPr>
                <w:sz w:val="18"/>
                <w:szCs w:val="18"/>
              </w:rPr>
            </w:pPr>
            <w:r w:rsidRPr="005550E1">
              <w:rPr>
                <w:sz w:val="18"/>
                <w:szCs w:val="18"/>
              </w:rPr>
              <w:t>к.3=к.4+к.5</w:t>
            </w:r>
          </w:p>
        </w:tc>
        <w:tc>
          <w:tcPr>
            <w:tcW w:w="1216" w:type="dxa"/>
            <w:tcBorders>
              <w:top w:val="nil"/>
              <w:left w:val="nil"/>
              <w:bottom w:val="single" w:sz="8" w:space="0" w:color="auto"/>
              <w:right w:val="single" w:sz="4" w:space="0" w:color="auto"/>
            </w:tcBorders>
            <w:shd w:val="clear" w:color="000000" w:fill="D9D9D9"/>
            <w:noWrap/>
            <w:vAlign w:val="bottom"/>
            <w:hideMark/>
          </w:tcPr>
          <w:p w14:paraId="29CCE934" w14:textId="77777777" w:rsidR="00222173" w:rsidRPr="005550E1" w:rsidRDefault="00222173" w:rsidP="000406B2">
            <w:pPr>
              <w:jc w:val="center"/>
              <w:rPr>
                <w:sz w:val="18"/>
                <w:szCs w:val="18"/>
              </w:rPr>
            </w:pPr>
            <w:r w:rsidRPr="005550E1">
              <w:rPr>
                <w:sz w:val="18"/>
                <w:szCs w:val="18"/>
              </w:rPr>
              <w:t>к.4</w:t>
            </w:r>
          </w:p>
        </w:tc>
        <w:tc>
          <w:tcPr>
            <w:tcW w:w="1193" w:type="dxa"/>
            <w:tcBorders>
              <w:top w:val="nil"/>
              <w:left w:val="nil"/>
              <w:bottom w:val="single" w:sz="8" w:space="0" w:color="auto"/>
              <w:right w:val="single" w:sz="4" w:space="0" w:color="auto"/>
            </w:tcBorders>
            <w:shd w:val="clear" w:color="000000" w:fill="D9D9D9"/>
            <w:noWrap/>
            <w:vAlign w:val="bottom"/>
            <w:hideMark/>
          </w:tcPr>
          <w:p w14:paraId="351B331A" w14:textId="77777777" w:rsidR="00222173" w:rsidRPr="005550E1" w:rsidRDefault="00222173" w:rsidP="000406B2">
            <w:pPr>
              <w:jc w:val="center"/>
              <w:rPr>
                <w:sz w:val="18"/>
                <w:szCs w:val="18"/>
              </w:rPr>
            </w:pPr>
            <w:r w:rsidRPr="005550E1">
              <w:rPr>
                <w:sz w:val="18"/>
                <w:szCs w:val="18"/>
              </w:rPr>
              <w:t>к.5</w:t>
            </w:r>
          </w:p>
        </w:tc>
        <w:tc>
          <w:tcPr>
            <w:tcW w:w="1203" w:type="dxa"/>
            <w:tcBorders>
              <w:top w:val="nil"/>
              <w:left w:val="nil"/>
              <w:bottom w:val="single" w:sz="8" w:space="0" w:color="auto"/>
              <w:right w:val="single" w:sz="8" w:space="0" w:color="auto"/>
            </w:tcBorders>
            <w:shd w:val="clear" w:color="000000" w:fill="D9D9D9"/>
            <w:noWrap/>
            <w:vAlign w:val="bottom"/>
            <w:hideMark/>
          </w:tcPr>
          <w:p w14:paraId="6F8443A9" w14:textId="77777777" w:rsidR="00222173" w:rsidRPr="005550E1" w:rsidRDefault="00222173" w:rsidP="000406B2">
            <w:pPr>
              <w:jc w:val="center"/>
              <w:rPr>
                <w:bCs/>
                <w:sz w:val="18"/>
                <w:szCs w:val="18"/>
              </w:rPr>
            </w:pPr>
            <w:r w:rsidRPr="005550E1">
              <w:rPr>
                <w:bCs/>
                <w:sz w:val="18"/>
                <w:szCs w:val="18"/>
              </w:rPr>
              <w:t>к.6=к.3:к.2</w:t>
            </w:r>
          </w:p>
        </w:tc>
      </w:tr>
      <w:tr w:rsidR="00BB6BEE" w:rsidRPr="00C15913" w14:paraId="184AE5B8" w14:textId="77777777" w:rsidTr="009A2220">
        <w:trPr>
          <w:trHeight w:val="250"/>
        </w:trPr>
        <w:tc>
          <w:tcPr>
            <w:tcW w:w="4250" w:type="dxa"/>
            <w:tcBorders>
              <w:top w:val="single" w:sz="8" w:space="0" w:color="auto"/>
              <w:left w:val="single" w:sz="8" w:space="0" w:color="auto"/>
              <w:bottom w:val="nil"/>
              <w:right w:val="single" w:sz="4" w:space="0" w:color="auto"/>
            </w:tcBorders>
            <w:shd w:val="clear" w:color="auto" w:fill="auto"/>
            <w:noWrap/>
            <w:vAlign w:val="bottom"/>
            <w:hideMark/>
          </w:tcPr>
          <w:p w14:paraId="566A2717" w14:textId="77777777" w:rsidR="00BB6BEE" w:rsidRPr="0007251B" w:rsidRDefault="00BB6BEE" w:rsidP="00BB6BEE">
            <w:pPr>
              <w:rPr>
                <w:b/>
                <w:bCs/>
                <w:sz w:val="18"/>
                <w:szCs w:val="18"/>
              </w:rPr>
            </w:pPr>
            <w:r w:rsidRPr="0007251B">
              <w:rPr>
                <w:b/>
                <w:bCs/>
                <w:sz w:val="18"/>
                <w:szCs w:val="18"/>
              </w:rPr>
              <w:t>ПРИХОДИ, ПОМОЩИ И ДАРЕНИЯ</w:t>
            </w:r>
          </w:p>
        </w:tc>
        <w:tc>
          <w:tcPr>
            <w:tcW w:w="1287" w:type="dxa"/>
            <w:tcBorders>
              <w:top w:val="nil"/>
              <w:left w:val="single" w:sz="4" w:space="0" w:color="auto"/>
              <w:bottom w:val="nil"/>
              <w:right w:val="nil"/>
            </w:tcBorders>
            <w:shd w:val="clear" w:color="auto" w:fill="auto"/>
            <w:noWrap/>
            <w:vAlign w:val="bottom"/>
            <w:hideMark/>
          </w:tcPr>
          <w:p w14:paraId="416A8BCD" w14:textId="1C1ED198" w:rsidR="00BB6BEE" w:rsidRPr="005A6AC4" w:rsidRDefault="00BB6BEE" w:rsidP="00BB6BEE">
            <w:pPr>
              <w:jc w:val="right"/>
              <w:rPr>
                <w:b/>
                <w:bCs/>
                <w:color w:val="0070C0"/>
                <w:sz w:val="18"/>
                <w:szCs w:val="18"/>
              </w:rPr>
            </w:pPr>
            <w:r>
              <w:rPr>
                <w:b/>
                <w:bCs/>
                <w:sz w:val="18"/>
                <w:szCs w:val="18"/>
              </w:rPr>
              <w:t>12 383,6</w:t>
            </w:r>
          </w:p>
        </w:tc>
        <w:tc>
          <w:tcPr>
            <w:tcW w:w="1081" w:type="dxa"/>
            <w:tcBorders>
              <w:top w:val="nil"/>
              <w:left w:val="nil"/>
              <w:bottom w:val="nil"/>
              <w:right w:val="nil"/>
            </w:tcBorders>
            <w:shd w:val="clear" w:color="auto" w:fill="auto"/>
            <w:noWrap/>
            <w:vAlign w:val="bottom"/>
            <w:hideMark/>
          </w:tcPr>
          <w:p w14:paraId="2F820746" w14:textId="3F6C259F" w:rsidR="00BB6BEE" w:rsidRPr="00C15913" w:rsidRDefault="00BB6BEE" w:rsidP="00BB6BEE">
            <w:pPr>
              <w:jc w:val="right"/>
              <w:rPr>
                <w:b/>
                <w:bCs/>
                <w:color w:val="0070C0"/>
                <w:sz w:val="18"/>
                <w:szCs w:val="18"/>
              </w:rPr>
            </w:pPr>
            <w:r>
              <w:rPr>
                <w:b/>
                <w:bCs/>
                <w:sz w:val="18"/>
                <w:szCs w:val="18"/>
              </w:rPr>
              <w:t>14 691,8</w:t>
            </w:r>
          </w:p>
        </w:tc>
        <w:tc>
          <w:tcPr>
            <w:tcW w:w="1216" w:type="dxa"/>
            <w:tcBorders>
              <w:top w:val="nil"/>
              <w:left w:val="nil"/>
              <w:bottom w:val="nil"/>
              <w:right w:val="nil"/>
            </w:tcBorders>
            <w:shd w:val="clear" w:color="auto" w:fill="auto"/>
            <w:noWrap/>
            <w:vAlign w:val="bottom"/>
            <w:hideMark/>
          </w:tcPr>
          <w:p w14:paraId="2A5DCD11" w14:textId="252B64F8" w:rsidR="00BB6BEE" w:rsidRPr="00C15913" w:rsidRDefault="00BB6BEE" w:rsidP="00BB6BEE">
            <w:pPr>
              <w:jc w:val="right"/>
              <w:rPr>
                <w:b/>
                <w:bCs/>
                <w:color w:val="0070C0"/>
                <w:sz w:val="18"/>
                <w:szCs w:val="18"/>
              </w:rPr>
            </w:pPr>
            <w:r>
              <w:rPr>
                <w:b/>
                <w:bCs/>
                <w:color w:val="000000"/>
                <w:sz w:val="18"/>
                <w:szCs w:val="18"/>
              </w:rPr>
              <w:t>14 269,1</w:t>
            </w:r>
          </w:p>
        </w:tc>
        <w:tc>
          <w:tcPr>
            <w:tcW w:w="1193" w:type="dxa"/>
            <w:tcBorders>
              <w:top w:val="nil"/>
              <w:left w:val="nil"/>
              <w:bottom w:val="nil"/>
              <w:right w:val="nil"/>
            </w:tcBorders>
            <w:shd w:val="clear" w:color="auto" w:fill="auto"/>
            <w:noWrap/>
            <w:vAlign w:val="bottom"/>
            <w:hideMark/>
          </w:tcPr>
          <w:p w14:paraId="6B90C756" w14:textId="3732BCDE" w:rsidR="00BB6BEE" w:rsidRPr="00C15913" w:rsidRDefault="00BB6BEE" w:rsidP="00BB6BEE">
            <w:pPr>
              <w:jc w:val="right"/>
              <w:rPr>
                <w:b/>
                <w:bCs/>
                <w:color w:val="0070C0"/>
                <w:sz w:val="18"/>
                <w:szCs w:val="18"/>
              </w:rPr>
            </w:pPr>
            <w:r>
              <w:rPr>
                <w:b/>
                <w:bCs/>
                <w:color w:val="000000"/>
                <w:sz w:val="18"/>
                <w:szCs w:val="18"/>
              </w:rPr>
              <w:t>422,7</w:t>
            </w:r>
          </w:p>
        </w:tc>
        <w:tc>
          <w:tcPr>
            <w:tcW w:w="1203" w:type="dxa"/>
            <w:tcBorders>
              <w:top w:val="single" w:sz="8" w:space="0" w:color="auto"/>
              <w:left w:val="nil"/>
              <w:bottom w:val="nil"/>
              <w:right w:val="single" w:sz="4" w:space="0" w:color="auto"/>
            </w:tcBorders>
            <w:shd w:val="clear" w:color="auto" w:fill="auto"/>
            <w:noWrap/>
            <w:vAlign w:val="bottom"/>
            <w:hideMark/>
          </w:tcPr>
          <w:p w14:paraId="2C3C16FE" w14:textId="60CE27E9" w:rsidR="00BB6BEE" w:rsidRPr="00CC1F5F" w:rsidRDefault="00BB6BEE" w:rsidP="00BB6BEE">
            <w:pPr>
              <w:jc w:val="right"/>
              <w:rPr>
                <w:b/>
                <w:bCs/>
                <w:color w:val="0070C0"/>
                <w:sz w:val="18"/>
                <w:szCs w:val="18"/>
                <w:highlight w:val="yellow"/>
              </w:rPr>
            </w:pPr>
            <w:r>
              <w:rPr>
                <w:b/>
                <w:bCs/>
                <w:sz w:val="18"/>
                <w:szCs w:val="18"/>
              </w:rPr>
              <w:t>118,6%</w:t>
            </w:r>
          </w:p>
        </w:tc>
      </w:tr>
      <w:tr w:rsidR="00BB6BEE" w:rsidRPr="00C15913" w14:paraId="47408D52" w14:textId="77777777" w:rsidTr="009A2220">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0C5B7659" w14:textId="77777777" w:rsidR="00BB6BEE" w:rsidRPr="0007251B" w:rsidRDefault="00BB6BEE" w:rsidP="00BB6BEE">
            <w:pPr>
              <w:rPr>
                <w:sz w:val="18"/>
                <w:szCs w:val="18"/>
              </w:rPr>
            </w:pPr>
            <w:r w:rsidRPr="0007251B">
              <w:rPr>
                <w:sz w:val="18"/>
                <w:szCs w:val="18"/>
              </w:rPr>
              <w:t xml:space="preserve">  Данъчни приходи</w:t>
            </w:r>
          </w:p>
        </w:tc>
        <w:tc>
          <w:tcPr>
            <w:tcW w:w="1287" w:type="dxa"/>
            <w:tcBorders>
              <w:top w:val="nil"/>
              <w:left w:val="single" w:sz="4" w:space="0" w:color="auto"/>
              <w:bottom w:val="nil"/>
              <w:right w:val="nil"/>
            </w:tcBorders>
            <w:shd w:val="clear" w:color="auto" w:fill="auto"/>
            <w:noWrap/>
            <w:vAlign w:val="bottom"/>
            <w:hideMark/>
          </w:tcPr>
          <w:p w14:paraId="2BD7F825" w14:textId="0379F1BB" w:rsidR="00BB6BEE" w:rsidRPr="005A6AC4" w:rsidRDefault="00BB6BEE" w:rsidP="00BB6BEE">
            <w:pPr>
              <w:jc w:val="right"/>
              <w:rPr>
                <w:color w:val="0070C0"/>
                <w:sz w:val="18"/>
                <w:szCs w:val="18"/>
              </w:rPr>
            </w:pPr>
            <w:r>
              <w:rPr>
                <w:sz w:val="18"/>
                <w:szCs w:val="18"/>
              </w:rPr>
              <w:t>9 875,3</w:t>
            </w:r>
          </w:p>
        </w:tc>
        <w:tc>
          <w:tcPr>
            <w:tcW w:w="1081" w:type="dxa"/>
            <w:tcBorders>
              <w:top w:val="nil"/>
              <w:left w:val="nil"/>
              <w:bottom w:val="nil"/>
              <w:right w:val="nil"/>
            </w:tcBorders>
            <w:shd w:val="clear" w:color="auto" w:fill="auto"/>
            <w:noWrap/>
            <w:vAlign w:val="bottom"/>
            <w:hideMark/>
          </w:tcPr>
          <w:p w14:paraId="175765AE" w14:textId="63BFD11C" w:rsidR="00BB6BEE" w:rsidRPr="00C15913" w:rsidRDefault="00BB6BEE" w:rsidP="00BB6BEE">
            <w:pPr>
              <w:jc w:val="right"/>
              <w:rPr>
                <w:color w:val="0070C0"/>
                <w:sz w:val="18"/>
                <w:szCs w:val="18"/>
              </w:rPr>
            </w:pPr>
            <w:r>
              <w:rPr>
                <w:sz w:val="18"/>
                <w:szCs w:val="18"/>
              </w:rPr>
              <w:t>11 817,2</w:t>
            </w:r>
          </w:p>
        </w:tc>
        <w:tc>
          <w:tcPr>
            <w:tcW w:w="1216" w:type="dxa"/>
            <w:tcBorders>
              <w:top w:val="nil"/>
              <w:left w:val="nil"/>
              <w:bottom w:val="nil"/>
              <w:right w:val="nil"/>
            </w:tcBorders>
            <w:shd w:val="clear" w:color="auto" w:fill="auto"/>
            <w:noWrap/>
            <w:vAlign w:val="bottom"/>
            <w:hideMark/>
          </w:tcPr>
          <w:p w14:paraId="0EE48D92" w14:textId="576A28B1" w:rsidR="00BB6BEE" w:rsidRPr="00C15913" w:rsidRDefault="00BB6BEE" w:rsidP="00BB6BEE">
            <w:pPr>
              <w:jc w:val="right"/>
              <w:rPr>
                <w:color w:val="0070C0"/>
                <w:sz w:val="18"/>
                <w:szCs w:val="18"/>
              </w:rPr>
            </w:pPr>
            <w:r>
              <w:rPr>
                <w:color w:val="000000"/>
                <w:sz w:val="18"/>
                <w:szCs w:val="18"/>
              </w:rPr>
              <w:t>11 817,2</w:t>
            </w:r>
          </w:p>
        </w:tc>
        <w:tc>
          <w:tcPr>
            <w:tcW w:w="1193" w:type="dxa"/>
            <w:tcBorders>
              <w:top w:val="nil"/>
              <w:left w:val="nil"/>
              <w:bottom w:val="nil"/>
              <w:right w:val="nil"/>
            </w:tcBorders>
            <w:shd w:val="clear" w:color="auto" w:fill="auto"/>
            <w:noWrap/>
            <w:vAlign w:val="bottom"/>
            <w:hideMark/>
          </w:tcPr>
          <w:p w14:paraId="7117C6D8" w14:textId="1C7A8FDF" w:rsidR="00BB6BEE" w:rsidRPr="00C15913" w:rsidRDefault="00BB6BEE" w:rsidP="00BB6BEE">
            <w:pPr>
              <w:jc w:val="right"/>
              <w:rPr>
                <w:color w:val="0070C0"/>
                <w:sz w:val="18"/>
                <w:szCs w:val="18"/>
              </w:rPr>
            </w:pPr>
          </w:p>
        </w:tc>
        <w:tc>
          <w:tcPr>
            <w:tcW w:w="1203" w:type="dxa"/>
            <w:tcBorders>
              <w:top w:val="nil"/>
              <w:left w:val="nil"/>
              <w:bottom w:val="nil"/>
              <w:right w:val="single" w:sz="4" w:space="0" w:color="auto"/>
            </w:tcBorders>
            <w:shd w:val="clear" w:color="auto" w:fill="auto"/>
            <w:noWrap/>
            <w:vAlign w:val="bottom"/>
            <w:hideMark/>
          </w:tcPr>
          <w:p w14:paraId="38343E23" w14:textId="5F46306E" w:rsidR="00BB6BEE" w:rsidRPr="00CC1F5F" w:rsidRDefault="00BB6BEE" w:rsidP="00BB6BEE">
            <w:pPr>
              <w:jc w:val="right"/>
              <w:rPr>
                <w:color w:val="0070C0"/>
                <w:sz w:val="18"/>
                <w:szCs w:val="18"/>
                <w:highlight w:val="yellow"/>
              </w:rPr>
            </w:pPr>
            <w:r>
              <w:rPr>
                <w:sz w:val="18"/>
                <w:szCs w:val="18"/>
              </w:rPr>
              <w:t>119,7%</w:t>
            </w:r>
          </w:p>
        </w:tc>
      </w:tr>
      <w:tr w:rsidR="00BB6BEE" w:rsidRPr="00C15913" w14:paraId="3EAE4525" w14:textId="77777777" w:rsidTr="009A2220">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127A5D01" w14:textId="77777777" w:rsidR="00BB6BEE" w:rsidRPr="0007251B" w:rsidRDefault="00BB6BEE" w:rsidP="00BB6BEE">
            <w:pPr>
              <w:rPr>
                <w:sz w:val="18"/>
                <w:szCs w:val="18"/>
              </w:rPr>
            </w:pPr>
            <w:r w:rsidRPr="0007251B">
              <w:rPr>
                <w:sz w:val="18"/>
                <w:szCs w:val="18"/>
              </w:rPr>
              <w:t xml:space="preserve">  Неданъчни приходи</w:t>
            </w:r>
          </w:p>
        </w:tc>
        <w:tc>
          <w:tcPr>
            <w:tcW w:w="1287" w:type="dxa"/>
            <w:tcBorders>
              <w:top w:val="nil"/>
              <w:left w:val="single" w:sz="4" w:space="0" w:color="auto"/>
              <w:bottom w:val="nil"/>
              <w:right w:val="nil"/>
            </w:tcBorders>
            <w:shd w:val="clear" w:color="auto" w:fill="auto"/>
            <w:noWrap/>
            <w:vAlign w:val="bottom"/>
            <w:hideMark/>
          </w:tcPr>
          <w:p w14:paraId="7B4EBD83" w14:textId="13DE0945" w:rsidR="00BB6BEE" w:rsidRPr="005A6AC4" w:rsidRDefault="00BB6BEE" w:rsidP="00BB6BEE">
            <w:pPr>
              <w:jc w:val="right"/>
              <w:rPr>
                <w:color w:val="0070C0"/>
                <w:sz w:val="18"/>
                <w:szCs w:val="18"/>
              </w:rPr>
            </w:pPr>
            <w:r>
              <w:rPr>
                <w:sz w:val="18"/>
                <w:szCs w:val="18"/>
              </w:rPr>
              <w:t>2 027,2</w:t>
            </w:r>
          </w:p>
        </w:tc>
        <w:tc>
          <w:tcPr>
            <w:tcW w:w="1081" w:type="dxa"/>
            <w:tcBorders>
              <w:top w:val="nil"/>
              <w:left w:val="nil"/>
              <w:bottom w:val="nil"/>
              <w:right w:val="nil"/>
            </w:tcBorders>
            <w:shd w:val="clear" w:color="auto" w:fill="auto"/>
            <w:noWrap/>
            <w:vAlign w:val="bottom"/>
            <w:hideMark/>
          </w:tcPr>
          <w:p w14:paraId="16C935BD" w14:textId="429AB180" w:rsidR="00BB6BEE" w:rsidRPr="00C15913" w:rsidRDefault="00BB6BEE" w:rsidP="00BB6BEE">
            <w:pPr>
              <w:jc w:val="right"/>
              <w:rPr>
                <w:color w:val="0070C0"/>
                <w:sz w:val="18"/>
                <w:szCs w:val="18"/>
              </w:rPr>
            </w:pPr>
            <w:r>
              <w:rPr>
                <w:sz w:val="18"/>
                <w:szCs w:val="18"/>
              </w:rPr>
              <w:t>2 440,5</w:t>
            </w:r>
          </w:p>
        </w:tc>
        <w:tc>
          <w:tcPr>
            <w:tcW w:w="1216" w:type="dxa"/>
            <w:tcBorders>
              <w:top w:val="nil"/>
              <w:left w:val="nil"/>
              <w:bottom w:val="nil"/>
              <w:right w:val="nil"/>
            </w:tcBorders>
            <w:shd w:val="clear" w:color="auto" w:fill="auto"/>
            <w:noWrap/>
            <w:vAlign w:val="bottom"/>
            <w:hideMark/>
          </w:tcPr>
          <w:p w14:paraId="401F63E9" w14:textId="485921E5" w:rsidR="00BB6BEE" w:rsidRPr="00C15913" w:rsidRDefault="00BB6BEE" w:rsidP="00BB6BEE">
            <w:pPr>
              <w:jc w:val="right"/>
              <w:rPr>
                <w:color w:val="0070C0"/>
                <w:sz w:val="18"/>
                <w:szCs w:val="18"/>
              </w:rPr>
            </w:pPr>
            <w:r>
              <w:rPr>
                <w:color w:val="000000"/>
                <w:sz w:val="18"/>
                <w:szCs w:val="18"/>
              </w:rPr>
              <w:t>2 441,2</w:t>
            </w:r>
          </w:p>
        </w:tc>
        <w:tc>
          <w:tcPr>
            <w:tcW w:w="1193" w:type="dxa"/>
            <w:tcBorders>
              <w:top w:val="nil"/>
              <w:left w:val="nil"/>
              <w:bottom w:val="nil"/>
              <w:right w:val="nil"/>
            </w:tcBorders>
            <w:shd w:val="clear" w:color="auto" w:fill="auto"/>
            <w:noWrap/>
            <w:vAlign w:val="bottom"/>
            <w:hideMark/>
          </w:tcPr>
          <w:p w14:paraId="0F48A9BB" w14:textId="3657C7AA" w:rsidR="00BB6BEE" w:rsidRPr="00C15913" w:rsidRDefault="00BB6BEE" w:rsidP="00BB6BEE">
            <w:pPr>
              <w:jc w:val="right"/>
              <w:rPr>
                <w:color w:val="0070C0"/>
                <w:sz w:val="18"/>
                <w:szCs w:val="18"/>
              </w:rPr>
            </w:pPr>
            <w:r>
              <w:rPr>
                <w:color w:val="000000"/>
                <w:sz w:val="18"/>
                <w:szCs w:val="18"/>
              </w:rPr>
              <w:t>-0,7</w:t>
            </w:r>
          </w:p>
        </w:tc>
        <w:tc>
          <w:tcPr>
            <w:tcW w:w="1203" w:type="dxa"/>
            <w:tcBorders>
              <w:top w:val="nil"/>
              <w:left w:val="nil"/>
              <w:bottom w:val="nil"/>
              <w:right w:val="single" w:sz="4" w:space="0" w:color="auto"/>
            </w:tcBorders>
            <w:shd w:val="clear" w:color="auto" w:fill="auto"/>
            <w:noWrap/>
            <w:vAlign w:val="bottom"/>
            <w:hideMark/>
          </w:tcPr>
          <w:p w14:paraId="71A4145E" w14:textId="19AE2B77" w:rsidR="00BB6BEE" w:rsidRPr="00CC1F5F" w:rsidRDefault="00BB6BEE" w:rsidP="00BB6BEE">
            <w:pPr>
              <w:jc w:val="right"/>
              <w:rPr>
                <w:color w:val="0070C0"/>
                <w:sz w:val="18"/>
                <w:szCs w:val="18"/>
                <w:highlight w:val="yellow"/>
              </w:rPr>
            </w:pPr>
            <w:r>
              <w:rPr>
                <w:sz w:val="18"/>
                <w:szCs w:val="18"/>
              </w:rPr>
              <w:t>120,4%</w:t>
            </w:r>
          </w:p>
        </w:tc>
      </w:tr>
      <w:tr w:rsidR="00BB6BEE" w:rsidRPr="00C15913" w14:paraId="68CB338C" w14:textId="77777777" w:rsidTr="009A2220">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3E9F84F7" w14:textId="77777777" w:rsidR="00BB6BEE" w:rsidRPr="0007251B" w:rsidRDefault="00BB6BEE" w:rsidP="00BB6BEE">
            <w:pPr>
              <w:rPr>
                <w:sz w:val="18"/>
                <w:szCs w:val="18"/>
              </w:rPr>
            </w:pPr>
            <w:r w:rsidRPr="0007251B">
              <w:rPr>
                <w:sz w:val="18"/>
                <w:szCs w:val="18"/>
              </w:rPr>
              <w:t xml:space="preserve">  Помощи и дарения</w:t>
            </w:r>
          </w:p>
        </w:tc>
        <w:tc>
          <w:tcPr>
            <w:tcW w:w="1287" w:type="dxa"/>
            <w:tcBorders>
              <w:top w:val="nil"/>
              <w:left w:val="single" w:sz="4" w:space="0" w:color="auto"/>
              <w:bottom w:val="single" w:sz="4" w:space="0" w:color="auto"/>
              <w:right w:val="nil"/>
            </w:tcBorders>
            <w:shd w:val="clear" w:color="auto" w:fill="auto"/>
            <w:noWrap/>
            <w:vAlign w:val="bottom"/>
            <w:hideMark/>
          </w:tcPr>
          <w:p w14:paraId="08BCE07C" w14:textId="1BE7CE4F" w:rsidR="00BB6BEE" w:rsidRPr="005A6AC4" w:rsidRDefault="00BB6BEE" w:rsidP="00BB6BEE">
            <w:pPr>
              <w:jc w:val="right"/>
              <w:rPr>
                <w:color w:val="0070C0"/>
                <w:sz w:val="18"/>
                <w:szCs w:val="18"/>
              </w:rPr>
            </w:pPr>
            <w:r>
              <w:rPr>
                <w:sz w:val="18"/>
                <w:szCs w:val="18"/>
              </w:rPr>
              <w:t>481,1</w:t>
            </w:r>
          </w:p>
        </w:tc>
        <w:tc>
          <w:tcPr>
            <w:tcW w:w="1081" w:type="dxa"/>
            <w:tcBorders>
              <w:top w:val="nil"/>
              <w:left w:val="nil"/>
              <w:bottom w:val="nil"/>
              <w:right w:val="nil"/>
            </w:tcBorders>
            <w:shd w:val="clear" w:color="auto" w:fill="auto"/>
            <w:noWrap/>
            <w:vAlign w:val="bottom"/>
            <w:hideMark/>
          </w:tcPr>
          <w:p w14:paraId="50FCA5F9" w14:textId="52C2D2DB" w:rsidR="00BB6BEE" w:rsidRPr="00C15913" w:rsidRDefault="00BB6BEE" w:rsidP="00BB6BEE">
            <w:pPr>
              <w:jc w:val="right"/>
              <w:rPr>
                <w:color w:val="0070C0"/>
                <w:sz w:val="18"/>
                <w:szCs w:val="18"/>
              </w:rPr>
            </w:pPr>
            <w:r>
              <w:rPr>
                <w:sz w:val="18"/>
                <w:szCs w:val="18"/>
              </w:rPr>
              <w:t>434,1</w:t>
            </w:r>
          </w:p>
        </w:tc>
        <w:tc>
          <w:tcPr>
            <w:tcW w:w="1216" w:type="dxa"/>
            <w:tcBorders>
              <w:top w:val="nil"/>
              <w:left w:val="nil"/>
              <w:bottom w:val="nil"/>
              <w:right w:val="nil"/>
            </w:tcBorders>
            <w:shd w:val="clear" w:color="auto" w:fill="auto"/>
            <w:noWrap/>
            <w:vAlign w:val="bottom"/>
            <w:hideMark/>
          </w:tcPr>
          <w:p w14:paraId="077832C1" w14:textId="404F9924" w:rsidR="00BB6BEE" w:rsidRPr="00C15913" w:rsidRDefault="00BB6BEE" w:rsidP="00BB6BEE">
            <w:pPr>
              <w:jc w:val="right"/>
              <w:rPr>
                <w:color w:val="0070C0"/>
                <w:sz w:val="18"/>
                <w:szCs w:val="18"/>
              </w:rPr>
            </w:pPr>
            <w:r>
              <w:rPr>
                <w:color w:val="000000"/>
                <w:sz w:val="18"/>
                <w:szCs w:val="18"/>
              </w:rPr>
              <w:t>10,7</w:t>
            </w:r>
          </w:p>
        </w:tc>
        <w:tc>
          <w:tcPr>
            <w:tcW w:w="1193" w:type="dxa"/>
            <w:tcBorders>
              <w:top w:val="nil"/>
              <w:left w:val="nil"/>
              <w:bottom w:val="nil"/>
              <w:right w:val="nil"/>
            </w:tcBorders>
            <w:shd w:val="clear" w:color="auto" w:fill="auto"/>
            <w:noWrap/>
            <w:vAlign w:val="bottom"/>
            <w:hideMark/>
          </w:tcPr>
          <w:p w14:paraId="293FBBCE" w14:textId="0E8CFAA7" w:rsidR="00BB6BEE" w:rsidRPr="00C15913" w:rsidRDefault="00BB6BEE" w:rsidP="00BB6BEE">
            <w:pPr>
              <w:jc w:val="right"/>
              <w:rPr>
                <w:color w:val="0070C0"/>
                <w:sz w:val="18"/>
                <w:szCs w:val="18"/>
              </w:rPr>
            </w:pPr>
            <w:r>
              <w:rPr>
                <w:color w:val="000000"/>
                <w:sz w:val="18"/>
                <w:szCs w:val="18"/>
              </w:rPr>
              <w:t>423,4</w:t>
            </w:r>
          </w:p>
        </w:tc>
        <w:tc>
          <w:tcPr>
            <w:tcW w:w="1203" w:type="dxa"/>
            <w:tcBorders>
              <w:top w:val="nil"/>
              <w:left w:val="nil"/>
              <w:bottom w:val="single" w:sz="4" w:space="0" w:color="auto"/>
              <w:right w:val="single" w:sz="4" w:space="0" w:color="auto"/>
            </w:tcBorders>
            <w:shd w:val="clear" w:color="auto" w:fill="auto"/>
            <w:noWrap/>
            <w:vAlign w:val="bottom"/>
            <w:hideMark/>
          </w:tcPr>
          <w:p w14:paraId="0D148F54" w14:textId="177A4691" w:rsidR="00BB6BEE" w:rsidRPr="00CC1F5F" w:rsidRDefault="00BB6BEE" w:rsidP="00BB6BEE">
            <w:pPr>
              <w:jc w:val="right"/>
              <w:rPr>
                <w:color w:val="0070C0"/>
                <w:sz w:val="18"/>
                <w:szCs w:val="18"/>
                <w:highlight w:val="yellow"/>
              </w:rPr>
            </w:pPr>
            <w:r>
              <w:rPr>
                <w:sz w:val="18"/>
                <w:szCs w:val="18"/>
              </w:rPr>
              <w:t>90,2%</w:t>
            </w:r>
          </w:p>
        </w:tc>
      </w:tr>
      <w:tr w:rsidR="00991CB3" w:rsidRPr="00C15913" w14:paraId="65B77401" w14:textId="77777777" w:rsidTr="009A2220">
        <w:trPr>
          <w:trHeight w:val="472"/>
        </w:trPr>
        <w:tc>
          <w:tcPr>
            <w:tcW w:w="4250" w:type="dxa"/>
            <w:tcBorders>
              <w:top w:val="single" w:sz="4" w:space="0" w:color="auto"/>
              <w:left w:val="single" w:sz="8" w:space="0" w:color="auto"/>
              <w:bottom w:val="nil"/>
              <w:right w:val="single" w:sz="4" w:space="0" w:color="auto"/>
            </w:tcBorders>
            <w:shd w:val="clear" w:color="auto" w:fill="auto"/>
            <w:vAlign w:val="bottom"/>
            <w:hideMark/>
          </w:tcPr>
          <w:p w14:paraId="56857E3D" w14:textId="77777777" w:rsidR="00991CB3" w:rsidRPr="0007251B" w:rsidRDefault="00991CB3" w:rsidP="00991CB3">
            <w:pPr>
              <w:rPr>
                <w:b/>
                <w:bCs/>
                <w:sz w:val="18"/>
                <w:szCs w:val="18"/>
              </w:rPr>
            </w:pPr>
            <w:r w:rsidRPr="0007251B">
              <w:rPr>
                <w:b/>
                <w:bCs/>
                <w:sz w:val="18"/>
                <w:szCs w:val="18"/>
              </w:rPr>
              <w:t>РАЗХОДИ И ВНОСКА ЗА ОБЩИЯ БЮДЖЕТ НА ЕС</w:t>
            </w:r>
          </w:p>
        </w:tc>
        <w:tc>
          <w:tcPr>
            <w:tcW w:w="1287" w:type="dxa"/>
            <w:tcBorders>
              <w:top w:val="single" w:sz="4" w:space="0" w:color="auto"/>
              <w:left w:val="single" w:sz="4" w:space="0" w:color="auto"/>
              <w:bottom w:val="nil"/>
              <w:right w:val="nil"/>
            </w:tcBorders>
            <w:shd w:val="clear" w:color="auto" w:fill="auto"/>
            <w:noWrap/>
            <w:vAlign w:val="bottom"/>
            <w:hideMark/>
          </w:tcPr>
          <w:p w14:paraId="5A48D814" w14:textId="213E5F1C" w:rsidR="00991CB3" w:rsidRPr="005A6AC4" w:rsidRDefault="00991CB3" w:rsidP="00991CB3">
            <w:pPr>
              <w:jc w:val="right"/>
              <w:rPr>
                <w:b/>
                <w:bCs/>
                <w:color w:val="0070C0"/>
                <w:sz w:val="18"/>
                <w:szCs w:val="18"/>
              </w:rPr>
            </w:pPr>
            <w:r>
              <w:rPr>
                <w:b/>
                <w:bCs/>
                <w:sz w:val="18"/>
                <w:szCs w:val="18"/>
              </w:rPr>
              <w:t>12 088,9</w:t>
            </w:r>
          </w:p>
        </w:tc>
        <w:tc>
          <w:tcPr>
            <w:tcW w:w="1081" w:type="dxa"/>
            <w:tcBorders>
              <w:top w:val="single" w:sz="4" w:space="0" w:color="auto"/>
              <w:left w:val="nil"/>
              <w:bottom w:val="nil"/>
              <w:right w:val="nil"/>
            </w:tcBorders>
            <w:shd w:val="clear" w:color="auto" w:fill="auto"/>
            <w:noWrap/>
            <w:vAlign w:val="bottom"/>
            <w:hideMark/>
          </w:tcPr>
          <w:p w14:paraId="37966303" w14:textId="6FE8836B" w:rsidR="00991CB3" w:rsidRPr="00C15913" w:rsidRDefault="00991CB3" w:rsidP="00991CB3">
            <w:pPr>
              <w:jc w:val="right"/>
              <w:rPr>
                <w:b/>
                <w:bCs/>
                <w:color w:val="0070C0"/>
                <w:sz w:val="18"/>
                <w:szCs w:val="18"/>
              </w:rPr>
            </w:pPr>
            <w:r>
              <w:rPr>
                <w:b/>
                <w:bCs/>
                <w:sz w:val="18"/>
                <w:szCs w:val="18"/>
              </w:rPr>
              <w:t>15 354,3</w:t>
            </w:r>
          </w:p>
        </w:tc>
        <w:tc>
          <w:tcPr>
            <w:tcW w:w="1216" w:type="dxa"/>
            <w:tcBorders>
              <w:top w:val="single" w:sz="4" w:space="0" w:color="auto"/>
              <w:left w:val="nil"/>
              <w:bottom w:val="nil"/>
              <w:right w:val="nil"/>
            </w:tcBorders>
            <w:shd w:val="clear" w:color="auto" w:fill="auto"/>
            <w:noWrap/>
            <w:vAlign w:val="bottom"/>
            <w:hideMark/>
          </w:tcPr>
          <w:p w14:paraId="1F614B93" w14:textId="03A893B9" w:rsidR="00991CB3" w:rsidRPr="00C15913" w:rsidRDefault="00991CB3" w:rsidP="00991CB3">
            <w:pPr>
              <w:jc w:val="right"/>
              <w:rPr>
                <w:b/>
                <w:bCs/>
                <w:color w:val="0070C0"/>
                <w:sz w:val="18"/>
                <w:szCs w:val="18"/>
              </w:rPr>
            </w:pPr>
            <w:r>
              <w:rPr>
                <w:b/>
                <w:bCs/>
                <w:color w:val="000000"/>
                <w:sz w:val="18"/>
                <w:szCs w:val="18"/>
              </w:rPr>
              <w:t>14 810,8</w:t>
            </w:r>
          </w:p>
        </w:tc>
        <w:tc>
          <w:tcPr>
            <w:tcW w:w="1193" w:type="dxa"/>
            <w:tcBorders>
              <w:top w:val="single" w:sz="4" w:space="0" w:color="auto"/>
              <w:left w:val="nil"/>
              <w:bottom w:val="nil"/>
              <w:right w:val="nil"/>
            </w:tcBorders>
            <w:shd w:val="clear" w:color="auto" w:fill="auto"/>
            <w:noWrap/>
            <w:vAlign w:val="bottom"/>
            <w:hideMark/>
          </w:tcPr>
          <w:p w14:paraId="729D05F0" w14:textId="7C13B779" w:rsidR="00991CB3" w:rsidRPr="00C15913" w:rsidRDefault="00991CB3" w:rsidP="00991CB3">
            <w:pPr>
              <w:jc w:val="right"/>
              <w:rPr>
                <w:b/>
                <w:bCs/>
                <w:color w:val="0070C0"/>
                <w:sz w:val="18"/>
                <w:szCs w:val="18"/>
              </w:rPr>
            </w:pPr>
            <w:r>
              <w:rPr>
                <w:b/>
                <w:bCs/>
                <w:color w:val="000000"/>
                <w:sz w:val="18"/>
                <w:szCs w:val="18"/>
              </w:rPr>
              <w:t>543,5</w:t>
            </w:r>
          </w:p>
        </w:tc>
        <w:tc>
          <w:tcPr>
            <w:tcW w:w="1203" w:type="dxa"/>
            <w:tcBorders>
              <w:top w:val="single" w:sz="4" w:space="0" w:color="auto"/>
              <w:left w:val="nil"/>
              <w:bottom w:val="nil"/>
              <w:right w:val="single" w:sz="8" w:space="0" w:color="auto"/>
            </w:tcBorders>
            <w:shd w:val="clear" w:color="auto" w:fill="auto"/>
            <w:noWrap/>
            <w:vAlign w:val="bottom"/>
            <w:hideMark/>
          </w:tcPr>
          <w:p w14:paraId="0CF9C998" w14:textId="1599CFF0" w:rsidR="00991CB3" w:rsidRPr="00CC1F5F" w:rsidRDefault="00991CB3" w:rsidP="00991CB3">
            <w:pPr>
              <w:jc w:val="right"/>
              <w:rPr>
                <w:b/>
                <w:bCs/>
                <w:color w:val="0070C0"/>
                <w:sz w:val="18"/>
                <w:szCs w:val="18"/>
                <w:highlight w:val="yellow"/>
              </w:rPr>
            </w:pPr>
            <w:r>
              <w:rPr>
                <w:b/>
                <w:bCs/>
                <w:sz w:val="18"/>
                <w:szCs w:val="18"/>
              </w:rPr>
              <w:t>127,0%</w:t>
            </w:r>
          </w:p>
        </w:tc>
      </w:tr>
      <w:tr w:rsidR="00991CB3" w:rsidRPr="00C15913" w14:paraId="6FDDF4BE" w14:textId="77777777" w:rsidTr="009A2220">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49EA3583" w14:textId="77777777" w:rsidR="00991CB3" w:rsidRPr="0007251B" w:rsidRDefault="00991CB3" w:rsidP="00991CB3">
            <w:pPr>
              <w:rPr>
                <w:sz w:val="18"/>
                <w:szCs w:val="18"/>
              </w:rPr>
            </w:pPr>
            <w:r w:rsidRPr="0007251B">
              <w:rPr>
                <w:sz w:val="18"/>
                <w:szCs w:val="18"/>
              </w:rPr>
              <w:t xml:space="preserve">  Нелихвени</w:t>
            </w:r>
          </w:p>
        </w:tc>
        <w:tc>
          <w:tcPr>
            <w:tcW w:w="1287" w:type="dxa"/>
            <w:tcBorders>
              <w:top w:val="nil"/>
              <w:left w:val="single" w:sz="4" w:space="0" w:color="auto"/>
              <w:bottom w:val="nil"/>
              <w:right w:val="nil"/>
            </w:tcBorders>
            <w:shd w:val="clear" w:color="auto" w:fill="auto"/>
            <w:noWrap/>
            <w:vAlign w:val="bottom"/>
            <w:hideMark/>
          </w:tcPr>
          <w:p w14:paraId="3913B2B0" w14:textId="79EC73C4" w:rsidR="00991CB3" w:rsidRPr="005A6AC4" w:rsidRDefault="00991CB3" w:rsidP="00991CB3">
            <w:pPr>
              <w:jc w:val="right"/>
              <w:rPr>
                <w:color w:val="0070C0"/>
                <w:sz w:val="18"/>
                <w:szCs w:val="18"/>
              </w:rPr>
            </w:pPr>
            <w:r>
              <w:rPr>
                <w:sz w:val="18"/>
                <w:szCs w:val="18"/>
              </w:rPr>
              <w:t>11 351,3</w:t>
            </w:r>
          </w:p>
        </w:tc>
        <w:tc>
          <w:tcPr>
            <w:tcW w:w="1081" w:type="dxa"/>
            <w:tcBorders>
              <w:top w:val="nil"/>
              <w:left w:val="nil"/>
              <w:bottom w:val="nil"/>
              <w:right w:val="nil"/>
            </w:tcBorders>
            <w:shd w:val="clear" w:color="auto" w:fill="auto"/>
            <w:noWrap/>
            <w:vAlign w:val="bottom"/>
            <w:hideMark/>
          </w:tcPr>
          <w:p w14:paraId="43BAEA72" w14:textId="2DB445BF" w:rsidR="00991CB3" w:rsidRPr="00C15913" w:rsidRDefault="00991CB3" w:rsidP="00991CB3">
            <w:pPr>
              <w:jc w:val="right"/>
              <w:rPr>
                <w:color w:val="0070C0"/>
                <w:sz w:val="18"/>
                <w:szCs w:val="18"/>
              </w:rPr>
            </w:pPr>
            <w:r>
              <w:rPr>
                <w:sz w:val="18"/>
                <w:szCs w:val="18"/>
              </w:rPr>
              <w:t>14 595,9</w:t>
            </w:r>
          </w:p>
        </w:tc>
        <w:tc>
          <w:tcPr>
            <w:tcW w:w="1216" w:type="dxa"/>
            <w:tcBorders>
              <w:top w:val="nil"/>
              <w:left w:val="nil"/>
              <w:bottom w:val="nil"/>
              <w:right w:val="nil"/>
            </w:tcBorders>
            <w:shd w:val="clear" w:color="auto" w:fill="auto"/>
            <w:noWrap/>
            <w:vAlign w:val="bottom"/>
            <w:hideMark/>
          </w:tcPr>
          <w:p w14:paraId="74C0EF74" w14:textId="110B791F" w:rsidR="00991CB3" w:rsidRPr="00C15913" w:rsidRDefault="00991CB3" w:rsidP="00991CB3">
            <w:pPr>
              <w:jc w:val="right"/>
              <w:rPr>
                <w:color w:val="0070C0"/>
                <w:sz w:val="18"/>
                <w:szCs w:val="18"/>
              </w:rPr>
            </w:pPr>
            <w:r>
              <w:rPr>
                <w:sz w:val="18"/>
                <w:szCs w:val="18"/>
              </w:rPr>
              <w:t>14 052,4</w:t>
            </w:r>
          </w:p>
        </w:tc>
        <w:tc>
          <w:tcPr>
            <w:tcW w:w="1193" w:type="dxa"/>
            <w:tcBorders>
              <w:top w:val="nil"/>
              <w:left w:val="nil"/>
              <w:bottom w:val="nil"/>
              <w:right w:val="nil"/>
            </w:tcBorders>
            <w:shd w:val="clear" w:color="auto" w:fill="auto"/>
            <w:noWrap/>
            <w:vAlign w:val="bottom"/>
            <w:hideMark/>
          </w:tcPr>
          <w:p w14:paraId="28AF1F64" w14:textId="27B73C7C" w:rsidR="00991CB3" w:rsidRPr="00C15913" w:rsidRDefault="00991CB3" w:rsidP="00991CB3">
            <w:pPr>
              <w:jc w:val="right"/>
              <w:rPr>
                <w:color w:val="0070C0"/>
                <w:sz w:val="18"/>
                <w:szCs w:val="18"/>
              </w:rPr>
            </w:pPr>
            <w:r>
              <w:rPr>
                <w:sz w:val="18"/>
                <w:szCs w:val="18"/>
              </w:rPr>
              <w:t>543,5</w:t>
            </w:r>
          </w:p>
        </w:tc>
        <w:tc>
          <w:tcPr>
            <w:tcW w:w="1203" w:type="dxa"/>
            <w:tcBorders>
              <w:top w:val="nil"/>
              <w:left w:val="nil"/>
              <w:bottom w:val="nil"/>
              <w:right w:val="single" w:sz="8" w:space="0" w:color="auto"/>
            </w:tcBorders>
            <w:shd w:val="clear" w:color="auto" w:fill="auto"/>
            <w:noWrap/>
            <w:vAlign w:val="bottom"/>
            <w:hideMark/>
          </w:tcPr>
          <w:p w14:paraId="615408AE" w14:textId="58630A2E" w:rsidR="00991CB3" w:rsidRPr="00CC1F5F" w:rsidRDefault="00991CB3" w:rsidP="00991CB3">
            <w:pPr>
              <w:jc w:val="right"/>
              <w:rPr>
                <w:color w:val="0070C0"/>
                <w:sz w:val="18"/>
                <w:szCs w:val="18"/>
                <w:highlight w:val="yellow"/>
              </w:rPr>
            </w:pPr>
            <w:r>
              <w:rPr>
                <w:sz w:val="18"/>
                <w:szCs w:val="18"/>
              </w:rPr>
              <w:t>128,6%</w:t>
            </w:r>
          </w:p>
        </w:tc>
      </w:tr>
      <w:tr w:rsidR="00991CB3" w:rsidRPr="00C15913" w14:paraId="54F7F19D" w14:textId="77777777" w:rsidTr="009A2220">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31030EB1" w14:textId="77777777" w:rsidR="00991CB3" w:rsidRPr="0007251B" w:rsidRDefault="00991CB3" w:rsidP="00991CB3">
            <w:pPr>
              <w:rPr>
                <w:sz w:val="18"/>
                <w:szCs w:val="18"/>
              </w:rPr>
            </w:pPr>
            <w:r w:rsidRPr="0007251B">
              <w:rPr>
                <w:sz w:val="18"/>
                <w:szCs w:val="18"/>
              </w:rPr>
              <w:t xml:space="preserve">    Текущи</w:t>
            </w:r>
          </w:p>
        </w:tc>
        <w:tc>
          <w:tcPr>
            <w:tcW w:w="1287" w:type="dxa"/>
            <w:tcBorders>
              <w:top w:val="nil"/>
              <w:left w:val="single" w:sz="4" w:space="0" w:color="auto"/>
              <w:bottom w:val="nil"/>
              <w:right w:val="nil"/>
            </w:tcBorders>
            <w:shd w:val="clear" w:color="auto" w:fill="auto"/>
            <w:noWrap/>
            <w:vAlign w:val="bottom"/>
            <w:hideMark/>
          </w:tcPr>
          <w:p w14:paraId="5D5764E8" w14:textId="5B36C064" w:rsidR="00991CB3" w:rsidRPr="005A6AC4" w:rsidRDefault="00991CB3" w:rsidP="00991CB3">
            <w:pPr>
              <w:jc w:val="right"/>
              <w:rPr>
                <w:color w:val="0070C0"/>
                <w:sz w:val="18"/>
                <w:szCs w:val="18"/>
              </w:rPr>
            </w:pPr>
            <w:r>
              <w:rPr>
                <w:sz w:val="18"/>
                <w:szCs w:val="18"/>
              </w:rPr>
              <w:t>10 608,1</w:t>
            </w:r>
          </w:p>
        </w:tc>
        <w:tc>
          <w:tcPr>
            <w:tcW w:w="1081" w:type="dxa"/>
            <w:tcBorders>
              <w:top w:val="nil"/>
              <w:left w:val="nil"/>
              <w:bottom w:val="nil"/>
              <w:right w:val="nil"/>
            </w:tcBorders>
            <w:shd w:val="clear" w:color="auto" w:fill="auto"/>
            <w:noWrap/>
            <w:vAlign w:val="bottom"/>
            <w:hideMark/>
          </w:tcPr>
          <w:p w14:paraId="7CC6F27E" w14:textId="5AC08638" w:rsidR="00991CB3" w:rsidRPr="00C15913" w:rsidRDefault="00991CB3" w:rsidP="00991CB3">
            <w:pPr>
              <w:jc w:val="right"/>
              <w:rPr>
                <w:color w:val="0070C0"/>
                <w:sz w:val="18"/>
                <w:szCs w:val="18"/>
              </w:rPr>
            </w:pPr>
            <w:r>
              <w:rPr>
                <w:sz w:val="18"/>
                <w:szCs w:val="18"/>
              </w:rPr>
              <w:t>13 659,9</w:t>
            </w:r>
          </w:p>
        </w:tc>
        <w:tc>
          <w:tcPr>
            <w:tcW w:w="1216" w:type="dxa"/>
            <w:tcBorders>
              <w:top w:val="nil"/>
              <w:left w:val="nil"/>
              <w:bottom w:val="nil"/>
              <w:right w:val="nil"/>
            </w:tcBorders>
            <w:shd w:val="clear" w:color="auto" w:fill="auto"/>
            <w:noWrap/>
            <w:vAlign w:val="bottom"/>
            <w:hideMark/>
          </w:tcPr>
          <w:p w14:paraId="7751C049" w14:textId="79BCFA39" w:rsidR="00991CB3" w:rsidRPr="00C15913" w:rsidRDefault="00991CB3" w:rsidP="00991CB3">
            <w:pPr>
              <w:jc w:val="right"/>
              <w:rPr>
                <w:color w:val="0070C0"/>
                <w:sz w:val="18"/>
                <w:szCs w:val="18"/>
              </w:rPr>
            </w:pPr>
            <w:r>
              <w:rPr>
                <w:color w:val="000000"/>
                <w:sz w:val="18"/>
                <w:szCs w:val="18"/>
              </w:rPr>
              <w:t>13 408,5</w:t>
            </w:r>
          </w:p>
        </w:tc>
        <w:tc>
          <w:tcPr>
            <w:tcW w:w="1193" w:type="dxa"/>
            <w:tcBorders>
              <w:top w:val="nil"/>
              <w:left w:val="nil"/>
              <w:bottom w:val="nil"/>
              <w:right w:val="nil"/>
            </w:tcBorders>
            <w:shd w:val="clear" w:color="auto" w:fill="auto"/>
            <w:noWrap/>
            <w:vAlign w:val="bottom"/>
            <w:hideMark/>
          </w:tcPr>
          <w:p w14:paraId="164A9BBF" w14:textId="425A8072" w:rsidR="00991CB3" w:rsidRPr="00C15913" w:rsidRDefault="00991CB3" w:rsidP="00991CB3">
            <w:pPr>
              <w:jc w:val="right"/>
              <w:rPr>
                <w:color w:val="0070C0"/>
                <w:sz w:val="18"/>
                <w:szCs w:val="18"/>
              </w:rPr>
            </w:pPr>
            <w:r>
              <w:rPr>
                <w:color w:val="000000"/>
                <w:sz w:val="18"/>
                <w:szCs w:val="18"/>
              </w:rPr>
              <w:t>251,4</w:t>
            </w:r>
          </w:p>
        </w:tc>
        <w:tc>
          <w:tcPr>
            <w:tcW w:w="1203" w:type="dxa"/>
            <w:tcBorders>
              <w:top w:val="nil"/>
              <w:left w:val="nil"/>
              <w:right w:val="single" w:sz="8" w:space="0" w:color="auto"/>
            </w:tcBorders>
            <w:shd w:val="clear" w:color="auto" w:fill="auto"/>
            <w:noWrap/>
            <w:vAlign w:val="bottom"/>
            <w:hideMark/>
          </w:tcPr>
          <w:p w14:paraId="47459F2A" w14:textId="50DC3854" w:rsidR="00991CB3" w:rsidRPr="00CC1F5F" w:rsidRDefault="00991CB3" w:rsidP="00991CB3">
            <w:pPr>
              <w:jc w:val="right"/>
              <w:rPr>
                <w:color w:val="0070C0"/>
                <w:sz w:val="18"/>
                <w:szCs w:val="18"/>
                <w:highlight w:val="yellow"/>
              </w:rPr>
            </w:pPr>
            <w:r>
              <w:rPr>
                <w:sz w:val="18"/>
                <w:szCs w:val="18"/>
              </w:rPr>
              <w:t>128,8%</w:t>
            </w:r>
          </w:p>
        </w:tc>
      </w:tr>
      <w:tr w:rsidR="00991CB3" w:rsidRPr="00C15913" w14:paraId="207EC7A3" w14:textId="77777777" w:rsidTr="009A2220">
        <w:trPr>
          <w:trHeight w:val="250"/>
        </w:trPr>
        <w:tc>
          <w:tcPr>
            <w:tcW w:w="4250" w:type="dxa"/>
            <w:tcBorders>
              <w:top w:val="nil"/>
              <w:left w:val="single" w:sz="8" w:space="0" w:color="auto"/>
              <w:bottom w:val="nil"/>
              <w:right w:val="single" w:sz="4" w:space="0" w:color="auto"/>
            </w:tcBorders>
            <w:shd w:val="clear" w:color="auto" w:fill="auto"/>
            <w:noWrap/>
            <w:vAlign w:val="bottom"/>
          </w:tcPr>
          <w:p w14:paraId="46FCE854" w14:textId="77777777" w:rsidR="00991CB3" w:rsidRPr="0007251B" w:rsidRDefault="00991CB3" w:rsidP="00991CB3">
            <w:pPr>
              <w:rPr>
                <w:sz w:val="18"/>
                <w:szCs w:val="18"/>
              </w:rPr>
            </w:pPr>
            <w:r w:rsidRPr="0007251B">
              <w:rPr>
                <w:sz w:val="18"/>
                <w:szCs w:val="18"/>
              </w:rPr>
              <w:t xml:space="preserve">    Предоставени тек. и капит. трансфери за чужбина</w:t>
            </w:r>
          </w:p>
        </w:tc>
        <w:tc>
          <w:tcPr>
            <w:tcW w:w="1287" w:type="dxa"/>
            <w:tcBorders>
              <w:top w:val="nil"/>
              <w:left w:val="single" w:sz="4" w:space="0" w:color="auto"/>
              <w:bottom w:val="nil"/>
              <w:right w:val="nil"/>
            </w:tcBorders>
            <w:shd w:val="clear" w:color="auto" w:fill="auto"/>
            <w:noWrap/>
            <w:vAlign w:val="bottom"/>
          </w:tcPr>
          <w:p w14:paraId="6F69C59D" w14:textId="04ECA031" w:rsidR="00991CB3" w:rsidRPr="005A6AC4" w:rsidRDefault="00991CB3" w:rsidP="00991CB3">
            <w:pPr>
              <w:jc w:val="right"/>
              <w:rPr>
                <w:color w:val="0070C0"/>
                <w:sz w:val="18"/>
                <w:szCs w:val="18"/>
              </w:rPr>
            </w:pPr>
            <w:r w:rsidRPr="00E06C17">
              <w:rPr>
                <w:sz w:val="18"/>
                <w:szCs w:val="18"/>
              </w:rPr>
              <w:t>6,6</w:t>
            </w:r>
          </w:p>
        </w:tc>
        <w:tc>
          <w:tcPr>
            <w:tcW w:w="1081" w:type="dxa"/>
            <w:tcBorders>
              <w:top w:val="nil"/>
              <w:left w:val="nil"/>
              <w:bottom w:val="nil"/>
              <w:right w:val="nil"/>
            </w:tcBorders>
            <w:shd w:val="clear" w:color="auto" w:fill="auto"/>
            <w:noWrap/>
            <w:vAlign w:val="bottom"/>
          </w:tcPr>
          <w:p w14:paraId="47CF15D7" w14:textId="0D0FAA14" w:rsidR="00991CB3" w:rsidRPr="00C15913" w:rsidRDefault="00991CB3" w:rsidP="00991CB3">
            <w:pPr>
              <w:jc w:val="right"/>
              <w:rPr>
                <w:color w:val="0070C0"/>
                <w:sz w:val="18"/>
                <w:szCs w:val="18"/>
              </w:rPr>
            </w:pPr>
            <w:r>
              <w:rPr>
                <w:sz w:val="18"/>
                <w:szCs w:val="18"/>
              </w:rPr>
              <w:t>7,0</w:t>
            </w:r>
          </w:p>
        </w:tc>
        <w:tc>
          <w:tcPr>
            <w:tcW w:w="1216" w:type="dxa"/>
            <w:tcBorders>
              <w:top w:val="nil"/>
              <w:left w:val="nil"/>
              <w:bottom w:val="nil"/>
              <w:right w:val="nil"/>
            </w:tcBorders>
            <w:shd w:val="clear" w:color="auto" w:fill="auto"/>
            <w:noWrap/>
            <w:vAlign w:val="bottom"/>
          </w:tcPr>
          <w:p w14:paraId="6E85B20B" w14:textId="6E8CF25F" w:rsidR="00991CB3" w:rsidRPr="00C15913" w:rsidRDefault="00991CB3" w:rsidP="00991CB3">
            <w:pPr>
              <w:jc w:val="right"/>
              <w:rPr>
                <w:color w:val="0070C0"/>
                <w:sz w:val="18"/>
                <w:szCs w:val="18"/>
              </w:rPr>
            </w:pPr>
            <w:r>
              <w:rPr>
                <w:color w:val="000000"/>
                <w:sz w:val="18"/>
                <w:szCs w:val="18"/>
              </w:rPr>
              <w:t>1,2</w:t>
            </w:r>
          </w:p>
        </w:tc>
        <w:tc>
          <w:tcPr>
            <w:tcW w:w="1193" w:type="dxa"/>
            <w:tcBorders>
              <w:top w:val="nil"/>
              <w:left w:val="nil"/>
              <w:bottom w:val="nil"/>
              <w:right w:val="nil"/>
            </w:tcBorders>
            <w:shd w:val="clear" w:color="auto" w:fill="auto"/>
            <w:noWrap/>
            <w:vAlign w:val="bottom"/>
          </w:tcPr>
          <w:p w14:paraId="1A0C4124" w14:textId="65328FB7" w:rsidR="00991CB3" w:rsidRPr="00C15913" w:rsidRDefault="00991CB3" w:rsidP="00991CB3">
            <w:pPr>
              <w:jc w:val="right"/>
              <w:rPr>
                <w:color w:val="0070C0"/>
                <w:sz w:val="18"/>
                <w:szCs w:val="18"/>
              </w:rPr>
            </w:pPr>
            <w:r>
              <w:rPr>
                <w:color w:val="000000"/>
                <w:sz w:val="18"/>
                <w:szCs w:val="18"/>
              </w:rPr>
              <w:t>5,7</w:t>
            </w:r>
          </w:p>
        </w:tc>
        <w:tc>
          <w:tcPr>
            <w:tcW w:w="1203" w:type="dxa"/>
            <w:tcBorders>
              <w:top w:val="nil"/>
              <w:left w:val="nil"/>
              <w:right w:val="single" w:sz="4" w:space="0" w:color="auto"/>
            </w:tcBorders>
            <w:shd w:val="clear" w:color="auto" w:fill="auto"/>
            <w:noWrap/>
            <w:vAlign w:val="bottom"/>
          </w:tcPr>
          <w:p w14:paraId="632BC057" w14:textId="6F6ECD69" w:rsidR="00991CB3" w:rsidRPr="00CC1F5F" w:rsidRDefault="00991CB3" w:rsidP="00991CB3">
            <w:pPr>
              <w:jc w:val="right"/>
              <w:rPr>
                <w:color w:val="0070C0"/>
                <w:sz w:val="18"/>
                <w:szCs w:val="18"/>
                <w:highlight w:val="yellow"/>
              </w:rPr>
            </w:pPr>
            <w:r>
              <w:rPr>
                <w:sz w:val="18"/>
                <w:szCs w:val="18"/>
              </w:rPr>
              <w:t>104,8%</w:t>
            </w:r>
          </w:p>
        </w:tc>
      </w:tr>
      <w:tr w:rsidR="00991CB3" w:rsidRPr="00C15913" w14:paraId="3259E57D" w14:textId="77777777" w:rsidTr="009A2220">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3ABD7F9F" w14:textId="77777777" w:rsidR="00991CB3" w:rsidRPr="0007251B" w:rsidRDefault="00991CB3" w:rsidP="00991CB3">
            <w:pPr>
              <w:rPr>
                <w:sz w:val="18"/>
                <w:szCs w:val="18"/>
              </w:rPr>
            </w:pPr>
            <w:r w:rsidRPr="0007251B">
              <w:rPr>
                <w:sz w:val="18"/>
                <w:szCs w:val="18"/>
              </w:rPr>
              <w:t xml:space="preserve">    Капиталови</w:t>
            </w:r>
          </w:p>
        </w:tc>
        <w:tc>
          <w:tcPr>
            <w:tcW w:w="1287" w:type="dxa"/>
            <w:tcBorders>
              <w:top w:val="nil"/>
              <w:left w:val="single" w:sz="4" w:space="0" w:color="auto"/>
              <w:bottom w:val="nil"/>
              <w:right w:val="nil"/>
            </w:tcBorders>
            <w:shd w:val="clear" w:color="auto" w:fill="auto"/>
            <w:noWrap/>
            <w:vAlign w:val="bottom"/>
            <w:hideMark/>
          </w:tcPr>
          <w:p w14:paraId="12D5D493" w14:textId="11F21E2F" w:rsidR="00991CB3" w:rsidRPr="005A6AC4" w:rsidRDefault="00991CB3" w:rsidP="00991CB3">
            <w:pPr>
              <w:jc w:val="right"/>
              <w:rPr>
                <w:color w:val="0070C0"/>
                <w:sz w:val="18"/>
                <w:szCs w:val="18"/>
              </w:rPr>
            </w:pPr>
            <w:r>
              <w:rPr>
                <w:sz w:val="18"/>
                <w:szCs w:val="18"/>
              </w:rPr>
              <w:t>736,5</w:t>
            </w:r>
          </w:p>
        </w:tc>
        <w:tc>
          <w:tcPr>
            <w:tcW w:w="1081" w:type="dxa"/>
            <w:tcBorders>
              <w:top w:val="nil"/>
              <w:left w:val="nil"/>
              <w:bottom w:val="nil"/>
              <w:right w:val="nil"/>
            </w:tcBorders>
            <w:shd w:val="clear" w:color="auto" w:fill="auto"/>
            <w:noWrap/>
            <w:vAlign w:val="bottom"/>
            <w:hideMark/>
          </w:tcPr>
          <w:p w14:paraId="3048CEC4" w14:textId="3DEDCE84" w:rsidR="00991CB3" w:rsidRPr="00C15913" w:rsidRDefault="00991CB3" w:rsidP="00991CB3">
            <w:pPr>
              <w:jc w:val="right"/>
              <w:rPr>
                <w:color w:val="0070C0"/>
                <w:sz w:val="18"/>
                <w:szCs w:val="18"/>
              </w:rPr>
            </w:pPr>
            <w:r>
              <w:rPr>
                <w:sz w:val="18"/>
                <w:szCs w:val="18"/>
              </w:rPr>
              <w:t>929,0</w:t>
            </w:r>
          </w:p>
        </w:tc>
        <w:tc>
          <w:tcPr>
            <w:tcW w:w="1216" w:type="dxa"/>
            <w:tcBorders>
              <w:top w:val="nil"/>
              <w:left w:val="nil"/>
              <w:bottom w:val="nil"/>
              <w:right w:val="nil"/>
            </w:tcBorders>
            <w:shd w:val="clear" w:color="auto" w:fill="auto"/>
            <w:noWrap/>
            <w:vAlign w:val="bottom"/>
            <w:hideMark/>
          </w:tcPr>
          <w:p w14:paraId="7430F3FD" w14:textId="32A4024E" w:rsidR="00991CB3" w:rsidRPr="00C15913" w:rsidRDefault="00991CB3" w:rsidP="00991CB3">
            <w:pPr>
              <w:jc w:val="right"/>
              <w:rPr>
                <w:color w:val="0070C0"/>
                <w:sz w:val="18"/>
                <w:szCs w:val="18"/>
              </w:rPr>
            </w:pPr>
            <w:r>
              <w:rPr>
                <w:color w:val="000000"/>
                <w:sz w:val="18"/>
                <w:szCs w:val="18"/>
              </w:rPr>
              <w:t>642,7</w:t>
            </w:r>
          </w:p>
        </w:tc>
        <w:tc>
          <w:tcPr>
            <w:tcW w:w="1193" w:type="dxa"/>
            <w:tcBorders>
              <w:top w:val="nil"/>
              <w:left w:val="nil"/>
              <w:bottom w:val="nil"/>
              <w:right w:val="nil"/>
            </w:tcBorders>
            <w:shd w:val="clear" w:color="auto" w:fill="auto"/>
            <w:noWrap/>
            <w:vAlign w:val="bottom"/>
            <w:hideMark/>
          </w:tcPr>
          <w:p w14:paraId="150D395C" w14:textId="6B88BD3C" w:rsidR="00991CB3" w:rsidRPr="00C15913" w:rsidRDefault="00991CB3" w:rsidP="00991CB3">
            <w:pPr>
              <w:jc w:val="right"/>
              <w:rPr>
                <w:color w:val="0070C0"/>
                <w:sz w:val="18"/>
                <w:szCs w:val="18"/>
              </w:rPr>
            </w:pPr>
            <w:r>
              <w:rPr>
                <w:color w:val="000000"/>
                <w:sz w:val="18"/>
                <w:szCs w:val="18"/>
              </w:rPr>
              <w:t>286,3</w:t>
            </w:r>
          </w:p>
        </w:tc>
        <w:tc>
          <w:tcPr>
            <w:tcW w:w="1203" w:type="dxa"/>
            <w:tcBorders>
              <w:top w:val="nil"/>
              <w:left w:val="nil"/>
              <w:bottom w:val="nil"/>
              <w:right w:val="single" w:sz="4" w:space="0" w:color="auto"/>
            </w:tcBorders>
            <w:shd w:val="clear" w:color="auto" w:fill="auto"/>
            <w:noWrap/>
            <w:vAlign w:val="bottom"/>
            <w:hideMark/>
          </w:tcPr>
          <w:p w14:paraId="375E290F" w14:textId="1A44A118" w:rsidR="00991CB3" w:rsidRPr="00CC1F5F" w:rsidRDefault="00991CB3" w:rsidP="00991CB3">
            <w:pPr>
              <w:jc w:val="right"/>
              <w:rPr>
                <w:color w:val="0070C0"/>
                <w:sz w:val="18"/>
                <w:szCs w:val="18"/>
                <w:highlight w:val="yellow"/>
              </w:rPr>
            </w:pPr>
            <w:r>
              <w:rPr>
                <w:sz w:val="18"/>
                <w:szCs w:val="18"/>
              </w:rPr>
              <w:t>126,1%</w:t>
            </w:r>
          </w:p>
        </w:tc>
      </w:tr>
      <w:tr w:rsidR="00991CB3" w:rsidRPr="00C15913" w14:paraId="328649EE" w14:textId="77777777" w:rsidTr="009A2220">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3DC5B95D" w14:textId="77777777" w:rsidR="00991CB3" w:rsidRPr="0007251B" w:rsidRDefault="00991CB3" w:rsidP="00991CB3">
            <w:pPr>
              <w:rPr>
                <w:sz w:val="18"/>
                <w:szCs w:val="18"/>
              </w:rPr>
            </w:pPr>
            <w:r w:rsidRPr="0007251B">
              <w:rPr>
                <w:sz w:val="18"/>
                <w:szCs w:val="18"/>
              </w:rPr>
              <w:t xml:space="preserve">           в т.ч. нетен прираст на държавния резерв</w:t>
            </w:r>
          </w:p>
        </w:tc>
        <w:tc>
          <w:tcPr>
            <w:tcW w:w="1287" w:type="dxa"/>
            <w:tcBorders>
              <w:top w:val="nil"/>
              <w:left w:val="single" w:sz="4" w:space="0" w:color="auto"/>
              <w:bottom w:val="nil"/>
              <w:right w:val="nil"/>
            </w:tcBorders>
            <w:shd w:val="clear" w:color="auto" w:fill="auto"/>
            <w:noWrap/>
            <w:vAlign w:val="bottom"/>
            <w:hideMark/>
          </w:tcPr>
          <w:p w14:paraId="6564ED2A" w14:textId="1BC9A3FB" w:rsidR="00991CB3" w:rsidRPr="005A6AC4" w:rsidRDefault="00991CB3" w:rsidP="00991CB3">
            <w:pPr>
              <w:jc w:val="right"/>
              <w:rPr>
                <w:color w:val="0070C0"/>
                <w:sz w:val="18"/>
                <w:szCs w:val="18"/>
              </w:rPr>
            </w:pPr>
            <w:r>
              <w:rPr>
                <w:sz w:val="18"/>
                <w:szCs w:val="18"/>
              </w:rPr>
              <w:t>-3,7</w:t>
            </w:r>
          </w:p>
        </w:tc>
        <w:tc>
          <w:tcPr>
            <w:tcW w:w="1081" w:type="dxa"/>
            <w:tcBorders>
              <w:top w:val="nil"/>
              <w:left w:val="nil"/>
              <w:bottom w:val="nil"/>
              <w:right w:val="nil"/>
            </w:tcBorders>
            <w:shd w:val="clear" w:color="auto" w:fill="auto"/>
            <w:noWrap/>
            <w:vAlign w:val="bottom"/>
            <w:hideMark/>
          </w:tcPr>
          <w:p w14:paraId="6BEB4FED" w14:textId="4471DB90" w:rsidR="00991CB3" w:rsidRPr="00C15913" w:rsidRDefault="00991CB3" w:rsidP="00991CB3">
            <w:pPr>
              <w:jc w:val="right"/>
              <w:rPr>
                <w:color w:val="0070C0"/>
                <w:sz w:val="18"/>
                <w:szCs w:val="18"/>
              </w:rPr>
            </w:pPr>
            <w:r>
              <w:rPr>
                <w:sz w:val="18"/>
                <w:szCs w:val="18"/>
              </w:rPr>
              <w:t>22,4</w:t>
            </w:r>
          </w:p>
        </w:tc>
        <w:tc>
          <w:tcPr>
            <w:tcW w:w="1216" w:type="dxa"/>
            <w:tcBorders>
              <w:top w:val="nil"/>
              <w:left w:val="nil"/>
              <w:bottom w:val="nil"/>
              <w:right w:val="nil"/>
            </w:tcBorders>
            <w:shd w:val="clear" w:color="auto" w:fill="auto"/>
            <w:noWrap/>
            <w:vAlign w:val="bottom"/>
            <w:hideMark/>
          </w:tcPr>
          <w:p w14:paraId="3D6637FA" w14:textId="4189EF08" w:rsidR="00991CB3" w:rsidRPr="00C15913" w:rsidRDefault="00991CB3" w:rsidP="00991CB3">
            <w:pPr>
              <w:jc w:val="right"/>
              <w:rPr>
                <w:color w:val="0070C0"/>
                <w:sz w:val="18"/>
                <w:szCs w:val="18"/>
              </w:rPr>
            </w:pPr>
            <w:r>
              <w:rPr>
                <w:color w:val="000000"/>
                <w:sz w:val="18"/>
                <w:szCs w:val="18"/>
              </w:rPr>
              <w:t>22,4</w:t>
            </w:r>
          </w:p>
        </w:tc>
        <w:tc>
          <w:tcPr>
            <w:tcW w:w="1193" w:type="dxa"/>
            <w:tcBorders>
              <w:top w:val="nil"/>
              <w:left w:val="nil"/>
              <w:bottom w:val="nil"/>
              <w:right w:val="nil"/>
            </w:tcBorders>
            <w:shd w:val="clear" w:color="auto" w:fill="auto"/>
            <w:noWrap/>
            <w:vAlign w:val="bottom"/>
          </w:tcPr>
          <w:p w14:paraId="157E357C" w14:textId="2CB3D12C" w:rsidR="00991CB3" w:rsidRPr="00C15913" w:rsidRDefault="00991CB3" w:rsidP="00991CB3">
            <w:pPr>
              <w:jc w:val="right"/>
              <w:rPr>
                <w:color w:val="0070C0"/>
                <w:sz w:val="18"/>
                <w:szCs w:val="18"/>
              </w:rPr>
            </w:pPr>
          </w:p>
        </w:tc>
        <w:tc>
          <w:tcPr>
            <w:tcW w:w="1203" w:type="dxa"/>
            <w:tcBorders>
              <w:top w:val="nil"/>
              <w:left w:val="nil"/>
              <w:bottom w:val="nil"/>
              <w:right w:val="single" w:sz="4" w:space="0" w:color="auto"/>
            </w:tcBorders>
            <w:shd w:val="clear" w:color="auto" w:fill="auto"/>
            <w:noWrap/>
            <w:vAlign w:val="bottom"/>
          </w:tcPr>
          <w:p w14:paraId="25D68A59" w14:textId="138952DA" w:rsidR="00991CB3" w:rsidRPr="00CC1F5F" w:rsidRDefault="00991CB3" w:rsidP="00991CB3">
            <w:pPr>
              <w:jc w:val="right"/>
              <w:rPr>
                <w:color w:val="0070C0"/>
                <w:sz w:val="18"/>
                <w:szCs w:val="18"/>
                <w:highlight w:val="yellow"/>
              </w:rPr>
            </w:pPr>
          </w:p>
        </w:tc>
      </w:tr>
      <w:tr w:rsidR="00040164" w:rsidRPr="00C15913" w14:paraId="5A2CD1E1" w14:textId="77777777" w:rsidTr="009A2220">
        <w:trPr>
          <w:trHeight w:val="250"/>
        </w:trPr>
        <w:tc>
          <w:tcPr>
            <w:tcW w:w="4250" w:type="dxa"/>
            <w:tcBorders>
              <w:top w:val="nil"/>
              <w:left w:val="single" w:sz="8" w:space="0" w:color="auto"/>
              <w:bottom w:val="nil"/>
              <w:right w:val="single" w:sz="4" w:space="0" w:color="auto"/>
            </w:tcBorders>
            <w:shd w:val="clear" w:color="auto" w:fill="auto"/>
            <w:noWrap/>
            <w:vAlign w:val="bottom"/>
            <w:hideMark/>
          </w:tcPr>
          <w:p w14:paraId="64CF01E1" w14:textId="77777777" w:rsidR="00040164" w:rsidRPr="0007251B" w:rsidRDefault="00040164" w:rsidP="00040164">
            <w:pPr>
              <w:rPr>
                <w:sz w:val="18"/>
                <w:szCs w:val="18"/>
              </w:rPr>
            </w:pPr>
            <w:r w:rsidRPr="0007251B">
              <w:rPr>
                <w:sz w:val="18"/>
                <w:szCs w:val="18"/>
              </w:rPr>
              <w:t xml:space="preserve">  Лихвени</w:t>
            </w:r>
          </w:p>
        </w:tc>
        <w:tc>
          <w:tcPr>
            <w:tcW w:w="1287" w:type="dxa"/>
            <w:tcBorders>
              <w:top w:val="nil"/>
              <w:left w:val="single" w:sz="4" w:space="0" w:color="auto"/>
              <w:bottom w:val="nil"/>
              <w:right w:val="nil"/>
            </w:tcBorders>
            <w:shd w:val="clear" w:color="auto" w:fill="auto"/>
            <w:noWrap/>
            <w:vAlign w:val="bottom"/>
            <w:hideMark/>
          </w:tcPr>
          <w:p w14:paraId="74880D72" w14:textId="20384255" w:rsidR="00040164" w:rsidRPr="005A6AC4" w:rsidRDefault="00040164" w:rsidP="00040164">
            <w:pPr>
              <w:jc w:val="right"/>
              <w:rPr>
                <w:color w:val="0070C0"/>
                <w:sz w:val="18"/>
                <w:szCs w:val="18"/>
              </w:rPr>
            </w:pPr>
            <w:r w:rsidRPr="00BC65A3">
              <w:rPr>
                <w:sz w:val="18"/>
                <w:szCs w:val="18"/>
              </w:rPr>
              <w:t>335,8</w:t>
            </w:r>
          </w:p>
        </w:tc>
        <w:tc>
          <w:tcPr>
            <w:tcW w:w="1081" w:type="dxa"/>
            <w:tcBorders>
              <w:top w:val="nil"/>
              <w:left w:val="nil"/>
              <w:bottom w:val="nil"/>
              <w:right w:val="nil"/>
            </w:tcBorders>
            <w:shd w:val="clear" w:color="auto" w:fill="auto"/>
            <w:noWrap/>
            <w:vAlign w:val="bottom"/>
            <w:hideMark/>
          </w:tcPr>
          <w:p w14:paraId="2278C028" w14:textId="575710BB" w:rsidR="00040164" w:rsidRPr="00C15913" w:rsidRDefault="00040164" w:rsidP="00040164">
            <w:pPr>
              <w:jc w:val="right"/>
              <w:rPr>
                <w:color w:val="0070C0"/>
                <w:sz w:val="18"/>
                <w:szCs w:val="18"/>
              </w:rPr>
            </w:pPr>
            <w:r>
              <w:rPr>
                <w:sz w:val="18"/>
                <w:szCs w:val="18"/>
              </w:rPr>
              <w:t>303,1</w:t>
            </w:r>
          </w:p>
        </w:tc>
        <w:tc>
          <w:tcPr>
            <w:tcW w:w="1216" w:type="dxa"/>
            <w:tcBorders>
              <w:top w:val="nil"/>
              <w:left w:val="nil"/>
              <w:bottom w:val="nil"/>
              <w:right w:val="nil"/>
            </w:tcBorders>
            <w:shd w:val="clear" w:color="auto" w:fill="auto"/>
            <w:noWrap/>
            <w:vAlign w:val="bottom"/>
            <w:hideMark/>
          </w:tcPr>
          <w:p w14:paraId="0D708E2F" w14:textId="53AAF7B7" w:rsidR="00040164" w:rsidRPr="00C15913" w:rsidRDefault="00040164" w:rsidP="00040164">
            <w:pPr>
              <w:jc w:val="right"/>
              <w:rPr>
                <w:color w:val="0070C0"/>
                <w:sz w:val="18"/>
                <w:szCs w:val="18"/>
              </w:rPr>
            </w:pPr>
            <w:r>
              <w:rPr>
                <w:color w:val="000000"/>
                <w:sz w:val="18"/>
                <w:szCs w:val="18"/>
              </w:rPr>
              <w:t>303,1</w:t>
            </w:r>
          </w:p>
        </w:tc>
        <w:tc>
          <w:tcPr>
            <w:tcW w:w="1193" w:type="dxa"/>
            <w:tcBorders>
              <w:top w:val="nil"/>
              <w:left w:val="nil"/>
              <w:bottom w:val="nil"/>
              <w:right w:val="nil"/>
            </w:tcBorders>
            <w:shd w:val="clear" w:color="auto" w:fill="auto"/>
            <w:noWrap/>
            <w:vAlign w:val="bottom"/>
          </w:tcPr>
          <w:p w14:paraId="320B57C6" w14:textId="411F3AFF" w:rsidR="00040164" w:rsidRPr="00C15913" w:rsidRDefault="00040164" w:rsidP="00040164">
            <w:pPr>
              <w:jc w:val="right"/>
              <w:rPr>
                <w:color w:val="0070C0"/>
                <w:sz w:val="18"/>
                <w:szCs w:val="18"/>
              </w:rPr>
            </w:pPr>
          </w:p>
        </w:tc>
        <w:tc>
          <w:tcPr>
            <w:tcW w:w="1203" w:type="dxa"/>
            <w:tcBorders>
              <w:top w:val="nil"/>
              <w:left w:val="nil"/>
              <w:bottom w:val="nil"/>
              <w:right w:val="single" w:sz="4" w:space="0" w:color="auto"/>
            </w:tcBorders>
            <w:shd w:val="clear" w:color="auto" w:fill="auto"/>
            <w:noWrap/>
            <w:vAlign w:val="bottom"/>
            <w:hideMark/>
          </w:tcPr>
          <w:p w14:paraId="78331155" w14:textId="6BA4B774" w:rsidR="00040164" w:rsidRPr="00CC1F5F" w:rsidRDefault="00040164" w:rsidP="00040164">
            <w:pPr>
              <w:jc w:val="right"/>
              <w:rPr>
                <w:color w:val="0070C0"/>
                <w:sz w:val="18"/>
                <w:szCs w:val="18"/>
                <w:highlight w:val="yellow"/>
              </w:rPr>
            </w:pPr>
            <w:r>
              <w:rPr>
                <w:sz w:val="18"/>
                <w:szCs w:val="18"/>
              </w:rPr>
              <w:t>90,3%</w:t>
            </w:r>
          </w:p>
        </w:tc>
      </w:tr>
      <w:tr w:rsidR="00040164" w:rsidRPr="00C15913" w14:paraId="0AA6AFD7" w14:textId="77777777" w:rsidTr="009A2220">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38E882AD" w14:textId="77777777" w:rsidR="00040164" w:rsidRPr="0007251B" w:rsidRDefault="00040164" w:rsidP="00040164">
            <w:pPr>
              <w:rPr>
                <w:sz w:val="18"/>
                <w:szCs w:val="18"/>
              </w:rPr>
            </w:pPr>
            <w:r w:rsidRPr="0007251B">
              <w:rPr>
                <w:sz w:val="18"/>
                <w:szCs w:val="18"/>
              </w:rPr>
              <w:t xml:space="preserve">  Вноска за общия бюджет на ЕС</w:t>
            </w:r>
          </w:p>
        </w:tc>
        <w:tc>
          <w:tcPr>
            <w:tcW w:w="1287" w:type="dxa"/>
            <w:tcBorders>
              <w:top w:val="nil"/>
              <w:left w:val="single" w:sz="4" w:space="0" w:color="auto"/>
              <w:bottom w:val="single" w:sz="4" w:space="0" w:color="auto"/>
              <w:right w:val="nil"/>
            </w:tcBorders>
            <w:shd w:val="clear" w:color="auto" w:fill="auto"/>
            <w:noWrap/>
            <w:vAlign w:val="bottom"/>
            <w:hideMark/>
          </w:tcPr>
          <w:p w14:paraId="4AE9EF27" w14:textId="125F32D2" w:rsidR="00040164" w:rsidRPr="005A6AC4" w:rsidRDefault="00040164" w:rsidP="00040164">
            <w:pPr>
              <w:jc w:val="right"/>
              <w:rPr>
                <w:color w:val="0070C0"/>
                <w:sz w:val="18"/>
                <w:szCs w:val="18"/>
              </w:rPr>
            </w:pPr>
            <w:r w:rsidRPr="00BC65A3">
              <w:rPr>
                <w:sz w:val="18"/>
                <w:szCs w:val="18"/>
              </w:rPr>
              <w:t>401,8</w:t>
            </w:r>
          </w:p>
        </w:tc>
        <w:tc>
          <w:tcPr>
            <w:tcW w:w="1081" w:type="dxa"/>
            <w:tcBorders>
              <w:top w:val="nil"/>
              <w:left w:val="nil"/>
              <w:bottom w:val="single" w:sz="4" w:space="0" w:color="auto"/>
              <w:right w:val="nil"/>
            </w:tcBorders>
            <w:shd w:val="clear" w:color="auto" w:fill="auto"/>
            <w:noWrap/>
            <w:vAlign w:val="bottom"/>
            <w:hideMark/>
          </w:tcPr>
          <w:p w14:paraId="0B888FE0" w14:textId="023C97A8" w:rsidR="00040164" w:rsidRPr="00C15913" w:rsidRDefault="00040164" w:rsidP="00040164">
            <w:pPr>
              <w:jc w:val="right"/>
              <w:rPr>
                <w:color w:val="0070C0"/>
                <w:sz w:val="18"/>
                <w:szCs w:val="18"/>
              </w:rPr>
            </w:pPr>
            <w:r>
              <w:rPr>
                <w:sz w:val="18"/>
                <w:szCs w:val="18"/>
              </w:rPr>
              <w:t>455,2</w:t>
            </w:r>
          </w:p>
        </w:tc>
        <w:tc>
          <w:tcPr>
            <w:tcW w:w="1216" w:type="dxa"/>
            <w:tcBorders>
              <w:top w:val="nil"/>
              <w:left w:val="nil"/>
              <w:bottom w:val="single" w:sz="4" w:space="0" w:color="auto"/>
              <w:right w:val="nil"/>
            </w:tcBorders>
            <w:shd w:val="clear" w:color="auto" w:fill="auto"/>
            <w:noWrap/>
            <w:vAlign w:val="bottom"/>
            <w:hideMark/>
          </w:tcPr>
          <w:p w14:paraId="11043CA6" w14:textId="3E584E95" w:rsidR="00040164" w:rsidRPr="00C15913" w:rsidRDefault="00040164" w:rsidP="00040164">
            <w:pPr>
              <w:jc w:val="right"/>
              <w:rPr>
                <w:color w:val="0070C0"/>
                <w:sz w:val="18"/>
                <w:szCs w:val="18"/>
              </w:rPr>
            </w:pPr>
            <w:r>
              <w:rPr>
                <w:color w:val="000000"/>
                <w:sz w:val="18"/>
                <w:szCs w:val="18"/>
              </w:rPr>
              <w:t>455,2</w:t>
            </w:r>
          </w:p>
        </w:tc>
        <w:tc>
          <w:tcPr>
            <w:tcW w:w="1193" w:type="dxa"/>
            <w:tcBorders>
              <w:top w:val="nil"/>
              <w:left w:val="nil"/>
              <w:bottom w:val="single" w:sz="4" w:space="0" w:color="auto"/>
              <w:right w:val="nil"/>
            </w:tcBorders>
            <w:shd w:val="clear" w:color="auto" w:fill="auto"/>
            <w:noWrap/>
            <w:vAlign w:val="bottom"/>
          </w:tcPr>
          <w:p w14:paraId="6A976F97" w14:textId="66270E05" w:rsidR="00040164" w:rsidRPr="00C15913" w:rsidRDefault="00040164" w:rsidP="00040164">
            <w:pPr>
              <w:jc w:val="right"/>
              <w:rPr>
                <w:color w:val="0070C0"/>
                <w:sz w:val="18"/>
                <w:szCs w:val="18"/>
              </w:rPr>
            </w:pPr>
          </w:p>
        </w:tc>
        <w:tc>
          <w:tcPr>
            <w:tcW w:w="1203" w:type="dxa"/>
            <w:tcBorders>
              <w:top w:val="nil"/>
              <w:left w:val="nil"/>
              <w:bottom w:val="single" w:sz="4" w:space="0" w:color="auto"/>
              <w:right w:val="single" w:sz="4" w:space="0" w:color="auto"/>
            </w:tcBorders>
            <w:shd w:val="clear" w:color="auto" w:fill="auto"/>
            <w:noWrap/>
            <w:vAlign w:val="bottom"/>
            <w:hideMark/>
          </w:tcPr>
          <w:p w14:paraId="4EA0D20A" w14:textId="24F85546" w:rsidR="00040164" w:rsidRPr="00CC1F5F" w:rsidRDefault="00040164" w:rsidP="00040164">
            <w:pPr>
              <w:jc w:val="right"/>
              <w:rPr>
                <w:color w:val="0070C0"/>
                <w:sz w:val="18"/>
                <w:szCs w:val="18"/>
                <w:highlight w:val="yellow"/>
              </w:rPr>
            </w:pPr>
            <w:r>
              <w:rPr>
                <w:sz w:val="18"/>
                <w:szCs w:val="18"/>
              </w:rPr>
              <w:t>113,3%</w:t>
            </w:r>
          </w:p>
        </w:tc>
      </w:tr>
      <w:tr w:rsidR="00EE559E" w:rsidRPr="00C15913" w14:paraId="24A861A5" w14:textId="77777777" w:rsidTr="009A2220">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14:paraId="37B4754A" w14:textId="77777777" w:rsidR="00EE559E" w:rsidRPr="0007251B" w:rsidRDefault="00EE559E" w:rsidP="00EE559E">
            <w:pPr>
              <w:rPr>
                <w:sz w:val="18"/>
                <w:szCs w:val="18"/>
              </w:rPr>
            </w:pPr>
            <w:r w:rsidRPr="0007251B">
              <w:rPr>
                <w:sz w:val="18"/>
                <w:szCs w:val="18"/>
              </w:rPr>
              <w:t>Трансфери</w:t>
            </w:r>
            <w:r w:rsidRPr="0007251B">
              <w:rPr>
                <w:sz w:val="18"/>
                <w:szCs w:val="18"/>
                <w:lang w:val="en-US"/>
              </w:rPr>
              <w:t xml:space="preserve"> </w:t>
            </w:r>
            <w:r w:rsidRPr="0007251B">
              <w:rPr>
                <w:sz w:val="18"/>
                <w:szCs w:val="18"/>
              </w:rPr>
              <w:t>-</w:t>
            </w:r>
            <w:r w:rsidRPr="0007251B">
              <w:rPr>
                <w:sz w:val="18"/>
                <w:szCs w:val="18"/>
                <w:lang w:val="en-US"/>
              </w:rPr>
              <w:t xml:space="preserve"> </w:t>
            </w:r>
            <w:r w:rsidRPr="0007251B">
              <w:rPr>
                <w:sz w:val="18"/>
                <w:szCs w:val="18"/>
              </w:rPr>
              <w:t>нето</w:t>
            </w:r>
          </w:p>
        </w:tc>
        <w:tc>
          <w:tcPr>
            <w:tcW w:w="1287" w:type="dxa"/>
            <w:tcBorders>
              <w:top w:val="single" w:sz="4" w:space="0" w:color="auto"/>
              <w:left w:val="single" w:sz="4" w:space="0" w:color="auto"/>
              <w:bottom w:val="single" w:sz="4" w:space="0" w:color="auto"/>
              <w:right w:val="nil"/>
            </w:tcBorders>
            <w:shd w:val="clear" w:color="auto" w:fill="auto"/>
            <w:noWrap/>
            <w:vAlign w:val="bottom"/>
            <w:hideMark/>
          </w:tcPr>
          <w:p w14:paraId="21047BD7" w14:textId="77777777" w:rsidR="00EE559E" w:rsidRPr="005A6AC4" w:rsidRDefault="00EE559E" w:rsidP="00EE559E">
            <w:pPr>
              <w:jc w:val="right"/>
              <w:rPr>
                <w:color w:val="0070C0"/>
                <w:sz w:val="18"/>
                <w:szCs w:val="18"/>
              </w:rPr>
            </w:pPr>
          </w:p>
        </w:tc>
        <w:tc>
          <w:tcPr>
            <w:tcW w:w="1081" w:type="dxa"/>
            <w:tcBorders>
              <w:top w:val="single" w:sz="4" w:space="0" w:color="auto"/>
              <w:left w:val="nil"/>
              <w:bottom w:val="single" w:sz="4" w:space="0" w:color="auto"/>
              <w:right w:val="nil"/>
            </w:tcBorders>
            <w:shd w:val="clear" w:color="auto" w:fill="auto"/>
            <w:noWrap/>
            <w:vAlign w:val="bottom"/>
            <w:hideMark/>
          </w:tcPr>
          <w:p w14:paraId="440FA66C" w14:textId="77777777" w:rsidR="00EE559E" w:rsidRPr="00C15913" w:rsidRDefault="00EE559E" w:rsidP="00EE559E">
            <w:pPr>
              <w:jc w:val="right"/>
              <w:rPr>
                <w:b/>
                <w:bCs/>
                <w:color w:val="0070C0"/>
                <w:sz w:val="18"/>
                <w:szCs w:val="18"/>
              </w:rPr>
            </w:pPr>
          </w:p>
        </w:tc>
        <w:tc>
          <w:tcPr>
            <w:tcW w:w="1216" w:type="dxa"/>
            <w:tcBorders>
              <w:top w:val="single" w:sz="4" w:space="0" w:color="auto"/>
              <w:left w:val="nil"/>
              <w:bottom w:val="single" w:sz="4" w:space="0" w:color="auto"/>
              <w:right w:val="nil"/>
            </w:tcBorders>
            <w:shd w:val="clear" w:color="auto" w:fill="auto"/>
            <w:noWrap/>
            <w:vAlign w:val="bottom"/>
            <w:hideMark/>
          </w:tcPr>
          <w:p w14:paraId="2770435E" w14:textId="7AC28D5F" w:rsidR="00EE559E" w:rsidRPr="00C15913" w:rsidRDefault="00EE559E" w:rsidP="00EE559E">
            <w:pPr>
              <w:jc w:val="right"/>
              <w:rPr>
                <w:color w:val="0070C0"/>
                <w:sz w:val="18"/>
                <w:szCs w:val="18"/>
              </w:rPr>
            </w:pPr>
            <w:r>
              <w:rPr>
                <w:color w:val="000000"/>
                <w:sz w:val="18"/>
                <w:szCs w:val="18"/>
              </w:rPr>
              <w:t>-99,3</w:t>
            </w:r>
          </w:p>
        </w:tc>
        <w:tc>
          <w:tcPr>
            <w:tcW w:w="1193" w:type="dxa"/>
            <w:tcBorders>
              <w:top w:val="single" w:sz="4" w:space="0" w:color="auto"/>
              <w:left w:val="nil"/>
              <w:bottom w:val="single" w:sz="4" w:space="0" w:color="auto"/>
              <w:right w:val="nil"/>
            </w:tcBorders>
            <w:shd w:val="clear" w:color="auto" w:fill="auto"/>
            <w:noWrap/>
            <w:vAlign w:val="bottom"/>
            <w:hideMark/>
          </w:tcPr>
          <w:p w14:paraId="18D54797" w14:textId="372ABB17" w:rsidR="00EE559E" w:rsidRPr="00C15913" w:rsidRDefault="00EE559E" w:rsidP="00EE559E">
            <w:pPr>
              <w:jc w:val="right"/>
              <w:rPr>
                <w:color w:val="0070C0"/>
                <w:sz w:val="18"/>
                <w:szCs w:val="18"/>
              </w:rPr>
            </w:pPr>
            <w:r>
              <w:rPr>
                <w:color w:val="000000"/>
                <w:sz w:val="18"/>
                <w:szCs w:val="18"/>
              </w:rPr>
              <w:t>99,3</w:t>
            </w:r>
          </w:p>
        </w:tc>
        <w:tc>
          <w:tcPr>
            <w:tcW w:w="1203" w:type="dxa"/>
            <w:tcBorders>
              <w:top w:val="single" w:sz="4" w:space="0" w:color="auto"/>
              <w:left w:val="nil"/>
              <w:bottom w:val="single" w:sz="4" w:space="0" w:color="auto"/>
              <w:right w:val="single" w:sz="8" w:space="0" w:color="auto"/>
            </w:tcBorders>
            <w:shd w:val="clear" w:color="auto" w:fill="auto"/>
            <w:noWrap/>
            <w:vAlign w:val="bottom"/>
            <w:hideMark/>
          </w:tcPr>
          <w:p w14:paraId="4928288C" w14:textId="77777777" w:rsidR="00EE559E" w:rsidRPr="00FF6E89" w:rsidRDefault="00EE559E" w:rsidP="00EE559E">
            <w:pPr>
              <w:rPr>
                <w:b/>
                <w:bCs/>
                <w:color w:val="0070C0"/>
                <w:sz w:val="18"/>
                <w:szCs w:val="18"/>
              </w:rPr>
            </w:pPr>
            <w:r w:rsidRPr="00FF6E89">
              <w:rPr>
                <w:b/>
                <w:bCs/>
                <w:color w:val="0070C0"/>
                <w:sz w:val="18"/>
                <w:szCs w:val="18"/>
              </w:rPr>
              <w:t> </w:t>
            </w:r>
          </w:p>
        </w:tc>
      </w:tr>
      <w:tr w:rsidR="00EE559E" w:rsidRPr="00C15913" w14:paraId="16FAE34A" w14:textId="77777777" w:rsidTr="009A2220">
        <w:trPr>
          <w:trHeight w:val="265"/>
        </w:trPr>
        <w:tc>
          <w:tcPr>
            <w:tcW w:w="425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14:paraId="6AB6C829" w14:textId="77777777" w:rsidR="00EE559E" w:rsidRPr="0007251B" w:rsidRDefault="00EE559E" w:rsidP="00EE559E">
            <w:pPr>
              <w:rPr>
                <w:b/>
                <w:bCs/>
                <w:sz w:val="18"/>
                <w:szCs w:val="18"/>
              </w:rPr>
            </w:pPr>
            <w:r w:rsidRPr="0007251B">
              <w:rPr>
                <w:b/>
                <w:bCs/>
                <w:sz w:val="18"/>
                <w:szCs w:val="18"/>
              </w:rPr>
              <w:t>БЮДЖЕТНО САЛДО</w:t>
            </w:r>
          </w:p>
        </w:tc>
        <w:tc>
          <w:tcPr>
            <w:tcW w:w="1287" w:type="dxa"/>
            <w:tcBorders>
              <w:top w:val="nil"/>
              <w:left w:val="single" w:sz="4" w:space="0" w:color="auto"/>
              <w:bottom w:val="single" w:sz="8" w:space="0" w:color="auto"/>
              <w:right w:val="nil"/>
            </w:tcBorders>
            <w:shd w:val="clear" w:color="auto" w:fill="auto"/>
            <w:noWrap/>
            <w:vAlign w:val="bottom"/>
            <w:hideMark/>
          </w:tcPr>
          <w:p w14:paraId="0129C934" w14:textId="3F963499" w:rsidR="00EE559E" w:rsidRPr="005A6AC4" w:rsidRDefault="00EE559E" w:rsidP="00EE559E">
            <w:pPr>
              <w:jc w:val="right"/>
              <w:rPr>
                <w:b/>
                <w:bCs/>
                <w:color w:val="0070C0"/>
                <w:sz w:val="18"/>
                <w:szCs w:val="18"/>
              </w:rPr>
            </w:pPr>
            <w:r w:rsidRPr="00BC65A3">
              <w:rPr>
                <w:b/>
                <w:bCs/>
                <w:sz w:val="18"/>
                <w:szCs w:val="18"/>
              </w:rPr>
              <w:t>294,7</w:t>
            </w:r>
          </w:p>
        </w:tc>
        <w:tc>
          <w:tcPr>
            <w:tcW w:w="1081" w:type="dxa"/>
            <w:tcBorders>
              <w:top w:val="single" w:sz="4" w:space="0" w:color="auto"/>
              <w:left w:val="nil"/>
              <w:bottom w:val="single" w:sz="4" w:space="0" w:color="auto"/>
              <w:right w:val="nil"/>
            </w:tcBorders>
            <w:shd w:val="clear" w:color="auto" w:fill="auto"/>
            <w:noWrap/>
            <w:vAlign w:val="bottom"/>
            <w:hideMark/>
          </w:tcPr>
          <w:p w14:paraId="3B18907B" w14:textId="37F27207" w:rsidR="00EE559E" w:rsidRPr="00C15913" w:rsidRDefault="00EE559E" w:rsidP="00EE559E">
            <w:pPr>
              <w:jc w:val="right"/>
              <w:rPr>
                <w:b/>
                <w:bCs/>
                <w:color w:val="0070C0"/>
                <w:sz w:val="18"/>
                <w:szCs w:val="18"/>
              </w:rPr>
            </w:pPr>
            <w:r>
              <w:rPr>
                <w:b/>
                <w:bCs/>
                <w:sz w:val="18"/>
                <w:szCs w:val="18"/>
              </w:rPr>
              <w:t>-662,4</w:t>
            </w:r>
          </w:p>
        </w:tc>
        <w:tc>
          <w:tcPr>
            <w:tcW w:w="1216" w:type="dxa"/>
            <w:tcBorders>
              <w:top w:val="single" w:sz="4" w:space="0" w:color="auto"/>
              <w:left w:val="nil"/>
              <w:bottom w:val="single" w:sz="4" w:space="0" w:color="auto"/>
              <w:right w:val="nil"/>
            </w:tcBorders>
            <w:shd w:val="clear" w:color="auto" w:fill="auto"/>
            <w:noWrap/>
            <w:vAlign w:val="bottom"/>
            <w:hideMark/>
          </w:tcPr>
          <w:p w14:paraId="386B8831" w14:textId="78365841" w:rsidR="00EE559E" w:rsidRPr="00C15913" w:rsidRDefault="00EE559E" w:rsidP="00EE559E">
            <w:pPr>
              <w:jc w:val="right"/>
              <w:rPr>
                <w:b/>
                <w:bCs/>
                <w:color w:val="0070C0"/>
                <w:sz w:val="18"/>
                <w:szCs w:val="18"/>
              </w:rPr>
            </w:pPr>
            <w:r>
              <w:rPr>
                <w:b/>
                <w:bCs/>
                <w:color w:val="000000"/>
                <w:sz w:val="18"/>
                <w:szCs w:val="18"/>
              </w:rPr>
              <w:t>-641,0</w:t>
            </w:r>
          </w:p>
        </w:tc>
        <w:tc>
          <w:tcPr>
            <w:tcW w:w="1193" w:type="dxa"/>
            <w:tcBorders>
              <w:top w:val="single" w:sz="4" w:space="0" w:color="auto"/>
              <w:left w:val="nil"/>
              <w:bottom w:val="single" w:sz="4" w:space="0" w:color="auto"/>
              <w:right w:val="nil"/>
            </w:tcBorders>
            <w:shd w:val="clear" w:color="auto" w:fill="auto"/>
            <w:noWrap/>
            <w:vAlign w:val="bottom"/>
            <w:hideMark/>
          </w:tcPr>
          <w:p w14:paraId="10548603" w14:textId="7AE972A3" w:rsidR="00EE559E" w:rsidRPr="00C15913" w:rsidRDefault="00EE559E" w:rsidP="00EE559E">
            <w:pPr>
              <w:jc w:val="right"/>
              <w:rPr>
                <w:b/>
                <w:bCs/>
                <w:color w:val="0070C0"/>
                <w:sz w:val="18"/>
                <w:szCs w:val="18"/>
              </w:rPr>
            </w:pPr>
            <w:r>
              <w:rPr>
                <w:b/>
                <w:bCs/>
                <w:color w:val="000000"/>
                <w:sz w:val="18"/>
                <w:szCs w:val="18"/>
              </w:rPr>
              <w:t>-21,4</w:t>
            </w:r>
          </w:p>
        </w:tc>
        <w:tc>
          <w:tcPr>
            <w:tcW w:w="1203" w:type="dxa"/>
            <w:tcBorders>
              <w:top w:val="nil"/>
              <w:left w:val="nil"/>
              <w:bottom w:val="single" w:sz="8" w:space="0" w:color="auto"/>
              <w:right w:val="single" w:sz="8" w:space="0" w:color="auto"/>
            </w:tcBorders>
            <w:shd w:val="clear" w:color="auto" w:fill="auto"/>
            <w:noWrap/>
            <w:vAlign w:val="bottom"/>
            <w:hideMark/>
          </w:tcPr>
          <w:p w14:paraId="15A5DC23" w14:textId="77777777" w:rsidR="00EE559E" w:rsidRPr="00FF6E89" w:rsidRDefault="00EE559E" w:rsidP="00EE559E">
            <w:pPr>
              <w:rPr>
                <w:b/>
                <w:bCs/>
                <w:color w:val="0070C0"/>
                <w:sz w:val="18"/>
                <w:szCs w:val="18"/>
              </w:rPr>
            </w:pPr>
            <w:r w:rsidRPr="00FF6E89">
              <w:rPr>
                <w:b/>
                <w:bCs/>
                <w:color w:val="0070C0"/>
                <w:sz w:val="18"/>
                <w:szCs w:val="18"/>
              </w:rPr>
              <w:t> </w:t>
            </w:r>
          </w:p>
        </w:tc>
      </w:tr>
    </w:tbl>
    <w:p w14:paraId="31EE46AE" w14:textId="77777777" w:rsidR="00222173" w:rsidRPr="00C15913" w:rsidRDefault="00222173" w:rsidP="00222173">
      <w:pPr>
        <w:ind w:left="360"/>
        <w:jc w:val="both"/>
        <w:rPr>
          <w:color w:val="0070C0"/>
          <w:sz w:val="22"/>
        </w:rPr>
      </w:pPr>
    </w:p>
    <w:p w14:paraId="1D1A4EEA" w14:textId="66CBF57D" w:rsidR="00222173" w:rsidRPr="00C15913" w:rsidRDefault="00222173" w:rsidP="00ED2B9A">
      <w:pPr>
        <w:numPr>
          <w:ilvl w:val="1"/>
          <w:numId w:val="10"/>
        </w:numPr>
        <w:tabs>
          <w:tab w:val="num" w:pos="426"/>
        </w:tabs>
        <w:ind w:left="0" w:firstLine="0"/>
        <w:jc w:val="both"/>
        <w:rPr>
          <w:rFonts w:eastAsia="Calibri"/>
          <w:color w:val="0070C0"/>
        </w:rPr>
      </w:pPr>
      <w:r w:rsidRPr="00EF6662">
        <w:rPr>
          <w:b/>
        </w:rPr>
        <w:t>Приходите, помощите и даренията по консолидираната фискална програма</w:t>
      </w:r>
      <w:r w:rsidRPr="00EF6662">
        <w:t xml:space="preserve"> (КФП) за</w:t>
      </w:r>
      <w:r w:rsidRPr="00EF6662">
        <w:rPr>
          <w:b/>
        </w:rPr>
        <w:t xml:space="preserve"> </w:t>
      </w:r>
      <w:r w:rsidR="00AF1248" w:rsidRPr="00EF6662">
        <w:t>първото тримесечие</w:t>
      </w:r>
      <w:r w:rsidRPr="00EF6662">
        <w:t xml:space="preserve"> на 202</w:t>
      </w:r>
      <w:r w:rsidR="00AF1248" w:rsidRPr="00EF6662">
        <w:t>3</w:t>
      </w:r>
      <w:r w:rsidRPr="00EF6662">
        <w:t xml:space="preserve"> г. са в размер на </w:t>
      </w:r>
      <w:r w:rsidR="00AF1248" w:rsidRPr="00AB241B">
        <w:rPr>
          <w:b/>
          <w:bCs/>
          <w:lang w:val="ru-RU"/>
        </w:rPr>
        <w:t>14</w:t>
      </w:r>
      <w:r w:rsidR="00AF1248" w:rsidRPr="00EF6662">
        <w:rPr>
          <w:b/>
          <w:bCs/>
          <w:lang w:val="en-US"/>
        </w:rPr>
        <w:t> </w:t>
      </w:r>
      <w:r w:rsidR="00AF1248" w:rsidRPr="00AB241B">
        <w:rPr>
          <w:b/>
          <w:bCs/>
          <w:lang w:val="ru-RU"/>
        </w:rPr>
        <w:t>691</w:t>
      </w:r>
      <w:r w:rsidR="00AF1248" w:rsidRPr="00EF6662">
        <w:rPr>
          <w:b/>
          <w:bCs/>
        </w:rPr>
        <w:t>,8 </w:t>
      </w:r>
      <w:r w:rsidRPr="00EF6662">
        <w:rPr>
          <w:b/>
          <w:bCs/>
          <w:lang w:eastAsia="bg-BG"/>
        </w:rPr>
        <w:t>млн. лв</w:t>
      </w:r>
      <w:r w:rsidRPr="00EF6662">
        <w:rPr>
          <w:bCs/>
          <w:lang w:eastAsia="bg-BG"/>
        </w:rPr>
        <w:t>.</w:t>
      </w:r>
      <w:r w:rsidR="00AF1248" w:rsidRPr="00EF6662">
        <w:rPr>
          <w:bCs/>
          <w:lang w:eastAsia="bg-BG"/>
        </w:rPr>
        <w:t xml:space="preserve"> </w:t>
      </w:r>
      <w:r w:rsidR="00E44378" w:rsidRPr="00FF69FA">
        <w:rPr>
          <w:rFonts w:eastAsia="Calibri"/>
        </w:rPr>
        <w:t>Постъпленията нарастват с 2 308,2 млн. лв. (18,6 %) спрямо отчетените към март 2022 г. Данъчните и неданъчните приходи по КФП нарастват номинално с 2 355,2 млн. лв.</w:t>
      </w:r>
      <w:r w:rsidR="00E44378" w:rsidRPr="00FF69FA">
        <w:rPr>
          <w:rFonts w:eastAsia="Calibri"/>
          <w:lang w:val="ru-RU"/>
        </w:rPr>
        <w:t xml:space="preserve"> </w:t>
      </w:r>
      <w:r w:rsidR="00E44378" w:rsidRPr="00FF69FA">
        <w:rPr>
          <w:rFonts w:eastAsia="Calibri"/>
        </w:rPr>
        <w:t xml:space="preserve">(вкл. поради базов ефект от постъпващи от началото на 2023 г. </w:t>
      </w:r>
      <w:r w:rsidR="00E44378" w:rsidRPr="00FF69FA">
        <w:t>целеви вноски във Фонд "Сигурност на електроенергийната система" от производителите и търговците на електрическа енергия, в изпълнение на § 8 от ПЗР на Закона за прилагане на разпоредби на ЗДБРБ за 2022 г., ЗБДОО за 2022 г. и ЗБНЗОК за 2022 г.)</w:t>
      </w:r>
      <w:r w:rsidR="00E44378" w:rsidRPr="00FF69FA">
        <w:rPr>
          <w:rFonts w:eastAsia="Calibri"/>
        </w:rPr>
        <w:t>, а постъпленията в частта на помощите и даренията (основно грантове по програмите и фондовете на ЕС) са по-малко с 47,0 млн. лв. спрямо отчетените за същия период на предходната година</w:t>
      </w:r>
      <w:r w:rsidR="00E44378" w:rsidRPr="00FF69FA">
        <w:t>.</w:t>
      </w:r>
    </w:p>
    <w:p w14:paraId="15522859" w14:textId="62037868" w:rsidR="00222173" w:rsidRPr="00EF6662" w:rsidRDefault="00222173" w:rsidP="00222173">
      <w:pPr>
        <w:spacing w:before="120"/>
        <w:jc w:val="both"/>
      </w:pPr>
      <w:r w:rsidRPr="00EF6662">
        <w:t>Общата сума</w:t>
      </w:r>
      <w:r w:rsidRPr="00EF6662">
        <w:rPr>
          <w:b/>
        </w:rPr>
        <w:t xml:space="preserve"> </w:t>
      </w:r>
      <w:r w:rsidRPr="00EF6662">
        <w:t>на</w:t>
      </w:r>
      <w:r w:rsidRPr="00EF6662">
        <w:rPr>
          <w:b/>
        </w:rPr>
        <w:t xml:space="preserve"> </w:t>
      </w:r>
      <w:r w:rsidRPr="00EF6662">
        <w:rPr>
          <w:b/>
          <w:i/>
        </w:rPr>
        <w:t>данъчните постъпления</w:t>
      </w:r>
      <w:r w:rsidRPr="00EF6662">
        <w:t xml:space="preserve"> (вкл. приходите от осигурителни вноски) са в размер на </w:t>
      </w:r>
      <w:r w:rsidR="00EF6662" w:rsidRPr="00EF6662">
        <w:rPr>
          <w:b/>
          <w:i/>
        </w:rPr>
        <w:t xml:space="preserve">11 817,2 </w:t>
      </w:r>
      <w:r w:rsidRPr="00EF6662">
        <w:rPr>
          <w:b/>
          <w:i/>
        </w:rPr>
        <w:t>млн. лв</w:t>
      </w:r>
      <w:r w:rsidRPr="00EF6662">
        <w:rPr>
          <w:i/>
        </w:rPr>
        <w:t>.</w:t>
      </w:r>
      <w:r w:rsidR="00E44378" w:rsidRPr="00E44378">
        <w:t xml:space="preserve"> Постъпленията от данъци и осигурителни вноски нарастват с 1 942,0 млн.</w:t>
      </w:r>
      <w:r w:rsidR="00E44378">
        <w:t> </w:t>
      </w:r>
      <w:r w:rsidR="00E44378" w:rsidRPr="00E44378">
        <w:t>лв. (19,7 %) спрямо отчетените за същия период на предходната година, като формират 80,4 % от общите постъпления по КФП за периода.</w:t>
      </w:r>
      <w:r w:rsidRPr="00EF6662">
        <w:t xml:space="preserve"> </w:t>
      </w:r>
    </w:p>
    <w:p w14:paraId="0BE2A0CC" w14:textId="27B0C30F" w:rsidR="00222173" w:rsidRPr="00E44378" w:rsidRDefault="00E1449F" w:rsidP="00222173">
      <w:pPr>
        <w:spacing w:before="120"/>
        <w:jc w:val="both"/>
        <w:rPr>
          <w:color w:val="0070C0"/>
        </w:rPr>
      </w:pPr>
      <w:r w:rsidRPr="00623BB5">
        <w:t xml:space="preserve">Приходите в частта на </w:t>
      </w:r>
      <w:r w:rsidRPr="00E44378">
        <w:rPr>
          <w:i/>
        </w:rPr>
        <w:t xml:space="preserve">преките </w:t>
      </w:r>
      <w:r w:rsidR="00E44378" w:rsidRPr="00E44378">
        <w:rPr>
          <w:i/>
        </w:rPr>
        <w:t xml:space="preserve">данъци </w:t>
      </w:r>
      <w:r w:rsidR="00E44378" w:rsidRPr="00E44378">
        <w:t xml:space="preserve">възлизат на 1 426,2 млн. лв., като нарастват със </w:t>
      </w:r>
      <w:r w:rsidR="00E44378" w:rsidRPr="00E44378">
        <w:rPr>
          <w:rFonts w:eastAsia="Calibri"/>
        </w:rPr>
        <w:t xml:space="preserve">178,7 млн. лв. </w:t>
      </w:r>
      <w:r w:rsidR="00E44378" w:rsidRPr="00E44378">
        <w:rPr>
          <w:rFonts w:eastAsia="Calibri"/>
          <w:lang w:val="ru-RU"/>
        </w:rPr>
        <w:t>(</w:t>
      </w:r>
      <w:r w:rsidR="00E44378" w:rsidRPr="00E44378">
        <w:rPr>
          <w:rFonts w:eastAsia="Calibri"/>
        </w:rPr>
        <w:t>14,3 %</w:t>
      </w:r>
      <w:r w:rsidR="00E44378" w:rsidRPr="00E44378">
        <w:rPr>
          <w:rFonts w:eastAsia="Calibri"/>
          <w:lang w:val="ru-RU"/>
        </w:rPr>
        <w:t xml:space="preserve">) спрямо </w:t>
      </w:r>
      <w:r w:rsidR="00E44378" w:rsidRPr="00E44378">
        <w:t xml:space="preserve">отчетените към март 2022 г. Приходите от </w:t>
      </w:r>
      <w:r w:rsidR="00E44378" w:rsidRPr="00E44378">
        <w:rPr>
          <w:i/>
        </w:rPr>
        <w:t>косвени данъци</w:t>
      </w:r>
      <w:r w:rsidR="00E44378" w:rsidRPr="00E44378">
        <w:t xml:space="preserve"> са в размер на 5 697,0 </w:t>
      </w:r>
      <w:r w:rsidR="00E44378" w:rsidRPr="00E44378">
        <w:rPr>
          <w:rFonts w:eastAsia="Calibri"/>
          <w:bCs/>
          <w:iCs/>
        </w:rPr>
        <w:t>млн. лв.</w:t>
      </w:r>
      <w:r w:rsidR="00E44378" w:rsidRPr="00E44378">
        <w:rPr>
          <w:rFonts w:eastAsia="Calibri"/>
        </w:rPr>
        <w:t xml:space="preserve"> </w:t>
      </w:r>
      <w:r w:rsidR="00E44378" w:rsidRPr="00E44378">
        <w:t xml:space="preserve">(ръст от 508,7 млн. лв., 9,8 % спрямо отчетените към март 2022 г.). Постъпленията от </w:t>
      </w:r>
      <w:r w:rsidR="00E44378" w:rsidRPr="00E44378">
        <w:rPr>
          <w:i/>
        </w:rPr>
        <w:t>други данъци</w:t>
      </w:r>
      <w:r w:rsidR="00E44378" w:rsidRPr="00E44378">
        <w:t xml:space="preserve"> (включват други данъци по ЗКПО, имуществени и др. данъци) са в размер на </w:t>
      </w:r>
      <w:r w:rsidR="00E44378" w:rsidRPr="00E44378">
        <w:rPr>
          <w:lang w:val="ru-RU"/>
        </w:rPr>
        <w:t>1 079,2</w:t>
      </w:r>
      <w:r w:rsidR="00E44378" w:rsidRPr="00E44378">
        <w:t> млн. лв. (в т. ч. 552,5 млн. лв. целеви вноски във Фонд "Сигурност на електроенергийната система") или ръст от 690,4 млн. лв. спрямо отчетените към март 2022 г. Приходите от социални и здравноосигурителни вноски са в размер на 3 614,8 млн. лв., което представлява ръст от 564,2 млн. лв. (18,5 %) спрямо отчетените за същия период на 2022 година.</w:t>
      </w:r>
      <w:r w:rsidR="00222173" w:rsidRPr="00E44378">
        <w:rPr>
          <w:color w:val="0070C0"/>
        </w:rPr>
        <w:t xml:space="preserve"> </w:t>
      </w:r>
    </w:p>
    <w:p w14:paraId="103F6A02" w14:textId="70CBB6A9" w:rsidR="00222173" w:rsidRPr="00122BBB" w:rsidRDefault="00DD6801" w:rsidP="00222173">
      <w:pPr>
        <w:spacing w:before="120"/>
        <w:jc w:val="both"/>
      </w:pPr>
      <w:r w:rsidRPr="00122BBB">
        <w:rPr>
          <w:rFonts w:eastAsia="Calibri"/>
          <w:b/>
          <w:bCs/>
          <w:i/>
        </w:rPr>
        <w:t>Неданъчните приходи</w:t>
      </w:r>
      <w:r w:rsidRPr="00122BBB">
        <w:rPr>
          <w:rFonts w:eastAsia="Calibri"/>
          <w:bCs/>
        </w:rPr>
        <w:t xml:space="preserve"> </w:t>
      </w:r>
      <w:r w:rsidR="00122BBB" w:rsidRPr="00122BBB">
        <w:rPr>
          <w:rFonts w:eastAsia="Calibri"/>
          <w:bCs/>
        </w:rPr>
        <w:t xml:space="preserve">са в размер на </w:t>
      </w:r>
      <w:r w:rsidR="00122BBB" w:rsidRPr="00122BBB">
        <w:rPr>
          <w:rFonts w:eastAsia="Calibri"/>
          <w:b/>
          <w:bCs/>
          <w:i/>
        </w:rPr>
        <w:t>2 440,5 млн. лв</w:t>
      </w:r>
      <w:r w:rsidR="00E44378">
        <w:rPr>
          <w:rFonts w:eastAsia="Calibri"/>
          <w:b/>
          <w:bCs/>
          <w:i/>
        </w:rPr>
        <w:t xml:space="preserve">. </w:t>
      </w:r>
      <w:r w:rsidR="00E44378" w:rsidRPr="00F1405A">
        <w:rPr>
          <w:rFonts w:eastAsia="Calibri"/>
        </w:rPr>
        <w:t>(ръст от 413,2 млн. лв., 20,4 % спрямо същия период на</w:t>
      </w:r>
      <w:r w:rsidR="00E44378" w:rsidRPr="00F1405A">
        <w:t xml:space="preserve"> 2022 г.</w:t>
      </w:r>
      <w:r w:rsidR="00E44378" w:rsidRPr="00F1405A">
        <w:rPr>
          <w:rFonts w:eastAsia="Calibri"/>
        </w:rPr>
        <w:t>)</w:t>
      </w:r>
      <w:r w:rsidR="00E44378" w:rsidRPr="00F1405A">
        <w:rPr>
          <w:rFonts w:eastAsia="Calibri"/>
          <w:bCs/>
        </w:rPr>
        <w:t xml:space="preserve"> 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00E44378" w:rsidRPr="00F1405A">
        <w:rPr>
          <w:rFonts w:eastAsia="Calibri"/>
        </w:rPr>
        <w:t>.</w:t>
      </w:r>
      <w:r w:rsidR="00222173" w:rsidRPr="00122BBB">
        <w:t xml:space="preserve"> </w:t>
      </w:r>
    </w:p>
    <w:p w14:paraId="6BD29588" w14:textId="49A87783" w:rsidR="00222173" w:rsidRPr="00171333" w:rsidRDefault="00222173" w:rsidP="00222173">
      <w:pPr>
        <w:spacing w:before="120" w:after="120"/>
        <w:jc w:val="both"/>
      </w:pPr>
      <w:r w:rsidRPr="00171333">
        <w:t xml:space="preserve">Постъпленията от </w:t>
      </w:r>
      <w:r w:rsidRPr="00171333">
        <w:rPr>
          <w:b/>
          <w:i/>
        </w:rPr>
        <w:t>помощи</w:t>
      </w:r>
      <w:r w:rsidRPr="00171333">
        <w:t xml:space="preserve"> </w:t>
      </w:r>
      <w:r w:rsidRPr="00171333">
        <w:rPr>
          <w:b/>
          <w:i/>
        </w:rPr>
        <w:t xml:space="preserve">и дарения </w:t>
      </w:r>
      <w:r w:rsidRPr="00171333">
        <w:t xml:space="preserve">от страната и чужбина (основно помощи от фондовете на ЕС) към </w:t>
      </w:r>
      <w:r w:rsidR="00171333" w:rsidRPr="00171333">
        <w:t>март</w:t>
      </w:r>
      <w:r w:rsidRPr="00171333">
        <w:t xml:space="preserve"> 202</w:t>
      </w:r>
      <w:r w:rsidR="00171333" w:rsidRPr="00171333">
        <w:t>3</w:t>
      </w:r>
      <w:r w:rsidRPr="00171333">
        <w:t xml:space="preserve"> г. са в размер на </w:t>
      </w:r>
      <w:r w:rsidR="00171333" w:rsidRPr="00171333">
        <w:rPr>
          <w:b/>
          <w:i/>
        </w:rPr>
        <w:t>434,1</w:t>
      </w:r>
      <w:r w:rsidRPr="00171333">
        <w:rPr>
          <w:b/>
          <w:i/>
        </w:rPr>
        <w:t xml:space="preserve"> млн. лева</w:t>
      </w:r>
      <w:r w:rsidRPr="00171333">
        <w:rPr>
          <w:b/>
        </w:rPr>
        <w:t>.</w:t>
      </w:r>
      <w:r w:rsidRPr="00171333">
        <w:t xml:space="preserve"> </w:t>
      </w:r>
    </w:p>
    <w:p w14:paraId="184CC919" w14:textId="7AF56914" w:rsidR="003973DD" w:rsidRPr="008F3E98" w:rsidRDefault="00222173" w:rsidP="008F3E98">
      <w:pPr>
        <w:pStyle w:val="ListParagraph"/>
        <w:numPr>
          <w:ilvl w:val="0"/>
          <w:numId w:val="24"/>
        </w:numPr>
        <w:tabs>
          <w:tab w:val="left" w:pos="426"/>
        </w:tabs>
        <w:spacing w:line="240" w:lineRule="auto"/>
        <w:ind w:left="0" w:firstLine="0"/>
        <w:rPr>
          <w:rFonts w:ascii="Times New Roman" w:eastAsia="Calibri" w:hAnsi="Times New Roman"/>
        </w:rPr>
      </w:pPr>
      <w:r w:rsidRPr="008F3E98">
        <w:rPr>
          <w:rFonts w:ascii="Times New Roman" w:eastAsia="Calibri" w:hAnsi="Times New Roman"/>
          <w:b/>
        </w:rPr>
        <w:t xml:space="preserve">Разходите </w:t>
      </w:r>
      <w:r w:rsidRPr="008F3E98">
        <w:rPr>
          <w:rFonts w:ascii="Times New Roman" w:eastAsia="Calibri" w:hAnsi="Times New Roman"/>
        </w:rPr>
        <w:t xml:space="preserve">по КФП (вкл. вноската на Република България в бюджета на ЕС) към </w:t>
      </w:r>
      <w:r w:rsidR="008F3E98" w:rsidRPr="008F3E98">
        <w:rPr>
          <w:rFonts w:ascii="Times New Roman" w:eastAsia="Calibri" w:hAnsi="Times New Roman"/>
        </w:rPr>
        <w:t>март</w:t>
      </w:r>
      <w:r w:rsidRPr="008F3E98">
        <w:rPr>
          <w:rFonts w:ascii="Times New Roman" w:eastAsia="Calibri" w:hAnsi="Times New Roman"/>
        </w:rPr>
        <w:t xml:space="preserve"> 202</w:t>
      </w:r>
      <w:r w:rsidR="008F3E98" w:rsidRPr="008F3E98">
        <w:rPr>
          <w:rFonts w:ascii="Times New Roman" w:eastAsia="Calibri" w:hAnsi="Times New Roman"/>
        </w:rPr>
        <w:t>3</w:t>
      </w:r>
      <w:r w:rsidRPr="008F3E98">
        <w:rPr>
          <w:rFonts w:ascii="Times New Roman" w:eastAsia="Calibri" w:hAnsi="Times New Roman"/>
        </w:rPr>
        <w:t> г. възлизат на</w:t>
      </w:r>
      <w:r w:rsidRPr="008F3E98">
        <w:rPr>
          <w:rFonts w:ascii="Times New Roman" w:eastAsia="Calibri" w:hAnsi="Times New Roman"/>
          <w:b/>
        </w:rPr>
        <w:t xml:space="preserve"> </w:t>
      </w:r>
      <w:r w:rsidR="008F3E98" w:rsidRPr="008F3E98">
        <w:rPr>
          <w:rFonts w:ascii="Times New Roman" w:eastAsia="Calibri" w:hAnsi="Times New Roman"/>
          <w:b/>
        </w:rPr>
        <w:t xml:space="preserve">15 354,3 млн. лв. </w:t>
      </w:r>
      <w:r w:rsidR="00455072" w:rsidRPr="00455072">
        <w:rPr>
          <w:rFonts w:ascii="Times New Roman" w:eastAsia="Calibri" w:hAnsi="Times New Roman"/>
        </w:rPr>
        <w:t>За сравнение</w:t>
      </w:r>
      <w:r w:rsidR="00922902">
        <w:rPr>
          <w:rFonts w:ascii="Times New Roman" w:eastAsia="Calibri" w:hAnsi="Times New Roman"/>
        </w:rPr>
        <w:t>,</w:t>
      </w:r>
      <w:r w:rsidR="00455072" w:rsidRPr="00455072">
        <w:rPr>
          <w:rFonts w:ascii="Times New Roman" w:eastAsia="Calibri" w:hAnsi="Times New Roman"/>
        </w:rPr>
        <w:t xml:space="preserve"> разходите по КФП към март 2022 г. бяха в размер на 12 088,9 млн. лева. В номинално изражение разходите нарастват спрямо първите три месеца на 2022 г. с 3 265,4 млн. лв. (27,0 %). В отделните разходни показатели най-значително нарастване има при разходите за пенсии</w:t>
      </w:r>
      <w:r w:rsidR="00455072" w:rsidRPr="00455072">
        <w:rPr>
          <w:rFonts w:ascii="Times New Roman" w:eastAsia="Calibri" w:hAnsi="Times New Roman"/>
          <w:lang w:val="ru-RU"/>
        </w:rPr>
        <w:t xml:space="preserve"> (1</w:t>
      </w:r>
      <w:r w:rsidR="00455072" w:rsidRPr="00455072">
        <w:rPr>
          <w:rFonts w:ascii="Times New Roman" w:eastAsia="Calibri" w:hAnsi="Times New Roman"/>
          <w:lang w:val="en-US"/>
        </w:rPr>
        <w:t> </w:t>
      </w:r>
      <w:r w:rsidR="00455072" w:rsidRPr="00455072">
        <w:rPr>
          <w:rFonts w:ascii="Times New Roman" w:eastAsia="Calibri" w:hAnsi="Times New Roman"/>
          <w:lang w:val="ru-RU"/>
        </w:rPr>
        <w:t xml:space="preserve">050,2 </w:t>
      </w:r>
      <w:r w:rsidR="00455072" w:rsidRPr="00455072">
        <w:rPr>
          <w:rFonts w:ascii="Times New Roman" w:eastAsia="Calibri" w:hAnsi="Times New Roman"/>
        </w:rPr>
        <w:t>млн. лв.</w:t>
      </w:r>
      <w:r w:rsidR="00455072" w:rsidRPr="00455072">
        <w:rPr>
          <w:rFonts w:ascii="Times New Roman" w:eastAsia="Calibri" w:hAnsi="Times New Roman"/>
          <w:lang w:val="ru-RU"/>
        </w:rPr>
        <w:t>)</w:t>
      </w:r>
      <w:r w:rsidR="00455072" w:rsidRPr="00455072">
        <w:rPr>
          <w:rFonts w:ascii="Times New Roman" w:eastAsia="Calibri" w:hAnsi="Times New Roman"/>
        </w:rPr>
        <w:t xml:space="preserve">, както и в частта на разходите за издръжка </w:t>
      </w:r>
      <w:r w:rsidR="00455072" w:rsidRPr="00455072">
        <w:rPr>
          <w:rFonts w:ascii="Times New Roman" w:eastAsia="Calibri" w:hAnsi="Times New Roman"/>
          <w:lang w:val="ru-RU"/>
        </w:rPr>
        <w:t xml:space="preserve">(652,6 </w:t>
      </w:r>
      <w:r w:rsidR="00455072" w:rsidRPr="00455072">
        <w:rPr>
          <w:rFonts w:ascii="Times New Roman" w:eastAsia="Calibri" w:hAnsi="Times New Roman"/>
        </w:rPr>
        <w:t>млн. лв.</w:t>
      </w:r>
      <w:r w:rsidR="00455072" w:rsidRPr="00455072">
        <w:rPr>
          <w:rFonts w:ascii="Times New Roman" w:eastAsia="Calibri" w:hAnsi="Times New Roman"/>
          <w:lang w:val="ru-RU"/>
        </w:rPr>
        <w:t>)</w:t>
      </w:r>
      <w:r w:rsidR="00455072" w:rsidRPr="00455072">
        <w:rPr>
          <w:rFonts w:ascii="Times New Roman" w:eastAsia="Calibri" w:hAnsi="Times New Roman"/>
        </w:rPr>
        <w:t xml:space="preserve">, разходите за персонал </w:t>
      </w:r>
      <w:r w:rsidR="00455072" w:rsidRPr="00455072">
        <w:rPr>
          <w:rFonts w:ascii="Times New Roman" w:eastAsia="Calibri" w:hAnsi="Times New Roman"/>
          <w:lang w:val="ru-RU"/>
        </w:rPr>
        <w:t xml:space="preserve">(628,2 </w:t>
      </w:r>
      <w:r w:rsidR="00455072" w:rsidRPr="00455072">
        <w:rPr>
          <w:rFonts w:ascii="Times New Roman" w:eastAsia="Calibri" w:hAnsi="Times New Roman"/>
        </w:rPr>
        <w:t>млн. лв.</w:t>
      </w:r>
      <w:r w:rsidR="00455072" w:rsidRPr="00455072">
        <w:rPr>
          <w:rFonts w:ascii="Times New Roman" w:eastAsia="Calibri" w:hAnsi="Times New Roman"/>
          <w:lang w:val="ru-RU"/>
        </w:rPr>
        <w:t>)</w:t>
      </w:r>
      <w:r w:rsidR="00455072" w:rsidRPr="00455072">
        <w:rPr>
          <w:rFonts w:ascii="Times New Roman" w:eastAsia="Calibri" w:hAnsi="Times New Roman"/>
        </w:rPr>
        <w:t xml:space="preserve">, разходите за субсидии </w:t>
      </w:r>
      <w:r w:rsidR="00455072" w:rsidRPr="00455072">
        <w:rPr>
          <w:rFonts w:ascii="Times New Roman" w:eastAsia="Calibri" w:hAnsi="Times New Roman"/>
          <w:lang w:val="ru-RU"/>
        </w:rPr>
        <w:t>(604,8</w:t>
      </w:r>
      <w:r w:rsidR="006D7A8B">
        <w:rPr>
          <w:rFonts w:ascii="Times New Roman" w:eastAsia="Calibri" w:hAnsi="Times New Roman"/>
          <w:lang w:val="ru-RU"/>
        </w:rPr>
        <w:t> </w:t>
      </w:r>
      <w:r w:rsidR="00455072" w:rsidRPr="00455072">
        <w:rPr>
          <w:rFonts w:ascii="Times New Roman" w:eastAsia="Calibri" w:hAnsi="Times New Roman"/>
        </w:rPr>
        <w:t>млн. лв.</w:t>
      </w:r>
      <w:r w:rsidR="00455072" w:rsidRPr="00455072">
        <w:rPr>
          <w:rFonts w:ascii="Times New Roman" w:eastAsia="Calibri" w:hAnsi="Times New Roman"/>
          <w:lang w:val="ru-RU"/>
        </w:rPr>
        <w:t>)</w:t>
      </w:r>
      <w:r w:rsidR="00455072" w:rsidRPr="00455072">
        <w:rPr>
          <w:rFonts w:ascii="Times New Roman" w:eastAsia="Calibri" w:hAnsi="Times New Roman"/>
        </w:rPr>
        <w:t xml:space="preserve"> и други. Ръстът на разходите се дължи на влезли в сила нормативни актове, вкл. промени в пенсионната сфера, действащи програми за изплащане на компенсации на потребителите на електрическа енергия, разплащане на задължения по бюджета на МРРБ, влезли в сила увеличени размери на възнагражденията в редица администрации и други.</w:t>
      </w:r>
    </w:p>
    <w:p w14:paraId="33FFE37E" w14:textId="3A0C136E" w:rsidR="00222173" w:rsidRPr="00C15913" w:rsidRDefault="00222173" w:rsidP="003973DD">
      <w:pPr>
        <w:spacing w:before="120" w:after="120"/>
        <w:jc w:val="both"/>
        <w:rPr>
          <w:color w:val="0070C0"/>
        </w:rPr>
      </w:pPr>
      <w:r w:rsidRPr="00375A02">
        <w:rPr>
          <w:b/>
          <w:i/>
        </w:rPr>
        <w:t>Нелихвените разходи</w:t>
      </w:r>
      <w:r w:rsidRPr="00375A02">
        <w:t xml:space="preserve"> </w:t>
      </w:r>
      <w:r w:rsidR="00375A02" w:rsidRPr="00375A02">
        <w:t xml:space="preserve">към март 2023 г. са в размер на </w:t>
      </w:r>
      <w:r w:rsidR="00375A02" w:rsidRPr="00375A02">
        <w:rPr>
          <w:lang w:val="ru-RU"/>
        </w:rPr>
        <w:t>14 595,9</w:t>
      </w:r>
      <w:r w:rsidR="00375A02" w:rsidRPr="00375A02">
        <w:t xml:space="preserve"> млн. лв</w:t>
      </w:r>
      <w:r w:rsidR="0005284D">
        <w:t>.,</w:t>
      </w:r>
      <w:r w:rsidR="00455072" w:rsidRPr="00455072">
        <w:rPr>
          <w:rFonts w:eastAsia="Calibri"/>
          <w:bCs/>
        </w:rPr>
        <w:t xml:space="preserve"> </w:t>
      </w:r>
      <w:r w:rsidR="00455072" w:rsidRPr="008E73A7">
        <w:rPr>
          <w:rFonts w:eastAsia="Calibri"/>
          <w:bCs/>
        </w:rPr>
        <w:t xml:space="preserve">като нарастват с </w:t>
      </w:r>
      <w:r w:rsidR="00455072" w:rsidRPr="00933390">
        <w:rPr>
          <w:rFonts w:eastAsia="Calibri"/>
          <w:bCs/>
          <w:lang w:val="ru-RU"/>
        </w:rPr>
        <w:t>3</w:t>
      </w:r>
      <w:r w:rsidR="00455072" w:rsidRPr="008E73A7">
        <w:rPr>
          <w:rFonts w:eastAsia="Calibri"/>
          <w:bCs/>
          <w:lang w:val="en-US"/>
        </w:rPr>
        <w:t> </w:t>
      </w:r>
      <w:r w:rsidR="00455072" w:rsidRPr="00933390">
        <w:rPr>
          <w:rFonts w:eastAsia="Calibri"/>
          <w:bCs/>
          <w:lang w:val="ru-RU"/>
        </w:rPr>
        <w:t>24</w:t>
      </w:r>
      <w:r w:rsidR="00455072">
        <w:rPr>
          <w:rFonts w:eastAsia="Calibri"/>
          <w:bCs/>
        </w:rPr>
        <w:t>4</w:t>
      </w:r>
      <w:r w:rsidR="00455072" w:rsidRPr="008E73A7">
        <w:rPr>
          <w:rFonts w:eastAsia="Calibri"/>
          <w:bCs/>
        </w:rPr>
        <w:t>,6</w:t>
      </w:r>
      <w:r w:rsidR="00955C91">
        <w:rPr>
          <w:rFonts w:eastAsia="Calibri"/>
          <w:bCs/>
        </w:rPr>
        <w:t> </w:t>
      </w:r>
      <w:r w:rsidR="00455072" w:rsidRPr="008E73A7">
        <w:rPr>
          <w:rFonts w:eastAsia="Calibri"/>
          <w:bCs/>
        </w:rPr>
        <w:t xml:space="preserve">млн. лв. </w:t>
      </w:r>
      <w:r w:rsidR="00455072" w:rsidRPr="008E73A7">
        <w:rPr>
          <w:rFonts w:eastAsia="Calibri"/>
          <w:bCs/>
          <w:lang w:val="ru-RU"/>
        </w:rPr>
        <w:t>(</w:t>
      </w:r>
      <w:r w:rsidR="00455072" w:rsidRPr="008E73A7">
        <w:rPr>
          <w:rFonts w:eastAsia="Calibri"/>
          <w:bCs/>
        </w:rPr>
        <w:t xml:space="preserve">28,6 </w:t>
      </w:r>
      <w:r w:rsidR="00455072" w:rsidRPr="008E73A7">
        <w:rPr>
          <w:rFonts w:eastAsia="Calibri"/>
          <w:bCs/>
          <w:lang w:val="ru-RU"/>
        </w:rPr>
        <w:t xml:space="preserve">%) </w:t>
      </w:r>
      <w:r w:rsidR="00455072" w:rsidRPr="008E73A7">
        <w:rPr>
          <w:rFonts w:eastAsia="Calibri"/>
          <w:bCs/>
        </w:rPr>
        <w:t>спрямо отчетените към март 2022 г.</w:t>
      </w:r>
      <w:r w:rsidR="00455072" w:rsidRPr="008E73A7">
        <w:t xml:space="preserve"> </w:t>
      </w:r>
      <w:r w:rsidR="00455072" w:rsidRPr="008E73A7">
        <w:rPr>
          <w:i/>
        </w:rPr>
        <w:t>Текущите нелихвени разходи</w:t>
      </w:r>
      <w:r w:rsidR="00455072" w:rsidRPr="008E73A7">
        <w:t xml:space="preserve"> са в размер на 13 659,9 млн. лв. </w:t>
      </w:r>
      <w:r w:rsidR="00455072" w:rsidRPr="008E73A7">
        <w:rPr>
          <w:i/>
        </w:rPr>
        <w:t>Капиталовите разходи</w:t>
      </w:r>
      <w:r w:rsidR="00455072" w:rsidRPr="008E73A7">
        <w:t xml:space="preserve"> (вкл. нетния прираст на държавния резерв) възлизат на </w:t>
      </w:r>
      <w:r w:rsidR="00455072" w:rsidRPr="008E73A7">
        <w:rPr>
          <w:lang w:val="ru-RU"/>
        </w:rPr>
        <w:t>929,0</w:t>
      </w:r>
      <w:r w:rsidR="00455072" w:rsidRPr="008E73A7">
        <w:t xml:space="preserve"> млн. лв. </w:t>
      </w:r>
      <w:r w:rsidR="00455072" w:rsidRPr="008E73A7">
        <w:rPr>
          <w:i/>
        </w:rPr>
        <w:t>Предоставените текущи и капиталови трансфери за чужбина</w:t>
      </w:r>
      <w:r w:rsidR="00455072" w:rsidRPr="008E73A7">
        <w:t xml:space="preserve"> са в размер на 7,0 млн. лв. </w:t>
      </w:r>
      <w:r w:rsidR="00455072" w:rsidRPr="008E73A7">
        <w:rPr>
          <w:b/>
          <w:i/>
        </w:rPr>
        <w:t>Лихвените плащания</w:t>
      </w:r>
      <w:r w:rsidR="00455072" w:rsidRPr="008E73A7">
        <w:t xml:space="preserve"> са в размер на 303,1 млн. лв.</w:t>
      </w:r>
      <w:r w:rsidR="00455072">
        <w:t>, което е намаление от</w:t>
      </w:r>
      <w:r w:rsidR="00455072" w:rsidRPr="008E73A7">
        <w:rPr>
          <w:rFonts w:eastAsia="Calibri"/>
          <w:bCs/>
        </w:rPr>
        <w:t xml:space="preserve"> 32,7 млн. лв., 9,7</w:t>
      </w:r>
      <w:r w:rsidR="00455072" w:rsidRPr="008E73A7">
        <w:rPr>
          <w:rFonts w:eastAsia="Calibri"/>
          <w:bCs/>
          <w:lang w:val="en-US"/>
        </w:rPr>
        <w:t> </w:t>
      </w:r>
      <w:r w:rsidR="00455072" w:rsidRPr="008E73A7">
        <w:rPr>
          <w:rFonts w:eastAsia="Calibri"/>
          <w:bCs/>
        </w:rPr>
        <w:t>% спрямо дан</w:t>
      </w:r>
      <w:r w:rsidR="00455072">
        <w:rPr>
          <w:rFonts w:eastAsia="Calibri"/>
          <w:bCs/>
        </w:rPr>
        <w:t>н</w:t>
      </w:r>
      <w:r w:rsidR="00455072" w:rsidRPr="008E73A7">
        <w:rPr>
          <w:rFonts w:eastAsia="Calibri"/>
          <w:bCs/>
        </w:rPr>
        <w:t>ите към март 2022 г.</w:t>
      </w:r>
    </w:p>
    <w:p w14:paraId="7AC73AED" w14:textId="2A863C3C" w:rsidR="00222173" w:rsidRPr="000C773E" w:rsidRDefault="00222173" w:rsidP="00ED2B9A">
      <w:pPr>
        <w:pStyle w:val="ListParagraph"/>
        <w:numPr>
          <w:ilvl w:val="0"/>
          <w:numId w:val="24"/>
        </w:numPr>
        <w:tabs>
          <w:tab w:val="left" w:pos="426"/>
        </w:tabs>
        <w:spacing w:before="120" w:line="240" w:lineRule="auto"/>
        <w:ind w:left="0" w:firstLine="0"/>
        <w:contextualSpacing w:val="0"/>
        <w:rPr>
          <w:rFonts w:ascii="Times New Roman" w:hAnsi="Times New Roman"/>
        </w:rPr>
      </w:pPr>
      <w:r w:rsidRPr="000C773E">
        <w:rPr>
          <w:rFonts w:ascii="Times New Roman" w:hAnsi="Times New Roman"/>
          <w:b/>
        </w:rPr>
        <w:t>Частта от вноската на Република България в общия бюджет на ЕС</w:t>
      </w:r>
      <w:r w:rsidRPr="000C773E">
        <w:rPr>
          <w:rFonts w:ascii="Times New Roman" w:hAnsi="Times New Roman"/>
        </w:rPr>
        <w:t xml:space="preserve">, изплатена към </w:t>
      </w:r>
      <w:r w:rsidR="000C773E" w:rsidRPr="000C773E">
        <w:rPr>
          <w:rFonts w:ascii="Times New Roman" w:hAnsi="Times New Roman"/>
        </w:rPr>
        <w:t>31</w:t>
      </w:r>
      <w:r w:rsidRPr="000C773E">
        <w:rPr>
          <w:rFonts w:ascii="Times New Roman" w:hAnsi="Times New Roman"/>
        </w:rPr>
        <w:t>.</w:t>
      </w:r>
      <w:r w:rsidR="000C773E" w:rsidRPr="000C773E">
        <w:rPr>
          <w:rFonts w:ascii="Times New Roman" w:hAnsi="Times New Roman"/>
        </w:rPr>
        <w:t>03</w:t>
      </w:r>
      <w:r w:rsidRPr="000C773E">
        <w:rPr>
          <w:rFonts w:ascii="Times New Roman" w:hAnsi="Times New Roman"/>
        </w:rPr>
        <w:t>.202</w:t>
      </w:r>
      <w:r w:rsidR="000C773E" w:rsidRPr="000C773E">
        <w:rPr>
          <w:rFonts w:ascii="Times New Roman" w:hAnsi="Times New Roman"/>
        </w:rPr>
        <w:t>3</w:t>
      </w:r>
      <w:r w:rsidRPr="000C773E">
        <w:rPr>
          <w:rFonts w:ascii="Times New Roman" w:hAnsi="Times New Roman"/>
        </w:rPr>
        <w:t xml:space="preserve"> г. от централния бюджет, възлиза на </w:t>
      </w:r>
      <w:r w:rsidR="000C773E" w:rsidRPr="000C773E">
        <w:rPr>
          <w:rFonts w:ascii="Times New Roman" w:hAnsi="Times New Roman"/>
          <w:b/>
          <w:bCs/>
        </w:rPr>
        <w:t>455,2</w:t>
      </w:r>
      <w:r w:rsidRPr="000C773E">
        <w:rPr>
          <w:rFonts w:ascii="Times New Roman" w:hAnsi="Times New Roman"/>
          <w:b/>
          <w:bCs/>
        </w:rPr>
        <w:t xml:space="preserve"> </w:t>
      </w:r>
      <w:r w:rsidRPr="000C773E">
        <w:rPr>
          <w:rFonts w:ascii="Times New Roman" w:hAnsi="Times New Roman"/>
          <w:b/>
        </w:rPr>
        <w:t>млн. лв.</w:t>
      </w:r>
      <w:r w:rsidRPr="000C773E">
        <w:rPr>
          <w:rFonts w:ascii="Times New Roman" w:hAnsi="Times New Roman"/>
        </w:rPr>
        <w:t xml:space="preserve">, </w:t>
      </w:r>
      <w:r w:rsidRPr="000C773E">
        <w:rPr>
          <w:rFonts w:ascii="Times New Roman" w:eastAsia="Calibri" w:hAnsi="Times New Roman"/>
        </w:rPr>
        <w:t>което е в изпълнение на действащото към момента законодателство в областта на собствените ресурси на ЕС</w:t>
      </w:r>
      <w:r w:rsidRPr="000C773E">
        <w:rPr>
          <w:rFonts w:ascii="Times New Roman" w:hAnsi="Times New Roman"/>
        </w:rPr>
        <w:t xml:space="preserve">. </w:t>
      </w:r>
    </w:p>
    <w:p w14:paraId="482C945A" w14:textId="4588BA60" w:rsidR="00222173" w:rsidRPr="00E542AA" w:rsidRDefault="00222173" w:rsidP="00ED2B9A">
      <w:pPr>
        <w:pStyle w:val="ListParagraph"/>
        <w:numPr>
          <w:ilvl w:val="0"/>
          <w:numId w:val="24"/>
        </w:numPr>
        <w:tabs>
          <w:tab w:val="left" w:pos="426"/>
        </w:tabs>
        <w:spacing w:line="240" w:lineRule="auto"/>
        <w:ind w:left="0" w:firstLine="0"/>
        <w:rPr>
          <w:rFonts w:ascii="Times New Roman" w:hAnsi="Times New Roman"/>
        </w:rPr>
      </w:pPr>
      <w:r w:rsidRPr="00E542AA">
        <w:rPr>
          <w:rFonts w:ascii="Times New Roman" w:hAnsi="Times New Roman"/>
          <w:b/>
        </w:rPr>
        <w:t xml:space="preserve">Бюджетното салдо </w:t>
      </w:r>
      <w:r w:rsidRPr="00E542AA">
        <w:rPr>
          <w:rFonts w:ascii="Times New Roman" w:hAnsi="Times New Roman"/>
        </w:rPr>
        <w:t xml:space="preserve">по консолидираната фискална програма </w:t>
      </w:r>
      <w:r w:rsidR="00E542AA" w:rsidRPr="00E542AA">
        <w:rPr>
          <w:rFonts w:ascii="Times New Roman" w:hAnsi="Times New Roman"/>
        </w:rPr>
        <w:t>към март 2023</w:t>
      </w:r>
      <w:r w:rsidR="00E542AA" w:rsidRPr="00E542AA">
        <w:rPr>
          <w:rFonts w:ascii="Times New Roman" w:hAnsi="Times New Roman"/>
          <w:bCs/>
        </w:rPr>
        <w:t xml:space="preserve"> г. е </w:t>
      </w:r>
      <w:r w:rsidR="00E542AA" w:rsidRPr="00E542AA">
        <w:rPr>
          <w:rFonts w:ascii="Times New Roman" w:hAnsi="Times New Roman"/>
          <w:b/>
          <w:bCs/>
        </w:rPr>
        <w:t xml:space="preserve">отрицателно </w:t>
      </w:r>
      <w:r w:rsidR="00E542AA" w:rsidRPr="00E542AA">
        <w:rPr>
          <w:rFonts w:ascii="Times New Roman" w:hAnsi="Times New Roman"/>
          <w:bCs/>
        </w:rPr>
        <w:t xml:space="preserve">в размер на </w:t>
      </w:r>
      <w:r w:rsidR="00E542AA" w:rsidRPr="00E542AA">
        <w:rPr>
          <w:rFonts w:ascii="Times New Roman" w:hAnsi="Times New Roman"/>
          <w:b/>
          <w:bCs/>
          <w:lang w:val="ru-RU"/>
        </w:rPr>
        <w:t>662,4</w:t>
      </w:r>
      <w:r w:rsidR="00E542AA" w:rsidRPr="00E542AA">
        <w:rPr>
          <w:rFonts w:ascii="Times New Roman" w:hAnsi="Times New Roman"/>
          <w:b/>
          <w:bCs/>
        </w:rPr>
        <w:t xml:space="preserve"> </w:t>
      </w:r>
      <w:r w:rsidR="00E542AA" w:rsidRPr="00E542AA">
        <w:rPr>
          <w:rFonts w:ascii="Times New Roman" w:hAnsi="Times New Roman"/>
          <w:b/>
        </w:rPr>
        <w:t>млн. лв.</w:t>
      </w:r>
      <w:r w:rsidR="00E542AA" w:rsidRPr="00E542AA">
        <w:rPr>
          <w:rFonts w:ascii="Times New Roman" w:hAnsi="Times New Roman"/>
        </w:rPr>
        <w:t xml:space="preserve"> </w:t>
      </w:r>
      <w:r w:rsidR="00455072" w:rsidRPr="00455072">
        <w:rPr>
          <w:rFonts w:ascii="Times New Roman" w:eastAsia="Calibri" w:hAnsi="Times New Roman"/>
        </w:rPr>
        <w:t>(0,</w:t>
      </w:r>
      <w:r w:rsidR="00455072" w:rsidRPr="00455072">
        <w:rPr>
          <w:rFonts w:ascii="Times New Roman" w:eastAsia="Calibri" w:hAnsi="Times New Roman"/>
          <w:lang w:val="ru-RU"/>
        </w:rPr>
        <w:t>4</w:t>
      </w:r>
      <w:r w:rsidR="00455072" w:rsidRPr="00455072">
        <w:rPr>
          <w:rFonts w:ascii="Times New Roman" w:eastAsia="Calibri" w:hAnsi="Times New Roman"/>
        </w:rPr>
        <w:t xml:space="preserve"> % от прогнозния БВП) и се формира от дефицит по националния бюджет в размер на 641,0 млн. лв. и по европейските средства в размер на 21,4 млн. лв. За сравнение, за първото тримесечие на 2022 г. бе отчетен излишък в размер на 294,7 млн. лв., което означава, че на годишна база бюджетното салдо за периода се влошава с 957,2 млн. лв. Продължава тенденцията от първите два месеца на годината ръстът на разходите (27 на сто) значително да изпреварва ръста на приходите (18,6 на сто), което е основната причина за влошаването на бюджетната позиция спрямо предходната година.</w:t>
      </w:r>
    </w:p>
    <w:p w14:paraId="5D1C870B" w14:textId="365B2F55" w:rsidR="00222173" w:rsidRPr="00C15913" w:rsidRDefault="00222173" w:rsidP="00DB1FA4">
      <w:pPr>
        <w:numPr>
          <w:ilvl w:val="0"/>
          <w:numId w:val="8"/>
        </w:numPr>
        <w:tabs>
          <w:tab w:val="num" w:pos="0"/>
          <w:tab w:val="left" w:pos="426"/>
          <w:tab w:val="left" w:pos="720"/>
        </w:tabs>
        <w:spacing w:before="120" w:after="60"/>
        <w:ind w:left="0" w:firstLine="0"/>
        <w:jc w:val="both"/>
        <w:rPr>
          <w:color w:val="0070C0"/>
          <w:sz w:val="22"/>
        </w:rPr>
      </w:pPr>
      <w:r w:rsidRPr="007A41D4">
        <w:rPr>
          <w:b/>
          <w:szCs w:val="28"/>
        </w:rPr>
        <w:t>Общият размер</w:t>
      </w:r>
      <w:r w:rsidRPr="007A41D4">
        <w:rPr>
          <w:bCs/>
          <w:sz w:val="22"/>
        </w:rPr>
        <w:t xml:space="preserve"> </w:t>
      </w:r>
      <w:r w:rsidRPr="007A41D4">
        <w:rPr>
          <w:b/>
          <w:bCs/>
          <w:szCs w:val="28"/>
        </w:rPr>
        <w:t>на касовите постъпления от ЕС</w:t>
      </w:r>
      <w:r w:rsidRPr="007A41D4">
        <w:rPr>
          <w:bCs/>
          <w:szCs w:val="28"/>
        </w:rPr>
        <w:t xml:space="preserve"> (от Структурните и Кохезионния фондове, от</w:t>
      </w:r>
      <w:r w:rsidRPr="007A41D4">
        <w:rPr>
          <w:szCs w:val="28"/>
        </w:rPr>
        <w:t xml:space="preserve"> ЕЗФРСР и </w:t>
      </w:r>
      <w:r w:rsidR="0080444A" w:rsidRPr="007A41D4">
        <w:rPr>
          <w:szCs w:val="28"/>
        </w:rPr>
        <w:t>ЕФМДР</w:t>
      </w:r>
      <w:r w:rsidRPr="007A41D4">
        <w:rPr>
          <w:bCs/>
          <w:szCs w:val="28"/>
        </w:rPr>
        <w:t xml:space="preserve">, от средства за директни плащания към земеделските производители и плащания по пазарни мерки и др.) за </w:t>
      </w:r>
      <w:r w:rsidR="007A41D4" w:rsidRPr="007A41D4">
        <w:t>първото тримесечие</w:t>
      </w:r>
      <w:r w:rsidRPr="007A41D4">
        <w:t xml:space="preserve"> </w:t>
      </w:r>
      <w:r w:rsidRPr="007A41D4">
        <w:rPr>
          <w:szCs w:val="28"/>
        </w:rPr>
        <w:t>на 202</w:t>
      </w:r>
      <w:r w:rsidR="007A41D4" w:rsidRPr="007A41D4">
        <w:rPr>
          <w:szCs w:val="28"/>
        </w:rPr>
        <w:t>3</w:t>
      </w:r>
      <w:r w:rsidRPr="007A41D4">
        <w:rPr>
          <w:bCs/>
          <w:szCs w:val="28"/>
        </w:rPr>
        <w:t xml:space="preserve"> г. е </w:t>
      </w:r>
      <w:r w:rsidR="00CC341C" w:rsidRPr="00CC341C">
        <w:rPr>
          <w:b/>
          <w:bCs/>
          <w:szCs w:val="28"/>
        </w:rPr>
        <w:t>1 359,3</w:t>
      </w:r>
      <w:r w:rsidRPr="00CC341C">
        <w:rPr>
          <w:b/>
          <w:bCs/>
          <w:szCs w:val="28"/>
        </w:rPr>
        <w:t> млн. лв.</w:t>
      </w:r>
      <w:r w:rsidRPr="00CC341C">
        <w:rPr>
          <w:b/>
          <w:szCs w:val="28"/>
        </w:rPr>
        <w:t xml:space="preserve"> </w:t>
      </w:r>
      <w:r w:rsidRPr="00CC341C">
        <w:rPr>
          <w:b/>
          <w:bCs/>
          <w:szCs w:val="28"/>
        </w:rPr>
        <w:t xml:space="preserve">Нетните постъпления от ЕС към </w:t>
      </w:r>
      <w:r w:rsidR="00B40B2F" w:rsidRPr="00CC341C">
        <w:rPr>
          <w:b/>
          <w:bCs/>
          <w:szCs w:val="28"/>
        </w:rPr>
        <w:t>31</w:t>
      </w:r>
      <w:r w:rsidRPr="00CC341C">
        <w:rPr>
          <w:b/>
          <w:bCs/>
          <w:szCs w:val="28"/>
        </w:rPr>
        <w:t>.</w:t>
      </w:r>
      <w:r w:rsidR="00B40B2F" w:rsidRPr="00CC341C">
        <w:rPr>
          <w:b/>
          <w:bCs/>
          <w:szCs w:val="28"/>
        </w:rPr>
        <w:t>03</w:t>
      </w:r>
      <w:r w:rsidRPr="00CC341C">
        <w:rPr>
          <w:b/>
          <w:bCs/>
          <w:szCs w:val="28"/>
        </w:rPr>
        <w:t>.202</w:t>
      </w:r>
      <w:r w:rsidR="00B40B2F" w:rsidRPr="00CC341C">
        <w:rPr>
          <w:b/>
          <w:bCs/>
          <w:szCs w:val="28"/>
        </w:rPr>
        <w:t>3</w:t>
      </w:r>
      <w:r w:rsidRPr="00CC341C">
        <w:rPr>
          <w:b/>
          <w:bCs/>
          <w:szCs w:val="28"/>
        </w:rPr>
        <w:t xml:space="preserve"> г. </w:t>
      </w:r>
      <w:r w:rsidRPr="00CC341C">
        <w:rPr>
          <w:bCs/>
          <w:szCs w:val="28"/>
        </w:rPr>
        <w:t xml:space="preserve">(касови постъпления от ЕС, намалени с вноската в общия бюджет на ЕС) са положителни в размер на </w:t>
      </w:r>
      <w:r w:rsidR="00CC341C" w:rsidRPr="00CC341C">
        <w:rPr>
          <w:b/>
          <w:bCs/>
          <w:szCs w:val="28"/>
        </w:rPr>
        <w:t>904,1</w:t>
      </w:r>
      <w:r w:rsidRPr="00CC341C">
        <w:rPr>
          <w:b/>
          <w:bCs/>
          <w:szCs w:val="28"/>
        </w:rPr>
        <w:t xml:space="preserve"> млн. лева</w:t>
      </w:r>
      <w:r w:rsidRPr="00CC341C">
        <w:rPr>
          <w:sz w:val="22"/>
        </w:rPr>
        <w:t>.</w:t>
      </w:r>
    </w:p>
    <w:p w14:paraId="2A7597B9" w14:textId="0B1A5CB2" w:rsidR="00222173" w:rsidRPr="00C15913" w:rsidRDefault="00222173" w:rsidP="00ED2B9A">
      <w:pPr>
        <w:numPr>
          <w:ilvl w:val="2"/>
          <w:numId w:val="14"/>
        </w:numPr>
        <w:tabs>
          <w:tab w:val="left" w:pos="426"/>
        </w:tabs>
        <w:spacing w:before="120" w:after="240"/>
        <w:ind w:left="0" w:firstLine="0"/>
        <w:jc w:val="both"/>
        <w:rPr>
          <w:color w:val="0070C0"/>
          <w:sz w:val="8"/>
          <w:szCs w:val="8"/>
        </w:rPr>
      </w:pPr>
      <w:r w:rsidRPr="007069ED">
        <w:rPr>
          <w:b/>
        </w:rPr>
        <w:t>Фискалният резерв</w:t>
      </w:r>
      <w:r w:rsidRPr="007069ED">
        <w:rPr>
          <w:b/>
          <w:bCs/>
          <w:vertAlign w:val="superscript"/>
          <w:lang w:eastAsia="bg-BG"/>
        </w:rPr>
        <w:footnoteReference w:id="5"/>
      </w:r>
      <w:r w:rsidRPr="007069ED">
        <w:rPr>
          <w:bCs/>
          <w:lang w:eastAsia="bg-BG"/>
        </w:rPr>
        <w:t xml:space="preserve"> </w:t>
      </w:r>
      <w:r w:rsidR="007069ED" w:rsidRPr="007069ED">
        <w:rPr>
          <w:bCs/>
        </w:rPr>
        <w:t>към 31.03.2023</w:t>
      </w:r>
      <w:r w:rsidR="007069ED" w:rsidRPr="007069ED">
        <w:rPr>
          <w:rFonts w:eastAsia="Calibri"/>
        </w:rPr>
        <w:t xml:space="preserve"> г. </w:t>
      </w:r>
      <w:r w:rsidR="007069ED" w:rsidRPr="007069ED">
        <w:rPr>
          <w:bCs/>
        </w:rPr>
        <w:t xml:space="preserve">е </w:t>
      </w:r>
      <w:r w:rsidR="007069ED" w:rsidRPr="007069ED">
        <w:rPr>
          <w:b/>
          <w:bCs/>
        </w:rPr>
        <w:t>12,6 млрд. лв</w:t>
      </w:r>
      <w:r w:rsidR="007069ED" w:rsidRPr="007069ED">
        <w:rPr>
          <w:bCs/>
        </w:rPr>
        <w:t xml:space="preserve">., в т.ч. 12,0 млрд. лв. депозити на </w:t>
      </w:r>
      <w:r w:rsidR="007069ED" w:rsidRPr="001E0755">
        <w:rPr>
          <w:bCs/>
        </w:rPr>
        <w:t>фискалния резерв в БНБ и банки и 0,6 млрд. лв. вземания от фондовете на Европейския съюз за сертифицирани разходи, аванси и други</w:t>
      </w:r>
      <w:r w:rsidRPr="00C15913">
        <w:rPr>
          <w:bCs/>
          <w:color w:val="0070C0"/>
          <w:lang w:eastAsia="bg-BG"/>
        </w:rPr>
        <w:t>.</w:t>
      </w:r>
      <w:r w:rsidRPr="00C15913">
        <w:rPr>
          <w:bCs/>
          <w:color w:val="0070C0"/>
        </w:rPr>
        <w:t xml:space="preserve"> </w:t>
      </w:r>
    </w:p>
    <w:p w14:paraId="7C4A6F2B" w14:textId="77777777" w:rsidR="00222173" w:rsidRPr="00C15913" w:rsidRDefault="00222173" w:rsidP="00222173">
      <w:pPr>
        <w:tabs>
          <w:tab w:val="left" w:pos="426"/>
        </w:tabs>
        <w:spacing w:before="120" w:after="120"/>
        <w:jc w:val="both"/>
        <w:rPr>
          <w:color w:val="0070C0"/>
          <w:sz w:val="8"/>
          <w:szCs w:val="8"/>
        </w:rPr>
      </w:pPr>
    </w:p>
    <w:p w14:paraId="4E97B217" w14:textId="77777777" w:rsidR="00222173" w:rsidRPr="00C15913" w:rsidRDefault="00222173" w:rsidP="00222173">
      <w:pPr>
        <w:tabs>
          <w:tab w:val="left" w:pos="426"/>
        </w:tabs>
        <w:spacing w:before="120" w:after="120"/>
        <w:jc w:val="both"/>
        <w:rPr>
          <w:color w:val="0070C0"/>
          <w:sz w:val="8"/>
          <w:szCs w:val="8"/>
        </w:rPr>
      </w:pPr>
    </w:p>
    <w:p w14:paraId="34001E21" w14:textId="77777777" w:rsidR="00222173" w:rsidRPr="00C15913" w:rsidRDefault="00222173" w:rsidP="00222173">
      <w:pPr>
        <w:rPr>
          <w:color w:val="0070C0"/>
          <w:sz w:val="8"/>
          <w:szCs w:val="8"/>
        </w:rPr>
      </w:pPr>
      <w:r w:rsidRPr="00C15913">
        <w:rPr>
          <w:color w:val="0070C0"/>
          <w:sz w:val="8"/>
          <w:szCs w:val="8"/>
        </w:rPr>
        <w:br w:type="page"/>
      </w:r>
    </w:p>
    <w:p w14:paraId="14C7CED3" w14:textId="19B4198A" w:rsidR="00853BC8" w:rsidRPr="00392AFB" w:rsidRDefault="00853BC8" w:rsidP="00392AFB">
      <w:pPr>
        <w:pStyle w:val="Heading1"/>
        <w:numPr>
          <w:ilvl w:val="0"/>
          <w:numId w:val="9"/>
        </w:numPr>
        <w:ind w:right="-108"/>
        <w:jc w:val="both"/>
        <w:rPr>
          <w:sz w:val="24"/>
        </w:rPr>
      </w:pPr>
      <w:r w:rsidRPr="00392AFB">
        <w:rPr>
          <w:sz w:val="24"/>
        </w:rPr>
        <w:t>Промени в данъчното законодателство за 2023 г.</w:t>
      </w:r>
    </w:p>
    <w:p w14:paraId="1A09BA4C" w14:textId="77777777" w:rsidR="00ED5447" w:rsidRPr="008B1B58" w:rsidRDefault="00ED5447" w:rsidP="00ED5447">
      <w:pPr>
        <w:spacing w:before="120" w:after="120"/>
        <w:ind w:right="-43" w:firstLine="567"/>
        <w:jc w:val="both"/>
      </w:pPr>
      <w:r w:rsidRPr="008B1B58">
        <w:t>През предходната година бяха направени изменения в областта на данъчното облагане</w:t>
      </w:r>
      <w:r>
        <w:t>, които влизат в сила през 2023 г. и са както следва</w:t>
      </w:r>
      <w:r w:rsidRPr="008B1B58">
        <w:t>:</w:t>
      </w:r>
    </w:p>
    <w:p w14:paraId="023CB0BB" w14:textId="77777777" w:rsidR="00ED5447" w:rsidRPr="00392AFB" w:rsidRDefault="00ED5447" w:rsidP="00392AFB">
      <w:pPr>
        <w:spacing w:before="120" w:after="120"/>
        <w:ind w:right="-43" w:firstLine="567"/>
        <w:jc w:val="both"/>
        <w:rPr>
          <w:b/>
          <w:u w:val="single"/>
        </w:rPr>
      </w:pPr>
      <w:r w:rsidRPr="00392AFB">
        <w:rPr>
          <w:b/>
          <w:u w:val="single"/>
        </w:rPr>
        <w:t>По Закона за корпоративното подоходно облагане (ЗКПО)</w:t>
      </w:r>
    </w:p>
    <w:p w14:paraId="6D54B578" w14:textId="77777777" w:rsidR="00ED5447" w:rsidRPr="008B1B58" w:rsidRDefault="00ED5447" w:rsidP="00ED5447">
      <w:pPr>
        <w:spacing w:before="120" w:after="120"/>
        <w:ind w:right="-43" w:firstLine="567"/>
        <w:jc w:val="both"/>
      </w:pPr>
      <w:r w:rsidRPr="008B1B58">
        <w:t>Промените в областта на прякото облагане са приети със ЗИД на ЗКПО г. (обн., ДВ, бр. 99 от 13.12.2022 г., В сила от 1.01.2023 г.)</w:t>
      </w:r>
    </w:p>
    <w:p w14:paraId="65C2BDFF" w14:textId="77777777" w:rsidR="00ED5447" w:rsidRPr="009618E1" w:rsidRDefault="00ED5447" w:rsidP="00ED5447">
      <w:pPr>
        <w:ind w:firstLine="567"/>
        <w:jc w:val="both"/>
      </w:pPr>
      <w:r>
        <w:rPr>
          <w:b/>
        </w:rPr>
        <w:t>-Нова с</w:t>
      </w:r>
      <w:r w:rsidRPr="00E30FDA">
        <w:rPr>
          <w:b/>
        </w:rPr>
        <w:t>хема за държавна помощ за регионално развитие</w:t>
      </w:r>
      <w:r>
        <w:rPr>
          <w:b/>
        </w:rPr>
        <w:t xml:space="preserve">. </w:t>
      </w:r>
    </w:p>
    <w:p w14:paraId="7AFFC4B6" w14:textId="77777777" w:rsidR="00ED5447" w:rsidRDefault="00ED5447" w:rsidP="00ED5447">
      <w:pPr>
        <w:ind w:firstLine="567"/>
        <w:jc w:val="both"/>
      </w:pPr>
      <w:r w:rsidRPr="009F1E74">
        <w:t xml:space="preserve">Новата схема цели да продължи да се предоставя данъчно облекчение под формата на държавна помощ </w:t>
      </w:r>
      <w:r w:rsidRPr="006F369E">
        <w:t>за регионално развитие, което да е съобразено с променените изисквания на Европейската комисия и което да се опира на данъчното облекчение, предоставяно по реда на чл. 184 във връзка с чл. 189 от ЗКПО до края на 2021 година. Данъчната преференция се предоставя с цел да насърчи икономическата активност за МСП</w:t>
      </w:r>
      <w:r w:rsidRPr="00E30FDA">
        <w:t>, като ги стимулира да инвестират в материални и нематериални активи в предприятия, намиращи се в общини с безработица, по-висока от средната за страната, като се очаква така да се запазят или увеличат нивата на заетост в тези общини. Това от своя страна ще спомогне за постигането на по-балансирано и по-устойчиво развитие на тези райони на страната и за преодоляването на вътрешнорегионалните, както и на междурегионалните неравенства в контекста на общоевропейската политика за сближаване и постигане на интелигентен, устойчив и приобщаващ растеж</w:t>
      </w:r>
      <w:r>
        <w:t>.</w:t>
      </w:r>
    </w:p>
    <w:p w14:paraId="412A7B98" w14:textId="77777777" w:rsidR="00ED5447" w:rsidRDefault="00ED5447" w:rsidP="00ED5447">
      <w:pPr>
        <w:spacing w:after="120"/>
        <w:ind w:firstLine="567"/>
        <w:jc w:val="both"/>
      </w:pPr>
      <w:r w:rsidRPr="00E30FDA">
        <w:t xml:space="preserve">Данъчното облекчение </w:t>
      </w:r>
      <w:r w:rsidRPr="00497C61">
        <w:t xml:space="preserve">се прилага след постановяване на положително решение от Европейската комисия относно съответствието му с Насоките за регионална държавна помощ (2021/C 153/01), а корпоративният данък за 2022 г. се преотстъпва, в случай че е подаден формуляр за кандидатстване в срок от 1 януари 2023 г. до 31 май 2023 г., </w:t>
      </w:r>
      <w:r w:rsidRPr="00E30FDA">
        <w:t xml:space="preserve">налице </w:t>
      </w:r>
      <w:r>
        <w:t xml:space="preserve">е </w:t>
      </w:r>
      <w:r w:rsidRPr="00E30FDA">
        <w:t>одобрение от страна на Българската агенция за инвестиции до 30 юни 2023 г. и са изпълнени всички условия на ЗКПО за прилагане на данъчното облекчение, представляващо държавна помощ за регионално развитие</w:t>
      </w:r>
      <w:r>
        <w:t>;</w:t>
      </w:r>
    </w:p>
    <w:p w14:paraId="15D44B44" w14:textId="77777777" w:rsidR="00ED5447" w:rsidRDefault="00ED5447" w:rsidP="00ED5447">
      <w:pPr>
        <w:ind w:firstLine="567"/>
        <w:jc w:val="both"/>
      </w:pPr>
      <w:r>
        <w:rPr>
          <w:b/>
        </w:rPr>
        <w:t>-</w:t>
      </w:r>
      <w:r w:rsidRPr="003418AD">
        <w:rPr>
          <w:b/>
        </w:rPr>
        <w:t xml:space="preserve">Промяна </w:t>
      </w:r>
      <w:r>
        <w:rPr>
          <w:b/>
        </w:rPr>
        <w:t xml:space="preserve">в </w:t>
      </w:r>
      <w:r w:rsidRPr="003418AD">
        <w:rPr>
          <w:b/>
        </w:rPr>
        <w:t>условията, касаещи общите изисквания за преотстъпване на корпоративен данък по чл. 167</w:t>
      </w:r>
      <w:r>
        <w:rPr>
          <w:b/>
        </w:rPr>
        <w:t xml:space="preserve"> </w:t>
      </w:r>
      <w:r w:rsidRPr="003418AD">
        <w:rPr>
          <w:b/>
        </w:rPr>
        <w:t>от ЗКПО</w:t>
      </w:r>
      <w:r>
        <w:rPr>
          <w:b/>
        </w:rPr>
        <w:t xml:space="preserve">. </w:t>
      </w:r>
    </w:p>
    <w:p w14:paraId="0C582967" w14:textId="77777777" w:rsidR="00ED5447" w:rsidRDefault="00ED5447" w:rsidP="00ED5447">
      <w:pPr>
        <w:spacing w:after="120"/>
        <w:ind w:firstLine="567"/>
        <w:jc w:val="both"/>
      </w:pPr>
      <w:r>
        <w:t>Във връзка с о</w:t>
      </w:r>
      <w:r w:rsidRPr="00350A05">
        <w:t xml:space="preserve">бщите изисквания за преотстъпване на корпоративен данък по чл. 167, ал. 1 от ЗКПО, </w:t>
      </w:r>
      <w:r>
        <w:t>е</w:t>
      </w:r>
      <w:r w:rsidRPr="00350A05">
        <w:t xml:space="preserve"> уточн</w:t>
      </w:r>
      <w:r>
        <w:t>ено</w:t>
      </w:r>
      <w:r w:rsidRPr="00350A05">
        <w:t xml:space="preserve"> изрично, че не са налице подлежащи на принудително изпълнение публични задължения и задължения по санкции по влезли в сила наказателни постановления, свързани с нарушаване на нормативните актове относно публичните задължения, както и съответните лихви, свързани с тяхното невнасяне, когато към 31 декември на съответната година същите не са отразени в данъчно-осигурителната сметка или не са отразени като предявени за принудително изпълнение в Националната агенция за приходите. С това се очаква да </w:t>
      </w:r>
      <w:r>
        <w:t xml:space="preserve">се </w:t>
      </w:r>
      <w:r w:rsidRPr="00350A05">
        <w:t>улесни</w:t>
      </w:r>
      <w:r>
        <w:t xml:space="preserve"> прилагането от</w:t>
      </w:r>
      <w:r w:rsidRPr="00350A05">
        <w:t xml:space="preserve"> данъчно задължените лица и да </w:t>
      </w:r>
      <w:r>
        <w:t xml:space="preserve">се </w:t>
      </w:r>
      <w:r w:rsidRPr="00350A05">
        <w:t>намал</w:t>
      </w:r>
      <w:r>
        <w:t>ят</w:t>
      </w:r>
      <w:r w:rsidRPr="00350A05">
        <w:t xml:space="preserve"> пр</w:t>
      </w:r>
      <w:r>
        <w:t>едпоставките за съдебни спорове;</w:t>
      </w:r>
    </w:p>
    <w:p w14:paraId="2D3902A6" w14:textId="77777777" w:rsidR="00ED5447" w:rsidRPr="00E30FDA" w:rsidRDefault="00ED5447" w:rsidP="00ED5447">
      <w:pPr>
        <w:ind w:firstLine="567"/>
        <w:jc w:val="both"/>
      </w:pPr>
      <w:r>
        <w:rPr>
          <w:b/>
        </w:rPr>
        <w:t>-Въвеждане на в</w:t>
      </w:r>
      <w:r w:rsidRPr="003418AD">
        <w:rPr>
          <w:b/>
        </w:rPr>
        <w:t>ременна солидарна вноска</w:t>
      </w:r>
      <w:r>
        <w:rPr>
          <w:b/>
        </w:rPr>
        <w:t xml:space="preserve">. </w:t>
      </w:r>
    </w:p>
    <w:p w14:paraId="7F2776EA" w14:textId="77777777" w:rsidR="00ED5447" w:rsidRDefault="00ED5447" w:rsidP="00ED5447">
      <w:pPr>
        <w:ind w:firstLine="567"/>
        <w:jc w:val="both"/>
      </w:pPr>
      <w:r w:rsidRPr="00E30FDA">
        <w:t xml:space="preserve">С промените в </w:t>
      </w:r>
      <w:r>
        <w:t xml:space="preserve">ПЗР на </w:t>
      </w:r>
      <w:r w:rsidRPr="00E30FDA">
        <w:t>ЗКПО</w:t>
      </w:r>
      <w:r>
        <w:t xml:space="preserve"> </w:t>
      </w:r>
      <w:r w:rsidRPr="00E30FDA">
        <w:t>се уреждат ред</w:t>
      </w:r>
      <w:r>
        <w:t>а</w:t>
      </w:r>
      <w:r w:rsidRPr="00E30FDA">
        <w:t xml:space="preserve"> и начин</w:t>
      </w:r>
      <w:r>
        <w:t>а</w:t>
      </w:r>
      <w:r w:rsidRPr="00E30FDA">
        <w:t xml:space="preserve"> за прилагане на Глава III от Регламент (ЕС) 2022/1854 на Съвета от 6 октомври 2022 г. относно спешна намеса за справяне с</w:t>
      </w:r>
      <w:r w:rsidRPr="004323AA">
        <w:t xml:space="preserve"> високите цени на енергията. </w:t>
      </w:r>
      <w:r w:rsidRPr="00A50740">
        <w:t xml:space="preserve">С приетата разпоредба се регламентират правилата за временната солидарна вноска, </w:t>
      </w:r>
      <w:r w:rsidRPr="009618E1">
        <w:t xml:space="preserve">която следва да се внася за генерираните свръхпечалби от дружествата и местата на стопанска дейност от Съюза, извършващи дейност в отраслите на суровия нефт, природния газ, въглищата и нефтопреработването. Ставката на тази вноска е 33 на сто върху основата за определяне на временната солидарна вноска. </w:t>
      </w:r>
      <w:r>
        <w:t>О</w:t>
      </w:r>
      <w:r w:rsidRPr="009618E1">
        <w:t xml:space="preserve">сновата за вноската </w:t>
      </w:r>
      <w:r>
        <w:t xml:space="preserve">се определя </w:t>
      </w:r>
      <w:r w:rsidRPr="009618E1">
        <w:t>съгласно изискванията на член 15 от Регламент (ЕС) 2022/1854 (</w:t>
      </w:r>
      <w:r w:rsidRPr="009618E1">
        <w:rPr>
          <w:i/>
        </w:rPr>
        <w:t>средната стойност на облагаемите печалби</w:t>
      </w:r>
      <w:r w:rsidRPr="009618E1">
        <w:t xml:space="preserve">) </w:t>
      </w:r>
      <w:r>
        <w:t>от д</w:t>
      </w:r>
      <w:r w:rsidRPr="009618E1">
        <w:t xml:space="preserve">анъчния период от 2018 г. до 2021 година. Временната солидарна вноска се внася за данъчните печалби за 2022 г. и за 2023 г., </w:t>
      </w:r>
      <w:r>
        <w:t>като</w:t>
      </w:r>
      <w:r w:rsidRPr="009618E1">
        <w:t xml:space="preserve"> данъчната печалба се определя по правилата регламентирани в </w:t>
      </w:r>
      <w:r>
        <w:t>ЗКПО</w:t>
      </w:r>
      <w:r w:rsidRPr="009618E1">
        <w:t xml:space="preserve"> (§ 9. От ПРЗ на ЗКПО в сила от 8.10.2022 г. – ДВ, бр. 99 от 2022 г.). Задължените лица могат да правят авансови вноски за временната солидарна вноска.</w:t>
      </w:r>
    </w:p>
    <w:p w14:paraId="2809DC54" w14:textId="77777777" w:rsidR="00ED5447" w:rsidRPr="00A30F1C" w:rsidRDefault="00ED5447" w:rsidP="00ED5447">
      <w:pPr>
        <w:widowControl w:val="0"/>
        <w:suppressAutoHyphens/>
        <w:spacing w:after="120"/>
        <w:ind w:right="-284" w:firstLine="567"/>
        <w:jc w:val="both"/>
        <w:rPr>
          <w:b/>
          <w:u w:val="single"/>
        </w:rPr>
      </w:pPr>
    </w:p>
    <w:p w14:paraId="1D565CF5" w14:textId="77777777" w:rsidR="00ED5447" w:rsidRPr="00392AFB" w:rsidRDefault="00ED5447" w:rsidP="00392AFB">
      <w:pPr>
        <w:spacing w:before="120" w:after="120"/>
        <w:ind w:right="-43" w:firstLine="567"/>
        <w:jc w:val="both"/>
        <w:rPr>
          <w:b/>
          <w:u w:val="single"/>
        </w:rPr>
      </w:pPr>
      <w:r w:rsidRPr="00392AFB">
        <w:rPr>
          <w:b/>
          <w:u w:val="single"/>
        </w:rPr>
        <w:t>По Закона за данъците върху доходите на физически лица (ЗДДФЛ)</w:t>
      </w:r>
    </w:p>
    <w:p w14:paraId="1538DFB3" w14:textId="7F6056B0" w:rsidR="00ED5447" w:rsidRPr="009E4383" w:rsidRDefault="00ED5447" w:rsidP="00ED5447">
      <w:pPr>
        <w:spacing w:after="120"/>
        <w:ind w:firstLine="567"/>
        <w:jc w:val="both"/>
        <w:rPr>
          <w:rFonts w:eastAsia="Calibri"/>
        </w:rPr>
      </w:pPr>
      <w:r>
        <w:rPr>
          <w:rFonts w:eastAsia="Calibri"/>
          <w:b/>
        </w:rPr>
        <w:t xml:space="preserve">- Увеличение на нормативно признатите разходи за доходи от упражняване на свободна професия като адвокат по ЗДДФЛ. </w:t>
      </w:r>
      <w:r w:rsidRPr="009E4383">
        <w:rPr>
          <w:rFonts w:eastAsia="Calibri"/>
          <w:b/>
        </w:rPr>
        <w:t>(</w:t>
      </w:r>
      <w:r w:rsidRPr="00B458A5">
        <w:rPr>
          <w:rFonts w:eastAsia="Calibri"/>
        </w:rPr>
        <w:t>ЗИД на ЗДБРБ 2022</w:t>
      </w:r>
      <w:r w:rsidRPr="009E4383">
        <w:rPr>
          <w:rFonts w:eastAsia="Calibri"/>
        </w:rPr>
        <w:t xml:space="preserve">, </w:t>
      </w:r>
      <w:r w:rsidRPr="00B458A5">
        <w:rPr>
          <w:rFonts w:eastAsia="Calibri"/>
        </w:rPr>
        <w:t xml:space="preserve">обн., ДВ, бр. 52, от 5.7.2022 г.) </w:t>
      </w:r>
      <w:r>
        <w:rPr>
          <w:rFonts w:eastAsia="Calibri"/>
        </w:rPr>
        <w:t xml:space="preserve">С промяната в чл. 29, ал. 1, т.2, буква „г“ (нова – ДВ, бр. 52 от 2022 г.) са повишени нормативно признатите разходи за </w:t>
      </w:r>
      <w:r w:rsidR="007C7737">
        <w:rPr>
          <w:rFonts w:eastAsia="Calibri"/>
        </w:rPr>
        <w:t>дейността</w:t>
      </w:r>
      <w:r>
        <w:rPr>
          <w:rFonts w:eastAsia="Calibri"/>
        </w:rPr>
        <w:t xml:space="preserve"> от упражняване на свободна професия като адвокат (от 25 % на 40 %), които от своя страна намаляват облагаемия доход от упражняване на конкретната </w:t>
      </w:r>
      <w:r w:rsidRPr="007333A9">
        <w:t>дейност</w:t>
      </w:r>
      <w:r>
        <w:rPr>
          <w:rFonts w:eastAsia="Calibri"/>
        </w:rPr>
        <w:t>. Промяната се прилага от 1 януари 2023 година</w:t>
      </w:r>
      <w:r w:rsidRPr="009E4383">
        <w:rPr>
          <w:rFonts w:eastAsia="Calibri"/>
        </w:rPr>
        <w:t>;</w:t>
      </w:r>
    </w:p>
    <w:p w14:paraId="41EA8E73" w14:textId="77777777" w:rsidR="00ED5447" w:rsidRPr="00186A50" w:rsidRDefault="00ED5447" w:rsidP="00ED5447">
      <w:pPr>
        <w:ind w:firstLine="567"/>
        <w:jc w:val="both"/>
        <w:rPr>
          <w:b/>
        </w:rPr>
      </w:pPr>
      <w:r>
        <w:rPr>
          <w:rFonts w:eastAsia="Calibri"/>
          <w:b/>
        </w:rPr>
        <w:t xml:space="preserve">- </w:t>
      </w:r>
      <w:r w:rsidRPr="00E30FDA">
        <w:rPr>
          <w:b/>
        </w:rPr>
        <w:t>Допълнителна възможност за прилагане на данъчните облекчения за деца и за деца с увреждания</w:t>
      </w:r>
      <w:r>
        <w:rPr>
          <w:b/>
        </w:rPr>
        <w:t xml:space="preserve"> </w:t>
      </w:r>
      <w:r w:rsidRPr="00AB241B">
        <w:rPr>
          <w:lang w:val="ru-RU"/>
        </w:rPr>
        <w:t>(</w:t>
      </w:r>
      <w:r w:rsidRPr="00A50740">
        <w:t xml:space="preserve">§ 7 от </w:t>
      </w:r>
      <w:r w:rsidRPr="009618E1">
        <w:t>ПЗР на ЗПР на ЗДБРБ за 2022 г., ЗБДОО за 2022 г. и ЗБНЗОК  за 2022 г</w:t>
      </w:r>
      <w:r>
        <w:t>.</w:t>
      </w:r>
      <w:r w:rsidRPr="00A50740">
        <w:t>– ДВ, бр. 104 от 30.12.2022 г.).</w:t>
      </w:r>
    </w:p>
    <w:p w14:paraId="5E67A300" w14:textId="77777777" w:rsidR="00ED5447" w:rsidRDefault="00ED5447" w:rsidP="00ED5447">
      <w:pPr>
        <w:ind w:firstLine="567"/>
        <w:jc w:val="both"/>
        <w:rPr>
          <w:bCs/>
          <w:iCs/>
        </w:rPr>
      </w:pPr>
      <w:r w:rsidRPr="00081B98">
        <w:rPr>
          <w:bCs/>
          <w:iCs/>
        </w:rPr>
        <w:t>С направени законодателни изменения (§ 7 от ПЗР на ЗПР на ЗДБРБ за 2022 г., ЗБДОО за 2022 г. и ЗБНЗОК  за 2022 г.– ДВ, бр. 104 от 30.12.2022 г.) е удължен срокът на ползване в увеличен размер на данъчните облекчения по чл. 22в и 22г от ЗДДФЛ (за деца и за деца с увреждания) през 2023 г. Възможността за авансово ползване през текущата година се запазва. Изрично е регламентирано, че възстановените въз основа на тези данъчни облекчения суми не подлежат на принудително изпълнение. Дадена е и възможност данъчните облекчения да се ползват чрез подаване на годишна данъчна декларация за починало лице от страна на наследниците по закон или по завещание, както и заветниците или техните законни представители, когато не са налице други възможности</w:t>
      </w:r>
      <w:r>
        <w:rPr>
          <w:bCs/>
          <w:iCs/>
        </w:rPr>
        <w:t xml:space="preserve"> облекчението да бъде приложено;</w:t>
      </w:r>
      <w:r w:rsidRPr="00081B98">
        <w:rPr>
          <w:bCs/>
          <w:iCs/>
        </w:rPr>
        <w:t xml:space="preserve"> </w:t>
      </w:r>
    </w:p>
    <w:p w14:paraId="48E50CF1" w14:textId="77777777" w:rsidR="00ED5447" w:rsidRPr="009618E1" w:rsidRDefault="00ED5447" w:rsidP="00ED5447">
      <w:pPr>
        <w:ind w:firstLine="567"/>
        <w:jc w:val="both"/>
      </w:pPr>
      <w:r>
        <w:rPr>
          <w:rFonts w:eastAsia="Calibri"/>
          <w:b/>
        </w:rPr>
        <w:t xml:space="preserve">- </w:t>
      </w:r>
      <w:r w:rsidRPr="00E30FDA">
        <w:rPr>
          <w:b/>
        </w:rPr>
        <w:t>П</w:t>
      </w:r>
      <w:r>
        <w:rPr>
          <w:b/>
        </w:rPr>
        <w:t>ромяна</w:t>
      </w:r>
      <w:r w:rsidRPr="00E30FDA">
        <w:rPr>
          <w:b/>
        </w:rPr>
        <w:t xml:space="preserve"> относно възможността за деклариране на необлагаеми доходи и доходи, облагаеми с окончателен данък от местни физически лица в годишните декларации</w:t>
      </w:r>
      <w:r>
        <w:rPr>
          <w:b/>
        </w:rPr>
        <w:t xml:space="preserve"> </w:t>
      </w:r>
      <w:r w:rsidRPr="00505E86">
        <w:t>(</w:t>
      </w:r>
      <w:r w:rsidRPr="009618E1">
        <w:t>ЗИД на ЗДДФЛ, обн., ДВ, бр. 102 от 23.12.2022 г., в сила от 1.01.2023 г.)</w:t>
      </w:r>
    </w:p>
    <w:p w14:paraId="162E6081" w14:textId="77777777" w:rsidR="00ED5447" w:rsidRDefault="00ED5447" w:rsidP="00ED5447">
      <w:pPr>
        <w:spacing w:after="120"/>
        <w:ind w:firstLine="567"/>
        <w:jc w:val="both"/>
      </w:pPr>
      <w:r w:rsidRPr="00081B98">
        <w:t>Предоставена е възможност на местните физически лица да декларират в годишната данъчна декларация придобитите през годината доходи, които са освободени от облагане по силата на закона, придобитите доходи облагаеми с окончателен данък, полученото имущество по наследство, завет и дарение, както и полученото имущество с възстановено право на собственост по реда на нормативен акт. До промяната, доходите, облагаеми с окончателен данък, не се включваха в годишната данъчна декларация по чл. 50 от ЗДДФЛ, не</w:t>
      </w:r>
      <w:r>
        <w:t>зависимо от желанието на лицата;</w:t>
      </w:r>
    </w:p>
    <w:p w14:paraId="0C38FE5F" w14:textId="54568701" w:rsidR="00ED5447" w:rsidRPr="00B458A5" w:rsidRDefault="00ED5447" w:rsidP="00ED5447">
      <w:pPr>
        <w:ind w:firstLine="567"/>
        <w:jc w:val="both"/>
      </w:pPr>
      <w:r>
        <w:rPr>
          <w:rFonts w:eastAsia="Calibri"/>
          <w:b/>
        </w:rPr>
        <w:t xml:space="preserve">- </w:t>
      </w:r>
      <w:r>
        <w:rPr>
          <w:b/>
        </w:rPr>
        <w:t>П</w:t>
      </w:r>
      <w:r w:rsidRPr="00E30FDA">
        <w:rPr>
          <w:b/>
        </w:rPr>
        <w:t xml:space="preserve">рецизиране на разпоредбите по чл. 73 от ЗДДФЛ, както и разширяване обхвата на </w:t>
      </w:r>
      <w:r>
        <w:rPr>
          <w:b/>
        </w:rPr>
        <w:t>предоставяната информация</w:t>
      </w:r>
      <w:r w:rsidR="00C82AA2">
        <w:rPr>
          <w:b/>
        </w:rPr>
        <w:t xml:space="preserve"> </w:t>
      </w:r>
      <w:r w:rsidRPr="00505E86">
        <w:t>(</w:t>
      </w:r>
      <w:r w:rsidRPr="00B458A5">
        <w:t>ЗИД на ЗДДФЛ, обн., ДВ, бр. 102 от 23.12.2022 г., в сила от 1.01.2023 г.)</w:t>
      </w:r>
      <w:r>
        <w:t xml:space="preserve"> </w:t>
      </w:r>
    </w:p>
    <w:p w14:paraId="01833D42" w14:textId="0279918C" w:rsidR="00ED5447" w:rsidRDefault="00ED5447" w:rsidP="00ED5447">
      <w:pPr>
        <w:spacing w:after="120"/>
        <w:ind w:firstLine="567"/>
        <w:jc w:val="both"/>
        <w:rPr>
          <w:rFonts w:eastAsia="Calibri"/>
          <w:bCs/>
        </w:rPr>
      </w:pPr>
      <w:r w:rsidRPr="00081B98">
        <w:t>Разширен е обхватът на доходите, за които се предоставя информация със справката по чл. 73, ал. 1 от ЗДДФЛ с някои необлагаеми доходи (ЗИД на ЗДДФЛ, обн., ДВ, бр. 102 от 23.12.2022 г., в сила от 1.01.2023 г.). Добавени са, независимо от размерът им, и доходите от допълнително пенсионно осигуряване, командировъчните пари и други доходи, които въпреки че са освободени от облагане се получават регулярно от физическите лица и са от значение за коректното определяне на разполагаемия доход. Променен е прагът, над който възниква задължението за предоставяне (от 5000 на 500 лв.), по отношение на доходите от хазарт, както и на доходите от лихви по влогове и облигации. Добавени са различните помощи от социално подпомагане, държавни и национални награди, стипендии (с изключение на стипендиите, които се предоставят от училищата в полза на ученици и студенти), ренти и потребителски дивиденти.</w:t>
      </w:r>
    </w:p>
    <w:p w14:paraId="22D1D00A" w14:textId="77777777" w:rsidR="00ED5447" w:rsidRPr="00505E86" w:rsidRDefault="00ED5447" w:rsidP="00392AFB">
      <w:pPr>
        <w:spacing w:before="120" w:after="120"/>
        <w:ind w:right="-43" w:firstLine="567"/>
        <w:jc w:val="both"/>
        <w:rPr>
          <w:b/>
          <w:u w:val="single"/>
        </w:rPr>
      </w:pPr>
      <w:r w:rsidRPr="00A30F1C">
        <w:rPr>
          <w:b/>
          <w:u w:val="single"/>
        </w:rPr>
        <w:t xml:space="preserve">По </w:t>
      </w:r>
      <w:r>
        <w:rPr>
          <w:b/>
          <w:u w:val="single"/>
        </w:rPr>
        <w:t>Д</w:t>
      </w:r>
      <w:r w:rsidRPr="00A30F1C">
        <w:rPr>
          <w:b/>
          <w:u w:val="single"/>
        </w:rPr>
        <w:t>анъчно-осигурителния процесуален кодекс</w:t>
      </w:r>
      <w:r w:rsidRPr="00505E86">
        <w:rPr>
          <w:b/>
          <w:u w:val="single"/>
        </w:rPr>
        <w:t xml:space="preserve"> </w:t>
      </w:r>
    </w:p>
    <w:p w14:paraId="6626D8E9" w14:textId="77777777" w:rsidR="00ED5447" w:rsidRDefault="00ED5447" w:rsidP="00ED5447">
      <w:pPr>
        <w:spacing w:before="120" w:after="120"/>
        <w:ind w:right="-43" w:firstLine="567"/>
        <w:jc w:val="both"/>
      </w:pPr>
      <w:r w:rsidRPr="00283D70">
        <w:t>Промените в областта на данъчната политика приети със</w:t>
      </w:r>
      <w:r w:rsidRPr="008B1B58">
        <w:t xml:space="preserve"> </w:t>
      </w:r>
      <w:r w:rsidRPr="005D365B">
        <w:rPr>
          <w:b/>
        </w:rPr>
        <w:t>ЗИД на ДОПК</w:t>
      </w:r>
      <w:r w:rsidRPr="008B1B58">
        <w:t xml:space="preserve"> </w:t>
      </w:r>
      <w:r w:rsidRPr="00580E3A">
        <w:t>(обн., ДВ, бр. 100, от 16.12.2022 г., в сила от 1.01.2023 г.)</w:t>
      </w:r>
      <w:r w:rsidRPr="00283D70">
        <w:t xml:space="preserve"> включват следните мерки/изменения:</w:t>
      </w:r>
    </w:p>
    <w:p w14:paraId="7B5C60B5" w14:textId="77777777" w:rsidR="00ED5447" w:rsidRDefault="00ED5447" w:rsidP="00ED5447">
      <w:pPr>
        <w:ind w:firstLine="567"/>
        <w:jc w:val="both"/>
        <w:rPr>
          <w:b/>
        </w:rPr>
      </w:pPr>
      <w:r>
        <w:rPr>
          <w:b/>
        </w:rPr>
        <w:t>-</w:t>
      </w:r>
      <w:r w:rsidRPr="00E30FDA">
        <w:rPr>
          <w:b/>
        </w:rPr>
        <w:t xml:space="preserve">Промени, свързани с хармонизиране с действащото законодателство </w:t>
      </w:r>
      <w:r>
        <w:rPr>
          <w:b/>
        </w:rPr>
        <w:t xml:space="preserve">с разпоредбите на </w:t>
      </w:r>
      <w:r w:rsidRPr="00CC4AA9">
        <w:rPr>
          <w:b/>
        </w:rPr>
        <w:t>Директива (ЕС) 2021/514 на Съвета от 22 март 2021 година за изменение на Директива 2011/16/ЕС относно административното сътрудничество в областта на данъчното облагане (Директива (ЕС) 2021/514)</w:t>
      </w:r>
      <w:r>
        <w:rPr>
          <w:b/>
        </w:rPr>
        <w:t xml:space="preserve"> - сила от 1 януари 2023 година</w:t>
      </w:r>
      <w:r w:rsidRPr="00CC4AA9">
        <w:rPr>
          <w:b/>
        </w:rPr>
        <w:t>.</w:t>
      </w:r>
      <w:r>
        <w:rPr>
          <w:b/>
        </w:rPr>
        <w:t xml:space="preserve">  </w:t>
      </w:r>
    </w:p>
    <w:p w14:paraId="21F7043B" w14:textId="77777777" w:rsidR="00ED5447" w:rsidRDefault="00ED5447" w:rsidP="00ED5447">
      <w:pPr>
        <w:ind w:firstLine="567"/>
        <w:jc w:val="both"/>
      </w:pPr>
      <w:r>
        <w:t>Направени са промени за о</w:t>
      </w:r>
      <w:r w:rsidRPr="00E30FDA">
        <w:t>тстраняване на съществуващите недостатъци в Директива 2011/16/ЕС на Съвета от</w:t>
      </w:r>
      <w:r>
        <w:t xml:space="preserve"> </w:t>
      </w:r>
      <w:r w:rsidRPr="00E30FDA">
        <w:t>15 февруари 2011 г. относно административното сътрудничество в областта на данъчното облагане и прецизиране в тази връзка на националните законодателства на държавите членки по еднозначен начин</w:t>
      </w:r>
      <w:r>
        <w:t>, които от своя страна</w:t>
      </w:r>
      <w:r w:rsidRPr="00E30FDA">
        <w:t xml:space="preserve"> гарантират правна сигурност и яснота на правилата в областта на административното сътрудничество и обмена на информация. Същевременно</w:t>
      </w:r>
      <w:r>
        <w:t>,</w:t>
      </w:r>
      <w:r w:rsidRPr="00E30FDA">
        <w:t xml:space="preserve"> развитието на цифровизацията на икономиката и възможностите за укриване на доходи, особено в случаите, когато дейността се извършва чрез цифрови платформи, установени в други юрисдикции, мотивира разширяването на обхвата на автоматичния обмен на информация за данъчни цели по отношение на доходите, реализирани чрез такива платформи, и техните получатели.</w:t>
      </w:r>
    </w:p>
    <w:p w14:paraId="1C6A044F" w14:textId="77777777" w:rsidR="00ED5447" w:rsidRDefault="00ED5447" w:rsidP="00ED5447">
      <w:pPr>
        <w:spacing w:after="120"/>
        <w:ind w:firstLine="567"/>
        <w:jc w:val="both"/>
      </w:pPr>
      <w:r w:rsidRPr="00E30FDA">
        <w:t xml:space="preserve">Във връзка </w:t>
      </w:r>
      <w:r>
        <w:t>с това</w:t>
      </w:r>
      <w:r w:rsidRPr="00E30FDA">
        <w:t xml:space="preserve"> и в съответствие с изискванията на Директива (ЕС) 2021/514 с</w:t>
      </w:r>
      <w:r>
        <w:t xml:space="preserve"> приетите промени с</w:t>
      </w:r>
      <w:r w:rsidRPr="00E30FDA">
        <w:t xml:space="preserve">ъс </w:t>
      </w:r>
      <w:r>
        <w:t>ЗИД</w:t>
      </w:r>
      <w:r w:rsidRPr="00E30FDA">
        <w:t xml:space="preserve"> на </w:t>
      </w:r>
      <w:r>
        <w:t>ДОПК</w:t>
      </w:r>
      <w:r w:rsidRPr="00E30FDA">
        <w:t xml:space="preserve"> се подобрява цялостната уредба на обмена на информация и административното сътрудничество и се разширява обхватът на автоматичния обмен на информация, като се включва и информацията, предоставяна от операторите на </w:t>
      </w:r>
      <w:r>
        <w:t xml:space="preserve">цифрови </w:t>
      </w:r>
      <w:r w:rsidRPr="00E30FDA">
        <w:t>платформи за продавачи, извършващи</w:t>
      </w:r>
      <w:r w:rsidRPr="004323AA">
        <w:t xml:space="preserve"> дейност чрез тези платформи. С приетите промени</w:t>
      </w:r>
      <w:r w:rsidRPr="00E30FDA">
        <w:t xml:space="preserve"> се прецизират основни понятия и се подобряват съществуващи процедури в областта на административното сътрудничество във връзка с установени в практиката неясноти. </w:t>
      </w:r>
      <w:r>
        <w:t>Други п</w:t>
      </w:r>
      <w:r w:rsidRPr="00E30FDA">
        <w:t>ромени в областта на административното сътрудничество</w:t>
      </w:r>
      <w:r>
        <w:t xml:space="preserve"> включват създаването на</w:t>
      </w:r>
      <w:r w:rsidRPr="00E30FDA">
        <w:t xml:space="preserve"> възможност за присъствие на длъжностни лица на държава членка по време на административно производство в друга държава членка, както и прецизиране на действащата разпоредба относно паралелните проверки, като е предви</w:t>
      </w:r>
      <w:r>
        <w:t>ден</w:t>
      </w:r>
      <w:r w:rsidRPr="00E30FDA">
        <w:t xml:space="preserve"> 60-дневен срок за отговор на запитания орган при отправено предложение за извършване на паралелна проверка.</w:t>
      </w:r>
      <w:r>
        <w:t xml:space="preserve"> </w:t>
      </w:r>
      <w:r w:rsidRPr="00E30FDA">
        <w:t>Създа</w:t>
      </w:r>
      <w:r>
        <w:t>дени са</w:t>
      </w:r>
      <w:r w:rsidRPr="00E30FDA">
        <w:t xml:space="preserve"> правила относно извършването на съвместни ревизии и проверки между две или повече държави членки.</w:t>
      </w:r>
      <w:r>
        <w:t xml:space="preserve"> Разпоредбите на </w:t>
      </w:r>
      <w:r w:rsidRPr="00E30FDA">
        <w:t>чл. 143г и с</w:t>
      </w:r>
      <w:r>
        <w:t>ъздадения нов чл. 143л „</w:t>
      </w:r>
      <w:r w:rsidRPr="00E30FDA">
        <w:t>Съвместни ревизии и проверки“</w:t>
      </w:r>
      <w:r>
        <w:t xml:space="preserve"> влизат в сила от 1 януари 2024 година.</w:t>
      </w:r>
    </w:p>
    <w:p w14:paraId="2A33F902" w14:textId="77777777" w:rsidR="00ED5447" w:rsidRPr="008B1B58" w:rsidRDefault="00ED5447" w:rsidP="00ED5447">
      <w:pPr>
        <w:ind w:firstLine="567"/>
        <w:jc w:val="both"/>
      </w:pPr>
    </w:p>
    <w:p w14:paraId="1DB0C032" w14:textId="77777777" w:rsidR="00393394" w:rsidRPr="00392AFB" w:rsidRDefault="00ED5447" w:rsidP="00392AFB">
      <w:pPr>
        <w:spacing w:before="120" w:after="120"/>
        <w:ind w:right="-43" w:firstLine="567"/>
        <w:jc w:val="both"/>
        <w:rPr>
          <w:b/>
          <w:u w:val="single"/>
        </w:rPr>
      </w:pPr>
      <w:r w:rsidRPr="0088046B">
        <w:rPr>
          <w:b/>
          <w:u w:val="single"/>
        </w:rPr>
        <w:t>По</w:t>
      </w:r>
      <w:r w:rsidRPr="00A30F1C">
        <w:rPr>
          <w:b/>
          <w:u w:val="single"/>
        </w:rPr>
        <w:t xml:space="preserve"> </w:t>
      </w:r>
      <w:r>
        <w:rPr>
          <w:b/>
          <w:u w:val="single"/>
        </w:rPr>
        <w:t>З</w:t>
      </w:r>
      <w:r w:rsidRPr="00A30F1C">
        <w:rPr>
          <w:b/>
          <w:u w:val="single"/>
        </w:rPr>
        <w:t>акона за данък върху добавената стойност</w:t>
      </w:r>
      <w:r>
        <w:rPr>
          <w:b/>
          <w:u w:val="single"/>
        </w:rPr>
        <w:t xml:space="preserve"> </w:t>
      </w:r>
      <w:r w:rsidRPr="00505E86">
        <w:rPr>
          <w:b/>
          <w:u w:val="single"/>
        </w:rPr>
        <w:t>(</w:t>
      </w:r>
      <w:r w:rsidRPr="00392AFB">
        <w:rPr>
          <w:b/>
          <w:u w:val="single"/>
        </w:rPr>
        <w:t>ЗДДС)</w:t>
      </w:r>
    </w:p>
    <w:p w14:paraId="7F49BC7C" w14:textId="381D1E35" w:rsidR="00ED5447" w:rsidRPr="0091470B" w:rsidRDefault="00ED5447" w:rsidP="00393394">
      <w:pPr>
        <w:spacing w:before="120"/>
        <w:ind w:firstLine="567"/>
        <w:jc w:val="both"/>
        <w:rPr>
          <w:b/>
        </w:rPr>
      </w:pPr>
      <w:r w:rsidRPr="0091470B">
        <w:rPr>
          <w:b/>
        </w:rPr>
        <w:t xml:space="preserve"> </w:t>
      </w:r>
      <w:r w:rsidR="00393394">
        <w:rPr>
          <w:b/>
        </w:rPr>
        <w:t>-</w:t>
      </w:r>
      <w:r w:rsidRPr="0091470B">
        <w:rPr>
          <w:b/>
        </w:rPr>
        <w:t xml:space="preserve">Увеличаване на размера на прага за задължително регистриране по ЗДДС </w:t>
      </w:r>
      <w:r w:rsidRPr="00B458A5">
        <w:rPr>
          <w:b/>
        </w:rPr>
        <w:t>от 50 000 лв. на 100 000 лв</w:t>
      </w:r>
      <w:r w:rsidRPr="0091470B">
        <w:rPr>
          <w:b/>
        </w:rPr>
        <w:t xml:space="preserve">. </w:t>
      </w:r>
    </w:p>
    <w:p w14:paraId="4A2D4845" w14:textId="77777777" w:rsidR="00ED5447" w:rsidRDefault="00ED5447" w:rsidP="00393394">
      <w:pPr>
        <w:ind w:firstLine="567"/>
        <w:jc w:val="both"/>
        <w:rPr>
          <w:bCs/>
          <w:iCs/>
        </w:rPr>
      </w:pPr>
      <w:r w:rsidRPr="00393394">
        <w:t>С направеното изменение на чл. 96, ал. 1 (ЗИД на ЗДДС, обн., ДВ, бр. 58 от 23.07.2022 г.) се повишава прага на задължителна регистрация по ЗДДС. Промяната влиза в сила от 1.01.2023</w:t>
      </w:r>
      <w:r w:rsidRPr="00393394">
        <w:rPr>
          <w:rFonts w:eastAsia="Calibri"/>
        </w:rPr>
        <w:t xml:space="preserve"> година. </w:t>
      </w:r>
      <w:r w:rsidRPr="00393394">
        <w:rPr>
          <w:bCs/>
          <w:iCs/>
        </w:rPr>
        <w:t>Решението на ЕС за разрешаване на Република България да въведе дерогация</w:t>
      </w:r>
      <w:r w:rsidRPr="00B458A5">
        <w:rPr>
          <w:bCs/>
          <w:iCs/>
        </w:rPr>
        <w:t xml:space="preserve"> от Директива 2006/112/ЕО </w:t>
      </w:r>
      <w:r w:rsidRPr="00401AFC">
        <w:rPr>
          <w:bCs/>
          <w:iCs/>
        </w:rPr>
        <w:t>на Съвета</w:t>
      </w:r>
      <w:r w:rsidRPr="00B458A5">
        <w:rPr>
          <w:bCs/>
          <w:iCs/>
        </w:rPr>
        <w:t xml:space="preserve"> </w:t>
      </w:r>
      <w:r w:rsidRPr="00401AFC">
        <w:rPr>
          <w:bCs/>
          <w:iCs/>
        </w:rPr>
        <w:t>от 28 ноември 2006 година</w:t>
      </w:r>
      <w:r w:rsidRPr="00B458A5">
        <w:rPr>
          <w:bCs/>
          <w:iCs/>
        </w:rPr>
        <w:t xml:space="preserve"> </w:t>
      </w:r>
      <w:r w:rsidRPr="00401AFC">
        <w:rPr>
          <w:bCs/>
          <w:iCs/>
        </w:rPr>
        <w:t>относно общата система на данъка върху добавената стойност</w:t>
      </w:r>
      <w:r w:rsidRPr="00B458A5">
        <w:rPr>
          <w:bCs/>
          <w:iCs/>
        </w:rPr>
        <w:t xml:space="preserve"> </w:t>
      </w:r>
      <w:r w:rsidRPr="00B458A5">
        <w:rPr>
          <w:bCs/>
          <w:iCs/>
          <w:lang w:val="en-GB"/>
        </w:rPr>
        <w:t>e</w:t>
      </w:r>
      <w:r w:rsidRPr="00B458A5">
        <w:rPr>
          <w:bCs/>
          <w:iCs/>
          <w:lang w:val="ru-RU"/>
        </w:rPr>
        <w:t xml:space="preserve"> прието от Съвета на ЕС на 14.11.2022 г. и е публикувано в Официален вестник на ЕС на 17.11.2022</w:t>
      </w:r>
      <w:r w:rsidRPr="00B458A5">
        <w:rPr>
          <w:bCs/>
          <w:iCs/>
          <w:lang w:val="en-US"/>
        </w:rPr>
        <w:t> </w:t>
      </w:r>
      <w:r w:rsidRPr="00B458A5">
        <w:rPr>
          <w:bCs/>
          <w:iCs/>
          <w:lang w:val="ru-RU"/>
        </w:rPr>
        <w:t>г. (L 297/69)</w:t>
      </w:r>
      <w:r w:rsidRPr="00B458A5">
        <w:rPr>
          <w:bCs/>
          <w:iCs/>
        </w:rPr>
        <w:t>;</w:t>
      </w:r>
    </w:p>
    <w:p w14:paraId="463A5FB9" w14:textId="77777777" w:rsidR="00ED5447" w:rsidRDefault="00ED5447" w:rsidP="00ED5447">
      <w:pPr>
        <w:ind w:firstLine="567"/>
        <w:jc w:val="both"/>
        <w:rPr>
          <w:b/>
        </w:rPr>
      </w:pPr>
      <w:r>
        <w:rPr>
          <w:b/>
        </w:rPr>
        <w:tab/>
        <w:t>-</w:t>
      </w:r>
      <w:r w:rsidRPr="00712A00">
        <w:rPr>
          <w:b/>
        </w:rPr>
        <w:t>Привеждане на законодателството в областта на данъка върху добавената стойност в съответствие с решенията на Съда на Европейския съюз</w:t>
      </w:r>
    </w:p>
    <w:p w14:paraId="4877222F" w14:textId="77777777" w:rsidR="00ED5447" w:rsidRDefault="00ED5447" w:rsidP="00ED5447">
      <w:pPr>
        <w:spacing w:after="120"/>
        <w:ind w:firstLine="567"/>
        <w:jc w:val="both"/>
      </w:pPr>
      <w:r w:rsidRPr="002657D3">
        <w:t xml:space="preserve">В съответствие с решенията на Съда на Европейския съюз са направени промени в ЗДДС за намаляване на данъчната основа на доставката при пълно или частично неплащане, което може да стане несъбираемо, с оглед на предвидената възможност в разпоредбата на чл. 90, параграф 1 от Директива 2006/112/ЕО на Съвета от 28 ноември 2006 г. относно общата система на данъка върху добавената стойност (Директивата за ДДС). Преди промените, българската правна уредба предвиждаше корекция на данъчната основа само при прекратяване или разваляне на договор. Съгласно последователната практика на СЕС относно тълкуването на чл. 90, параграф 1 и 2 от Директивата за ДДС държавите членки не могат да изключат намаляване на данъчната основа при неплащане, а в случай че се възползват от възможността, предвидена в параграф 2 на чл. 90, да дерогират от параграф 1, то тази дерогация трябва задължително да се основава на несигурността „относно окончателния характер на неплащането”. В решение по дело С-242/18 съдът подчертава, че съгласно принципа на данъчен неутралитет несигурността относно събирането на дължимите суми може да бъде взета предвид, като данъчно задълженото лице бъде лишено до момента, в който вземането не стане несъбираемо, от правото си да намалява данъчната основа. Промяната в ЗДДС е въведена със ЗИД на закона, обн., ДВ, бр. 102 от 23.12.2022 г., в сила от 1.01.2023 </w:t>
      </w:r>
      <w:r w:rsidRPr="00401AFC">
        <w:rPr>
          <w:bCs/>
          <w:iCs/>
          <w:lang w:val="ru-RU"/>
        </w:rPr>
        <w:t>година</w:t>
      </w:r>
      <w:r>
        <w:t>;</w:t>
      </w:r>
    </w:p>
    <w:p w14:paraId="5DF0DD7F" w14:textId="77777777" w:rsidR="00D91651" w:rsidRPr="00401AFC" w:rsidRDefault="00D91651" w:rsidP="00ED5447">
      <w:pPr>
        <w:spacing w:after="120"/>
        <w:ind w:firstLine="567"/>
        <w:jc w:val="both"/>
        <w:rPr>
          <w:b/>
        </w:rPr>
      </w:pPr>
    </w:p>
    <w:p w14:paraId="1D674715" w14:textId="661DBDCA" w:rsidR="00ED5447" w:rsidRDefault="00ED5447" w:rsidP="00ED5447">
      <w:pPr>
        <w:ind w:firstLine="567"/>
        <w:jc w:val="both"/>
        <w:rPr>
          <w:b/>
        </w:rPr>
      </w:pPr>
      <w:r>
        <w:rPr>
          <w:b/>
        </w:rPr>
        <w:t>-</w:t>
      </w:r>
      <w:r w:rsidR="007C7737">
        <w:rPr>
          <w:b/>
        </w:rPr>
        <w:t xml:space="preserve"> </w:t>
      </w:r>
      <w:r w:rsidRPr="00E30FDA">
        <w:rPr>
          <w:b/>
        </w:rPr>
        <w:t>Изпълнение на задължение за въвеждане на европейско законодателство в ЗДДС</w:t>
      </w:r>
    </w:p>
    <w:p w14:paraId="1E1EBA96" w14:textId="77777777" w:rsidR="00ED5447" w:rsidRDefault="00ED5447" w:rsidP="00ED5447">
      <w:pPr>
        <w:spacing w:after="120"/>
        <w:ind w:firstLine="567"/>
        <w:jc w:val="both"/>
      </w:pPr>
      <w:r w:rsidRPr="002657D3">
        <w:t xml:space="preserve">С цел да се разреши проблемът с измамите с ДДС при електронната търговия чрез засилване на сътрудничеството между данъчните органи и доставчиците на платежни услуги, както и във връзка с въведените с разпоредбите на Директива (ЕС) 2020/284 на Съвета от 18 февруари 2020 година за изменение на Директива 2006/112/ЕО по отношение на въвеждането на определени изисквания за доставчиците на платежни услуги (Директива (ЕС) 2020/284 изисквания за доставчиците на платежни услуги), са направени съответните изменения и в ЗДДС (ЗИД на ЗДДС, обн., ДВ, бр. 102 от 23.12.2022 г., в сила от 1.01.2023 г.). Директива 2020/284 има за цел да допълни законодателния ДДС пакет за облагане на електронната търговия, който влезе в сила на 1 юли 2021 година. Директива 2020/284 съдържа задължения за доставчиците на платежни услуги да предават определена информация за трансграничните плащания, произхождащи от държави членки и за бенефициента („получателя”) на тези презгранични плащания, с цел правилното отчитане и облагане с ДДС на електронната </w:t>
      </w:r>
      <w:r w:rsidRPr="00401AFC">
        <w:rPr>
          <w:bCs/>
          <w:iCs/>
          <w:lang w:val="ru-RU"/>
        </w:rPr>
        <w:t>търговия</w:t>
      </w:r>
      <w:r>
        <w:t xml:space="preserve"> в ЕС;</w:t>
      </w:r>
    </w:p>
    <w:p w14:paraId="1BE8CAAF" w14:textId="14763C82" w:rsidR="00ED5447" w:rsidRPr="00E30FDA" w:rsidRDefault="00ED5447" w:rsidP="00ED5447">
      <w:pPr>
        <w:ind w:firstLine="567"/>
        <w:jc w:val="both"/>
        <w:rPr>
          <w:b/>
        </w:rPr>
      </w:pPr>
      <w:r>
        <w:rPr>
          <w:b/>
        </w:rPr>
        <w:t>-</w:t>
      </w:r>
      <w:r w:rsidR="007C7737">
        <w:rPr>
          <w:b/>
        </w:rPr>
        <w:t xml:space="preserve"> </w:t>
      </w:r>
      <w:r w:rsidRPr="00E30FDA">
        <w:rPr>
          <w:b/>
        </w:rPr>
        <w:t>Разширяване кръга на освободени</w:t>
      </w:r>
      <w:r>
        <w:rPr>
          <w:b/>
        </w:rPr>
        <w:t>те</w:t>
      </w:r>
      <w:r w:rsidRPr="00E30FDA">
        <w:rPr>
          <w:b/>
        </w:rPr>
        <w:t xml:space="preserve"> доставки</w:t>
      </w:r>
      <w:r>
        <w:rPr>
          <w:b/>
        </w:rPr>
        <w:t xml:space="preserve"> с добавяне на дейността</w:t>
      </w:r>
      <w:r w:rsidRPr="00E30FDA">
        <w:rPr>
          <w:b/>
        </w:rPr>
        <w:t xml:space="preserve"> по управление на алтернативни инвестиционни фондове</w:t>
      </w:r>
    </w:p>
    <w:p w14:paraId="4CB46C46" w14:textId="77777777" w:rsidR="00ED5447" w:rsidRDefault="00ED5447" w:rsidP="00ED5447">
      <w:pPr>
        <w:ind w:firstLine="567"/>
        <w:jc w:val="both"/>
      </w:pPr>
      <w:r w:rsidRPr="00E30FDA">
        <w:t xml:space="preserve">  </w:t>
      </w:r>
      <w:r>
        <w:t>Въведената нова разпоредба</w:t>
      </w:r>
      <w:r w:rsidRPr="00E30FDA">
        <w:t xml:space="preserve"> в чл. 46, ал. 1 третира управлението на алтернативни инвестиционни фондове, определени като специални инвестиционни фондове в съответствие с критериите, установени от правото на </w:t>
      </w:r>
      <w:r>
        <w:t>ЕС, като освободена доставка;</w:t>
      </w:r>
    </w:p>
    <w:p w14:paraId="40AA84F5" w14:textId="560473B1" w:rsidR="00ED5447" w:rsidRPr="004323AA" w:rsidRDefault="00ED5447" w:rsidP="007C7737">
      <w:pPr>
        <w:tabs>
          <w:tab w:val="left" w:pos="709"/>
        </w:tabs>
        <w:ind w:firstLine="567"/>
        <w:jc w:val="both"/>
        <w:rPr>
          <w:b/>
        </w:rPr>
      </w:pPr>
      <w:r>
        <w:rPr>
          <w:b/>
        </w:rPr>
        <w:t>-</w:t>
      </w:r>
      <w:r w:rsidR="007C7737">
        <w:rPr>
          <w:b/>
        </w:rPr>
        <w:t xml:space="preserve"> </w:t>
      </w:r>
      <w:r w:rsidRPr="00283D70">
        <w:rPr>
          <w:b/>
        </w:rPr>
        <w:t xml:space="preserve">Въвеждане на намалена ставка на ДДС в размер на 9% за доставки </w:t>
      </w:r>
      <w:r w:rsidRPr="00E30FDA">
        <w:rPr>
          <w:b/>
        </w:rPr>
        <w:t>на печатни периодични издания, доставки на храни, подходяща за бебета или малки деца, както и бебешки пелени</w:t>
      </w:r>
    </w:p>
    <w:p w14:paraId="68BB8870" w14:textId="74601589" w:rsidR="00ED5447" w:rsidRPr="00FF3266" w:rsidRDefault="00ED5447" w:rsidP="00ED5447">
      <w:pPr>
        <w:spacing w:after="120"/>
        <w:ind w:firstLine="567"/>
        <w:jc w:val="both"/>
      </w:pPr>
      <w:r>
        <w:tab/>
      </w:r>
      <w:r w:rsidRPr="00FF3266">
        <w:t xml:space="preserve">Съгласно приетия § 5 на ЗИД на ЗДДС за изменение на чл. 66а от ЗДДС (ДВ, брой: 102, от дата 23.12.2022 г., влиза в сила от 1 януари 2023 г.), като постоянна мярка са въведени намалените данъчни ставки </w:t>
      </w:r>
      <w:r w:rsidRPr="00401AFC">
        <w:t>(</w:t>
      </w:r>
      <w:r w:rsidRPr="00FF3266">
        <w:t>от 20 % на 9 %</w:t>
      </w:r>
      <w:r w:rsidRPr="00401AFC">
        <w:t>)</w:t>
      </w:r>
      <w:r w:rsidRPr="00FF3266">
        <w:t xml:space="preserve"> за доставка на книги</w:t>
      </w:r>
      <w:r>
        <w:t xml:space="preserve"> </w:t>
      </w:r>
      <w:r w:rsidRPr="00401AFC">
        <w:t>(</w:t>
      </w:r>
      <w:r w:rsidRPr="00E30FDA">
        <w:t>за доставка на книги на физически носители, извършвана по електронен път, или и двете (включително учебници, познавателни книжки и учебни комплекти, детски книги с илюстрации, за рисуване или оцветяване, печатни или ръкописни нотни издания), различни от публикации, които са изцяло или основно предназначени за реклама, и различни от публикации, които са изцяло или основно съставени от видеосъдържание или аудио-музикално съдържание</w:t>
      </w:r>
      <w:r w:rsidRPr="00401AFC">
        <w:t>)</w:t>
      </w:r>
      <w:r w:rsidRPr="00FF3266">
        <w:t>, на храна, подходяща за бебета или за малки деца и на бебешки пелени и подобни хигиенни артикули</w:t>
      </w:r>
      <w:r w:rsidRPr="00001BFA">
        <w:t xml:space="preserve"> </w:t>
      </w:r>
      <w:r w:rsidRPr="00E30FDA">
        <w:t>по приложение № 4</w:t>
      </w:r>
      <w:r w:rsidRPr="00FF3266">
        <w:t>;</w:t>
      </w:r>
    </w:p>
    <w:p w14:paraId="7D6E1DEE" w14:textId="2F6F6B10" w:rsidR="00ED5447" w:rsidRDefault="00ED5447" w:rsidP="00ED5447">
      <w:pPr>
        <w:ind w:firstLine="567"/>
        <w:jc w:val="both"/>
        <w:rPr>
          <w:b/>
        </w:rPr>
      </w:pPr>
      <w:r>
        <w:rPr>
          <w:b/>
        </w:rPr>
        <w:t>-</w:t>
      </w:r>
      <w:r w:rsidR="005156C2">
        <w:rPr>
          <w:b/>
        </w:rPr>
        <w:t xml:space="preserve"> </w:t>
      </w:r>
      <w:r w:rsidRPr="00401AFC">
        <w:rPr>
          <w:b/>
        </w:rPr>
        <w:t>Удължен е</w:t>
      </w:r>
      <w:r w:rsidRPr="009618E1">
        <w:rPr>
          <w:b/>
        </w:rPr>
        <w:t xml:space="preserve"> срок</w:t>
      </w:r>
      <w:r>
        <w:rPr>
          <w:b/>
        </w:rPr>
        <w:t>ът</w:t>
      </w:r>
      <w:r w:rsidRPr="009618E1">
        <w:rPr>
          <w:b/>
        </w:rPr>
        <w:t xml:space="preserve"> на действие на </w:t>
      </w:r>
      <w:r>
        <w:rPr>
          <w:b/>
        </w:rPr>
        <w:t xml:space="preserve">намалената ставка за </w:t>
      </w:r>
      <w:r w:rsidRPr="00FF3266">
        <w:rPr>
          <w:b/>
          <w:i/>
        </w:rPr>
        <w:t>ресторантьорски и кетъринг</w:t>
      </w:r>
      <w:r>
        <w:rPr>
          <w:b/>
          <w:i/>
        </w:rPr>
        <w:t xml:space="preserve"> и</w:t>
      </w:r>
      <w:r w:rsidRPr="00FF3266">
        <w:t xml:space="preserve"> </w:t>
      </w:r>
      <w:r w:rsidRPr="00FF3266">
        <w:rPr>
          <w:b/>
          <w:i/>
        </w:rPr>
        <w:t>за доставка на услуга за използване на спортни съоръжения</w:t>
      </w:r>
      <w:r>
        <w:rPr>
          <w:b/>
          <w:i/>
        </w:rPr>
        <w:t xml:space="preserve">, и срокът на действие на </w:t>
      </w:r>
      <w:r w:rsidRPr="00FF3266">
        <w:rPr>
          <w:b/>
          <w:i/>
        </w:rPr>
        <w:t>нулева</w:t>
      </w:r>
      <w:r>
        <w:rPr>
          <w:b/>
          <w:i/>
        </w:rPr>
        <w:t>та</w:t>
      </w:r>
      <w:r w:rsidRPr="00FF3266">
        <w:rPr>
          <w:b/>
          <w:i/>
        </w:rPr>
        <w:t xml:space="preserve"> ставка на ДДС за доставки на хляб и на брашно</w:t>
      </w:r>
      <w:r>
        <w:rPr>
          <w:b/>
          <w:i/>
        </w:rPr>
        <w:t xml:space="preserve"> - </w:t>
      </w:r>
      <w:r w:rsidRPr="00FF3266">
        <w:t>§ 38 на ЗИД на ЗДДС за изменение на § 15д от ПЗР на ЗДДС (ДВ, брой: 102, от дата 23.12.2022 г.</w:t>
      </w:r>
      <w:r>
        <w:t>)</w:t>
      </w:r>
      <w:r w:rsidRPr="00FF3266">
        <w:t xml:space="preserve"> влиза в сила от 1 януари 2023 г. и удължава действието </w:t>
      </w:r>
      <w:r>
        <w:t>на намалената/нулевата ставка на ДДС до 31.12.2023 година;</w:t>
      </w:r>
    </w:p>
    <w:p w14:paraId="047F2D39" w14:textId="4C4E904A" w:rsidR="00ED5447" w:rsidRPr="00E30FDA" w:rsidRDefault="00ED5447" w:rsidP="00ED5447">
      <w:pPr>
        <w:ind w:firstLine="567"/>
        <w:jc w:val="both"/>
        <w:rPr>
          <w:b/>
        </w:rPr>
      </w:pPr>
      <w:r>
        <w:rPr>
          <w:b/>
        </w:rPr>
        <w:t>-</w:t>
      </w:r>
      <w:r w:rsidR="005156C2">
        <w:rPr>
          <w:b/>
        </w:rPr>
        <w:t xml:space="preserve"> </w:t>
      </w:r>
      <w:r>
        <w:rPr>
          <w:b/>
        </w:rPr>
        <w:t>П</w:t>
      </w:r>
      <w:r w:rsidRPr="00E30FDA">
        <w:rPr>
          <w:b/>
        </w:rPr>
        <w:t xml:space="preserve">рецизиране на разпоредби, включително във връзка с възникнали затруднения при практическото прилагане на закона </w:t>
      </w:r>
      <w:r>
        <w:rPr>
          <w:b/>
        </w:rPr>
        <w:t xml:space="preserve">- </w:t>
      </w:r>
      <w:r w:rsidRPr="002657D3">
        <w:rPr>
          <w:b/>
        </w:rPr>
        <w:t>ЗИД на ЗДДС, обн., ДВ, бр. 102 от 23.12.2022 г., в сила от 1.01.2023 година</w:t>
      </w:r>
    </w:p>
    <w:p w14:paraId="1DF69DA1" w14:textId="77777777" w:rsidR="00ED5447" w:rsidRPr="00E30FDA" w:rsidRDefault="00ED5447" w:rsidP="00ED5447">
      <w:pPr>
        <w:ind w:firstLine="567"/>
        <w:jc w:val="both"/>
      </w:pPr>
      <w:r w:rsidRPr="00E30FDA">
        <w:t xml:space="preserve">С цел намаляване на административната тежест по отношение на данъчно задължените лица, които са обявени в ликвидация, е </w:t>
      </w:r>
      <w:r>
        <w:t>прието</w:t>
      </w:r>
      <w:r w:rsidRPr="00E30FDA">
        <w:t xml:space="preserve">, ако тези лица са избрали да останат регистрирани по закона до датата на заличаването им от търговския регистър, да не подават заявление за дерегистрация към датата на заличаването им. Прекратяването на регистрацията по ЗДДС на тези лица се извършва служебно от органите по приходите. </w:t>
      </w:r>
    </w:p>
    <w:p w14:paraId="1909ECA0" w14:textId="77777777" w:rsidR="00ED5447" w:rsidRDefault="00ED5447" w:rsidP="00ED5447">
      <w:pPr>
        <w:tabs>
          <w:tab w:val="left" w:pos="709"/>
        </w:tabs>
        <w:ind w:firstLine="567"/>
        <w:jc w:val="both"/>
      </w:pPr>
      <w:r>
        <w:tab/>
        <w:t>Въведена е</w:t>
      </w:r>
      <w:r w:rsidRPr="00E30FDA">
        <w:t xml:space="preserve"> промяна на срока за предоставянето на обезпечение при търговия с течни горива. С </w:t>
      </w:r>
      <w:r>
        <w:t xml:space="preserve">изменението се дава </w:t>
      </w:r>
      <w:r w:rsidRPr="00E30FDA">
        <w:t xml:space="preserve">възможност на лицата да отчитат своевременно промяната на цената на горивата на вътрешният пазар, повлияна от: борсовите котировки на световните борси; пазарните промени в ценовите условия на производители и вносители, водещи до преразпределение на обемите </w:t>
      </w:r>
      <w:r>
        <w:t xml:space="preserve">до </w:t>
      </w:r>
      <w:r w:rsidRPr="00E30FDA">
        <w:t>крайни клиенти; последици от аварии и природни бедствия, водещи до временно преразпределяне на клиентите на даден производител/вносител и др.</w:t>
      </w:r>
    </w:p>
    <w:p w14:paraId="2CC78660" w14:textId="77777777" w:rsidR="00ED5447" w:rsidRPr="009618E1" w:rsidRDefault="00ED5447" w:rsidP="00ED5447">
      <w:pPr>
        <w:tabs>
          <w:tab w:val="left" w:pos="709"/>
        </w:tabs>
        <w:ind w:firstLine="567"/>
        <w:jc w:val="both"/>
        <w:rPr>
          <w:strike/>
        </w:rPr>
      </w:pPr>
      <w:r>
        <w:t xml:space="preserve"> </w:t>
      </w:r>
    </w:p>
    <w:p w14:paraId="6CE1FECD" w14:textId="77777777" w:rsidR="00ED5447" w:rsidRPr="00392AFB" w:rsidRDefault="00ED5447" w:rsidP="00392AFB">
      <w:pPr>
        <w:spacing w:before="120" w:after="120"/>
        <w:ind w:right="-43" w:firstLine="567"/>
        <w:jc w:val="both"/>
        <w:rPr>
          <w:b/>
          <w:u w:val="single"/>
        </w:rPr>
      </w:pPr>
      <w:r w:rsidRPr="00A30F1C">
        <w:rPr>
          <w:b/>
          <w:u w:val="single"/>
        </w:rPr>
        <w:t xml:space="preserve">По закона за </w:t>
      </w:r>
      <w:r>
        <w:rPr>
          <w:b/>
          <w:u w:val="single"/>
        </w:rPr>
        <w:t>акцизите и данъчните складове</w:t>
      </w:r>
      <w:r w:rsidRPr="00505E86">
        <w:rPr>
          <w:b/>
          <w:u w:val="single"/>
        </w:rPr>
        <w:t xml:space="preserve"> (</w:t>
      </w:r>
      <w:r>
        <w:rPr>
          <w:b/>
          <w:u w:val="single"/>
        </w:rPr>
        <w:t>ЗАДС</w:t>
      </w:r>
      <w:r w:rsidRPr="00505E86">
        <w:rPr>
          <w:b/>
          <w:u w:val="single"/>
        </w:rPr>
        <w:t>)</w:t>
      </w:r>
    </w:p>
    <w:p w14:paraId="34F8E98C" w14:textId="77777777" w:rsidR="00ED5447" w:rsidRPr="00505E86" w:rsidRDefault="00ED5447" w:rsidP="00ED5447">
      <w:pPr>
        <w:ind w:firstLine="567"/>
        <w:jc w:val="both"/>
        <w:rPr>
          <w:bCs/>
          <w:iCs/>
        </w:rPr>
      </w:pPr>
      <w:r w:rsidRPr="00505E86">
        <w:rPr>
          <w:bCs/>
          <w:iCs/>
        </w:rPr>
        <w:t xml:space="preserve">По отношение на облагането с акциз на тютюна и тютюневите изделия е въведен акцизен календар за поетапно увеличаване на ставките за период от четири години в Закона за акцизите и данъчните складове - в сила от 1 март 2023 г. - т.2 на § 31 от ПЗР на ЗИД на ДОПК за изменение на ЗАДС (изм., бр. 100 от 2022 г., в сила от 1.03.2023 г.).  Дадена е дефиниция за „течност за електронна цигара, съдържаща никотин" като същата става част от тютюневите изделия (нов чл. 12б от ЗАДС). </w:t>
      </w:r>
    </w:p>
    <w:p w14:paraId="4C246910" w14:textId="77777777" w:rsidR="00ED5447" w:rsidRDefault="00ED5447" w:rsidP="00ED5447">
      <w:pPr>
        <w:spacing w:line="190" w:lineRule="atLeast"/>
        <w:ind w:firstLine="567"/>
        <w:jc w:val="both"/>
        <w:textAlignment w:val="center"/>
      </w:pPr>
    </w:p>
    <w:p w14:paraId="2BDF7669" w14:textId="006A964E" w:rsidR="00ED5447" w:rsidRPr="008B1B58" w:rsidRDefault="00ED5447" w:rsidP="00ED5447">
      <w:pPr>
        <w:ind w:firstLine="567"/>
        <w:jc w:val="both"/>
      </w:pPr>
      <w:r>
        <w:rPr>
          <w:b/>
        </w:rPr>
        <w:t>-</w:t>
      </w:r>
      <w:r w:rsidR="00B51B93">
        <w:rPr>
          <w:b/>
        </w:rPr>
        <w:t xml:space="preserve"> </w:t>
      </w:r>
      <w:r>
        <w:rPr>
          <w:b/>
        </w:rPr>
        <w:t>Други п</w:t>
      </w:r>
      <w:r w:rsidRPr="00E649E0">
        <w:rPr>
          <w:b/>
        </w:rPr>
        <w:t xml:space="preserve">ромени в областта на </w:t>
      </w:r>
      <w:r>
        <w:rPr>
          <w:b/>
        </w:rPr>
        <w:t>косвеното</w:t>
      </w:r>
      <w:r w:rsidRPr="00E649E0">
        <w:rPr>
          <w:b/>
        </w:rPr>
        <w:t xml:space="preserve"> облагане </w:t>
      </w:r>
      <w:r>
        <w:rPr>
          <w:b/>
        </w:rPr>
        <w:t>по</w:t>
      </w:r>
      <w:r w:rsidRPr="00E649E0">
        <w:rPr>
          <w:b/>
        </w:rPr>
        <w:t xml:space="preserve"> </w:t>
      </w:r>
      <w:r>
        <w:rPr>
          <w:b/>
        </w:rPr>
        <w:t>ЗАДС</w:t>
      </w:r>
      <w:r w:rsidRPr="00E649E0">
        <w:rPr>
          <w:b/>
        </w:rPr>
        <w:t xml:space="preserve"> включват следните мерки/изменения</w:t>
      </w:r>
      <w:r>
        <w:rPr>
          <w:b/>
        </w:rPr>
        <w:t xml:space="preserve"> </w:t>
      </w:r>
      <w:r w:rsidRPr="008B1B58">
        <w:t xml:space="preserve">(ЗИД на </w:t>
      </w:r>
      <w:r>
        <w:t>ЗАДС</w:t>
      </w:r>
      <w:r w:rsidRPr="008B1B58">
        <w:t>, обн., ДВ, бр. 102 от 23.12.2022 г., в сила от 1.01.2023 г.):</w:t>
      </w:r>
    </w:p>
    <w:p w14:paraId="36CE6DB1" w14:textId="77777777" w:rsidR="00ED5447" w:rsidRPr="00012D38" w:rsidRDefault="00ED5447" w:rsidP="00ED5447">
      <w:pPr>
        <w:tabs>
          <w:tab w:val="left" w:pos="709"/>
        </w:tabs>
        <w:ind w:firstLine="567"/>
        <w:jc w:val="both"/>
        <w:rPr>
          <w:bCs/>
          <w:iCs/>
        </w:rPr>
      </w:pPr>
      <w:r>
        <w:rPr>
          <w:bCs/>
          <w:iCs/>
        </w:rPr>
        <w:tab/>
      </w:r>
      <w:r w:rsidRPr="00012D38">
        <w:rPr>
          <w:bCs/>
          <w:iCs/>
        </w:rPr>
        <w:t xml:space="preserve">Част от направените промени в ЗАДС (ЗИД на ЗАДС, обн., ДВ, бр. 102 от 23.12.2022 г., в сила от 1.01.2023 г.) са с цел намаляване на административната тежест и създаване на облекчени условия за икономическите оператори, включително за премахване на потенциални пречки пред данъчно задължените лица при прилагането на новите режими в ЗАДС, които са в сила от 13 февруари 2023 година. Въведена е нова разпоредба за отстраняване на пропуск в ЗАДС, тъй като лицата, които получават на територията на страната акцизни стоки, които не се облагат с акциз в държавата членка на изпращане, не бяха сред изрично дефинираните като данъчно задължени лица. Прието е при внасяне или въвеждане на територията на страната на продукти от вида масла от растителни мазнини, метанол и т.н., лицата, които внасят или въвеждат тези стоки, да декларират пред митническите органи предназначението на стоката (дали ще се използва и/или предлага за продажба като моторно гориво и гориво за отопление). Създадена е правна рамка, при която сертифицираните получатели ще подават месечна акцизна декларация за данъчния период, а не както досега, лицата да декларират и заплащат акциза за всяко получаване на акцизни стоки, освободени за потребление на територията на друга държава членка. </w:t>
      </w:r>
    </w:p>
    <w:p w14:paraId="2852E715" w14:textId="77777777" w:rsidR="00ED5447" w:rsidRPr="00012D38" w:rsidRDefault="00ED5447" w:rsidP="00ED5447">
      <w:pPr>
        <w:tabs>
          <w:tab w:val="left" w:pos="709"/>
        </w:tabs>
        <w:ind w:firstLine="567"/>
        <w:jc w:val="both"/>
        <w:rPr>
          <w:bCs/>
          <w:iCs/>
        </w:rPr>
      </w:pPr>
      <w:r>
        <w:rPr>
          <w:bCs/>
          <w:iCs/>
        </w:rPr>
        <w:tab/>
      </w:r>
      <w:r w:rsidRPr="00012D38">
        <w:rPr>
          <w:bCs/>
          <w:iCs/>
        </w:rPr>
        <w:t>Отпадна задължението за регистрация по ЗАДС на лицата, които потребяват собствена електрическа енергия, произведена от енергия от възобновяеми източници за свои собствени нужди от централа с обща инсталирана общност до 1 MW. Промяната е в изпълнение на поет ангажимент в Плана за възстановяване и устойчивост на Република България в реформа C4.R6 „Стимулиране на производството на електроенергия от възобновяеми източници“. Хипотезите на задължителна регистрация (в чл. 57а от ЗАДС) са  допълнени с лицата, които внасят или въвеждат на територията на страната компресиран природен газ, транспортиран със специализирани съдове. Тази промяна цели повишаване на контрола по акцизното законодателство и избягване на отклонение или избягване на заплащане на съответния дължим акциз в зависимост от потреблението. Изрично е уредено, че не се смятат за производство на енергийни продукти дейности, при които потребителят на даден енергиен продукт прави възможна повторната му употреба в неговото предприятие, при условие че вече платеният акциз за този продукт не е по-малък от размера на акциза, който би бил дължим, когато върху повторно използвания продукт трябва да се наложи повторен акциз.</w:t>
      </w:r>
    </w:p>
    <w:p w14:paraId="0F77EAEC" w14:textId="77777777" w:rsidR="00ED5447" w:rsidRDefault="00ED5447" w:rsidP="00ED5447">
      <w:pPr>
        <w:ind w:firstLine="567"/>
        <w:jc w:val="both"/>
      </w:pPr>
      <w:r>
        <w:rPr>
          <w:rFonts w:eastAsia="Garamond"/>
          <w:bCs/>
        </w:rPr>
        <w:t>Предвид продължаващата с</w:t>
      </w:r>
      <w:r w:rsidRPr="00283D70">
        <w:rPr>
          <w:rFonts w:eastAsia="Garamond"/>
          <w:bCs/>
        </w:rPr>
        <w:t xml:space="preserve">итуацията, свързана със скока на цените както на нефта, природния газ, електрическата енергия и горивата, така и на цените на основни хранителни продукти, породени от нарасналото търсене в европейски и световен мащаб, </w:t>
      </w:r>
      <w:r>
        <w:t xml:space="preserve">някои от въведените мерки в </w:t>
      </w:r>
      <w:r w:rsidRPr="00283D70">
        <w:rPr>
          <w:b/>
        </w:rPr>
        <w:t>пакет от антикризисни мерки</w:t>
      </w:r>
      <w:r>
        <w:rPr>
          <w:b/>
        </w:rPr>
        <w:t xml:space="preserve"> </w:t>
      </w:r>
      <w:r w:rsidRPr="00392739">
        <w:t>продължават своето действие и през настоящата година.</w:t>
      </w:r>
      <w:r w:rsidRPr="00283D70">
        <w:t xml:space="preserve"> Променлива величина остава ефектът от протичащите процеси във външноикономически план, включително от военния конфликт в Украйна.</w:t>
      </w:r>
    </w:p>
    <w:p w14:paraId="067C0E7E" w14:textId="0A3995B7" w:rsidR="00ED5447" w:rsidRDefault="00ED5447" w:rsidP="00ED5447">
      <w:pPr>
        <w:ind w:firstLine="567"/>
        <w:jc w:val="both"/>
      </w:pPr>
      <w:r>
        <w:t>Поради обективно стекли се обстоятелства държавният бюджет за 2023 г. не беше приет преди началото на настоящата бюджетна година. В такава хипотеза, съгласно чл. 87, ал. 1 от Закона за публичните финанси,</w:t>
      </w:r>
      <w:r w:rsidRPr="000B3725">
        <w:t xml:space="preserve"> приходите на бюджета се събират в съответствие с действащите закони, а извършването на разходите и предоставянето на трансфери е в размер не по-голям от размера им за същия период на предходната година, до размера на постъпилите приходи, помощи и дарения, като се отчитат влезли в сила актове на Народното събрание и на Министерския съвет, които предвиждат допълнителни или намалени бюджетни средства, и при спазване на фискалните правила по този закон и одобрените от Министерския съвет със средносрочната бюджетна прогноза фискални цели.</w:t>
      </w:r>
      <w:r>
        <w:t xml:space="preserve"> Максималният срок на прилагане на посочения ред е ограничен с ал. 3 на същата разпоредба до три месеца. В тази връзка, беше приет </w:t>
      </w:r>
      <w:r w:rsidRPr="00A139F1">
        <w:t xml:space="preserve">Закон за прилагане на разпоредби на </w:t>
      </w:r>
      <w:r w:rsidRPr="00E805B9">
        <w:t>Закон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w:t>
      </w:r>
      <w:r w:rsidRPr="00823558">
        <w:t xml:space="preserve"> </w:t>
      </w:r>
      <w:r>
        <w:t xml:space="preserve">(обн., ДВ, </w:t>
      </w:r>
      <w:r w:rsidRPr="00E805B9">
        <w:t>бр</w:t>
      </w:r>
      <w:r>
        <w:t>.</w:t>
      </w:r>
      <w:r w:rsidRPr="00E805B9">
        <w:t xml:space="preserve"> 104, от дата 30.12.2022 г.)</w:t>
      </w:r>
      <w:r>
        <w:t>, с който е удължено действието на плащания, размери и квоти през 2023 г. на нивата от 2022 година.</w:t>
      </w:r>
    </w:p>
    <w:p w14:paraId="5E314D18" w14:textId="77777777" w:rsidR="004312F7" w:rsidRDefault="004312F7" w:rsidP="00ED5447">
      <w:pPr>
        <w:ind w:firstLine="567"/>
        <w:jc w:val="both"/>
      </w:pPr>
    </w:p>
    <w:p w14:paraId="0390A219" w14:textId="7F605565" w:rsidR="00222173" w:rsidRPr="00E90B5E" w:rsidRDefault="00222173" w:rsidP="00E90B5E">
      <w:pPr>
        <w:keepNext/>
        <w:numPr>
          <w:ilvl w:val="0"/>
          <w:numId w:val="9"/>
        </w:numPr>
        <w:ind w:right="-108"/>
        <w:jc w:val="both"/>
        <w:outlineLvl w:val="0"/>
        <w:rPr>
          <w:b/>
          <w:bCs/>
        </w:rPr>
      </w:pPr>
      <w:r w:rsidRPr="00E90B5E">
        <w:rPr>
          <w:b/>
          <w:bCs/>
        </w:rPr>
        <w:t>Изпълнение на държавния бюджет</w:t>
      </w:r>
      <w:r w:rsidRPr="00E90B5E">
        <w:rPr>
          <w:b/>
          <w:sz w:val="20"/>
          <w:szCs w:val="20"/>
          <w:vertAlign w:val="superscript"/>
        </w:rPr>
        <w:footnoteReference w:id="6"/>
      </w:r>
      <w:r w:rsidRPr="00E90B5E">
        <w:rPr>
          <w:b/>
          <w:bCs/>
        </w:rPr>
        <w:t xml:space="preserve"> за </w:t>
      </w:r>
      <w:r w:rsidR="00E90B5E" w:rsidRPr="00E90B5E">
        <w:rPr>
          <w:b/>
          <w:bCs/>
        </w:rPr>
        <w:t xml:space="preserve">първото тримесечие </w:t>
      </w:r>
      <w:r w:rsidRPr="00E90B5E">
        <w:rPr>
          <w:b/>
          <w:bCs/>
        </w:rPr>
        <w:t>на 202</w:t>
      </w:r>
      <w:r w:rsidR="00E90B5E" w:rsidRPr="00E90B5E">
        <w:rPr>
          <w:b/>
          <w:bCs/>
        </w:rPr>
        <w:t>3</w:t>
      </w:r>
      <w:r w:rsidRPr="00E90B5E">
        <w:rPr>
          <w:b/>
          <w:bCs/>
        </w:rPr>
        <w:t xml:space="preserve"> г.</w:t>
      </w:r>
    </w:p>
    <w:p w14:paraId="66E39E1B" w14:textId="77777777" w:rsidR="00455072" w:rsidRPr="00455072" w:rsidRDefault="00455072" w:rsidP="00455072">
      <w:pPr>
        <w:tabs>
          <w:tab w:val="left" w:pos="1080"/>
        </w:tabs>
        <w:spacing w:before="120"/>
        <w:jc w:val="both"/>
      </w:pPr>
      <w:r w:rsidRPr="00455072">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2E2F5F98" w14:textId="77777777" w:rsidR="00455072" w:rsidRPr="00455072" w:rsidRDefault="00455072" w:rsidP="00455072">
      <w:pPr>
        <w:tabs>
          <w:tab w:val="left" w:pos="1080"/>
        </w:tabs>
        <w:spacing w:before="120"/>
        <w:jc w:val="both"/>
        <w:rPr>
          <w:color w:val="0070C0"/>
          <w:sz w:val="6"/>
        </w:rPr>
      </w:pPr>
    </w:p>
    <w:p w14:paraId="6A7304A9" w14:textId="77777777" w:rsidR="00455072" w:rsidRPr="00455072" w:rsidRDefault="00455072" w:rsidP="00455072">
      <w:pPr>
        <w:ind w:right="-242"/>
        <w:rPr>
          <w:b/>
          <w:bCs/>
          <w:sz w:val="20"/>
          <w:szCs w:val="20"/>
          <w:lang w:eastAsia="bg-BG"/>
        </w:rPr>
      </w:pPr>
      <w:r w:rsidRPr="00455072">
        <w:rPr>
          <w:b/>
          <w:bCs/>
          <w:sz w:val="20"/>
          <w:szCs w:val="20"/>
          <w:lang w:eastAsia="bg-BG"/>
        </w:rPr>
        <w:t xml:space="preserve">            Таблица</w:t>
      </w:r>
      <w:r w:rsidRPr="00455072">
        <w:rPr>
          <w:vertAlign w:val="superscript"/>
          <w:lang w:eastAsia="bg-BG"/>
        </w:rPr>
        <w:footnoteReference w:id="7"/>
      </w:r>
      <w:r w:rsidRPr="00455072">
        <w:rPr>
          <w:b/>
          <w:bCs/>
          <w:sz w:val="20"/>
          <w:szCs w:val="20"/>
          <w:lang w:eastAsia="bg-BG"/>
        </w:rPr>
        <w:t xml:space="preserve">  №1      </w:t>
      </w:r>
      <w:r w:rsidRPr="00455072">
        <w:rPr>
          <w:b/>
          <w:bCs/>
          <w:sz w:val="20"/>
          <w:szCs w:val="20"/>
          <w:lang w:eastAsia="bg-BG"/>
        </w:rPr>
        <w:tab/>
      </w:r>
      <w:r w:rsidRPr="00455072">
        <w:rPr>
          <w:b/>
          <w:bCs/>
          <w:sz w:val="20"/>
          <w:szCs w:val="20"/>
          <w:lang w:eastAsia="bg-BG"/>
        </w:rPr>
        <w:tab/>
        <w:t xml:space="preserve">                                          </w:t>
      </w:r>
      <w:r w:rsidRPr="00455072">
        <w:rPr>
          <w:b/>
          <w:bCs/>
          <w:sz w:val="20"/>
          <w:szCs w:val="20"/>
          <w:lang w:eastAsia="bg-BG"/>
        </w:rPr>
        <w:tab/>
      </w:r>
      <w:r w:rsidRPr="00455072">
        <w:rPr>
          <w:b/>
          <w:bCs/>
          <w:sz w:val="20"/>
          <w:szCs w:val="20"/>
          <w:lang w:eastAsia="bg-BG"/>
        </w:rPr>
        <w:tab/>
      </w:r>
      <w:r w:rsidRPr="00455072">
        <w:rPr>
          <w:b/>
          <w:bCs/>
          <w:sz w:val="20"/>
          <w:szCs w:val="20"/>
          <w:lang w:eastAsia="bg-BG"/>
        </w:rPr>
        <w:tab/>
      </w:r>
      <w:r w:rsidRPr="00455072">
        <w:rPr>
          <w:b/>
          <w:bCs/>
          <w:sz w:val="20"/>
          <w:szCs w:val="20"/>
          <w:lang w:eastAsia="bg-BG"/>
        </w:rPr>
        <w:tab/>
        <w:t xml:space="preserve">  (млн. лв.)</w:t>
      </w:r>
    </w:p>
    <w:p w14:paraId="5986BB4F" w14:textId="77777777" w:rsidR="00455072" w:rsidRPr="00455072" w:rsidRDefault="00455072" w:rsidP="00455072">
      <w:pPr>
        <w:ind w:right="-242"/>
        <w:rPr>
          <w:b/>
          <w:bCs/>
          <w:color w:val="0070C0"/>
          <w:sz w:val="6"/>
          <w:szCs w:val="6"/>
          <w:lang w:eastAsia="bg-BG"/>
        </w:rPr>
      </w:pPr>
    </w:p>
    <w:tbl>
      <w:tblPr>
        <w:tblW w:w="9213" w:type="dxa"/>
        <w:jc w:val="center"/>
        <w:tblCellMar>
          <w:left w:w="70" w:type="dxa"/>
          <w:right w:w="70" w:type="dxa"/>
        </w:tblCellMar>
        <w:tblLook w:val="0000" w:firstRow="0" w:lastRow="0" w:firstColumn="0" w:lastColumn="0" w:noHBand="0" w:noVBand="0"/>
      </w:tblPr>
      <w:tblGrid>
        <w:gridCol w:w="4654"/>
        <w:gridCol w:w="1644"/>
        <w:gridCol w:w="1510"/>
        <w:gridCol w:w="1405"/>
      </w:tblGrid>
      <w:tr w:rsidR="00455072" w:rsidRPr="00455072" w14:paraId="6F526675" w14:textId="77777777" w:rsidTr="00455072">
        <w:trPr>
          <w:trHeight w:val="520"/>
          <w:jc w:val="center"/>
        </w:trPr>
        <w:tc>
          <w:tcPr>
            <w:tcW w:w="4654" w:type="dxa"/>
            <w:tcBorders>
              <w:top w:val="single" w:sz="8" w:space="0" w:color="auto"/>
              <w:left w:val="single" w:sz="8" w:space="0" w:color="auto"/>
              <w:bottom w:val="nil"/>
              <w:right w:val="single" w:sz="8" w:space="0" w:color="auto"/>
            </w:tcBorders>
            <w:shd w:val="clear" w:color="auto" w:fill="auto"/>
            <w:noWrap/>
            <w:vAlign w:val="center"/>
          </w:tcPr>
          <w:p w14:paraId="20CC9F77" w14:textId="77777777" w:rsidR="00455072" w:rsidRPr="00455072" w:rsidRDefault="00455072" w:rsidP="00455072">
            <w:pPr>
              <w:jc w:val="center"/>
              <w:rPr>
                <w:b/>
                <w:bCs/>
                <w:sz w:val="18"/>
                <w:szCs w:val="18"/>
                <w:lang w:eastAsia="bg-BG"/>
              </w:rPr>
            </w:pPr>
            <w:r w:rsidRPr="00455072">
              <w:rPr>
                <w:b/>
                <w:bCs/>
                <w:sz w:val="18"/>
                <w:szCs w:val="18"/>
                <w:lang w:eastAsia="bg-BG"/>
              </w:rPr>
              <w:t>ПОКАЗАТЕЛИ</w:t>
            </w:r>
          </w:p>
        </w:tc>
        <w:tc>
          <w:tcPr>
            <w:tcW w:w="1644" w:type="dxa"/>
            <w:tcBorders>
              <w:top w:val="single" w:sz="8" w:space="0" w:color="auto"/>
              <w:left w:val="nil"/>
              <w:bottom w:val="single" w:sz="4" w:space="0" w:color="auto"/>
              <w:right w:val="nil"/>
            </w:tcBorders>
            <w:shd w:val="clear" w:color="auto" w:fill="auto"/>
            <w:vAlign w:val="center"/>
          </w:tcPr>
          <w:p w14:paraId="650E62EF" w14:textId="77777777" w:rsidR="00455072" w:rsidRPr="00455072" w:rsidRDefault="00455072" w:rsidP="00455072">
            <w:pPr>
              <w:jc w:val="center"/>
              <w:rPr>
                <w:b/>
                <w:bCs/>
                <w:sz w:val="18"/>
                <w:szCs w:val="18"/>
                <w:lang w:val="en-US" w:eastAsia="bg-BG"/>
              </w:rPr>
            </w:pPr>
            <w:r w:rsidRPr="00455072">
              <w:rPr>
                <w:b/>
                <w:bCs/>
                <w:sz w:val="18"/>
                <w:szCs w:val="18"/>
                <w:lang w:eastAsia="bg-BG"/>
              </w:rPr>
              <w:t>Отчет</w:t>
            </w:r>
            <w:r w:rsidRPr="00455072">
              <w:rPr>
                <w:b/>
                <w:bCs/>
                <w:sz w:val="18"/>
                <w:szCs w:val="18"/>
                <w:lang w:val="en-US" w:eastAsia="bg-BG"/>
              </w:rPr>
              <w:t xml:space="preserve"> </w:t>
            </w:r>
          </w:p>
          <w:p w14:paraId="73F64855" w14:textId="77777777" w:rsidR="00455072" w:rsidRPr="00455072" w:rsidRDefault="00455072" w:rsidP="00455072">
            <w:pPr>
              <w:jc w:val="center"/>
              <w:rPr>
                <w:b/>
                <w:bCs/>
                <w:sz w:val="18"/>
                <w:szCs w:val="18"/>
                <w:lang w:eastAsia="bg-BG"/>
              </w:rPr>
            </w:pPr>
            <w:r w:rsidRPr="00455072">
              <w:rPr>
                <w:b/>
                <w:bCs/>
                <w:sz w:val="18"/>
                <w:szCs w:val="18"/>
                <w:lang w:eastAsia="bg-BG"/>
              </w:rPr>
              <w:t>март 2022 г.</w:t>
            </w:r>
          </w:p>
        </w:tc>
        <w:tc>
          <w:tcPr>
            <w:tcW w:w="1510" w:type="dxa"/>
            <w:tcBorders>
              <w:top w:val="single" w:sz="8" w:space="0" w:color="auto"/>
              <w:left w:val="nil"/>
              <w:bottom w:val="single" w:sz="4" w:space="0" w:color="auto"/>
              <w:right w:val="nil"/>
            </w:tcBorders>
            <w:shd w:val="clear" w:color="auto" w:fill="auto"/>
            <w:vAlign w:val="center"/>
          </w:tcPr>
          <w:p w14:paraId="4A41D918" w14:textId="77777777" w:rsidR="00455072" w:rsidRPr="00455072" w:rsidRDefault="00455072" w:rsidP="00455072">
            <w:pPr>
              <w:jc w:val="center"/>
              <w:rPr>
                <w:b/>
                <w:bCs/>
                <w:sz w:val="18"/>
                <w:szCs w:val="18"/>
                <w:lang w:eastAsia="bg-BG"/>
              </w:rPr>
            </w:pPr>
            <w:r w:rsidRPr="00455072">
              <w:rPr>
                <w:b/>
                <w:bCs/>
                <w:sz w:val="18"/>
                <w:szCs w:val="18"/>
                <w:lang w:eastAsia="bg-BG"/>
              </w:rPr>
              <w:t xml:space="preserve">Отчет </w:t>
            </w:r>
          </w:p>
          <w:p w14:paraId="5B323D11" w14:textId="77777777" w:rsidR="00455072" w:rsidRPr="00455072" w:rsidRDefault="00455072" w:rsidP="00455072">
            <w:pPr>
              <w:jc w:val="center"/>
              <w:rPr>
                <w:b/>
                <w:bCs/>
                <w:sz w:val="18"/>
                <w:szCs w:val="18"/>
                <w:lang w:eastAsia="bg-BG"/>
              </w:rPr>
            </w:pPr>
            <w:r w:rsidRPr="00455072">
              <w:rPr>
                <w:b/>
                <w:bCs/>
                <w:sz w:val="18"/>
                <w:szCs w:val="18"/>
                <w:lang w:eastAsia="bg-BG"/>
              </w:rPr>
              <w:t>март 2023 г.</w:t>
            </w:r>
          </w:p>
        </w:tc>
        <w:tc>
          <w:tcPr>
            <w:tcW w:w="1405" w:type="dxa"/>
            <w:tcBorders>
              <w:top w:val="single" w:sz="8" w:space="0" w:color="auto"/>
              <w:left w:val="nil"/>
              <w:bottom w:val="single" w:sz="4" w:space="0" w:color="auto"/>
              <w:right w:val="single" w:sz="8" w:space="0" w:color="auto"/>
            </w:tcBorders>
            <w:shd w:val="clear" w:color="auto" w:fill="auto"/>
            <w:vAlign w:val="center"/>
          </w:tcPr>
          <w:p w14:paraId="315D9CBA" w14:textId="77777777" w:rsidR="00455072" w:rsidRPr="00455072" w:rsidRDefault="00455072" w:rsidP="00455072">
            <w:pPr>
              <w:jc w:val="center"/>
              <w:rPr>
                <w:b/>
                <w:bCs/>
                <w:sz w:val="18"/>
                <w:szCs w:val="18"/>
                <w:lang w:eastAsia="bg-BG"/>
              </w:rPr>
            </w:pPr>
            <w:r w:rsidRPr="00455072">
              <w:rPr>
                <w:b/>
                <w:bCs/>
                <w:sz w:val="18"/>
                <w:szCs w:val="18"/>
                <w:lang w:eastAsia="bg-BG"/>
              </w:rPr>
              <w:t>Изпълнение спрямо 2022 г.</w:t>
            </w:r>
          </w:p>
        </w:tc>
      </w:tr>
      <w:tr w:rsidR="00455072" w:rsidRPr="00455072" w14:paraId="7B129BE6" w14:textId="77777777" w:rsidTr="00455072">
        <w:trPr>
          <w:trHeight w:val="92"/>
          <w:jc w:val="center"/>
        </w:trPr>
        <w:tc>
          <w:tcPr>
            <w:tcW w:w="46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47317D01" w14:textId="77777777" w:rsidR="00455072" w:rsidRPr="00455072" w:rsidRDefault="00455072" w:rsidP="00455072">
            <w:pPr>
              <w:rPr>
                <w:b/>
                <w:bCs/>
                <w:sz w:val="18"/>
                <w:szCs w:val="18"/>
                <w:lang w:eastAsia="bg-BG"/>
              </w:rPr>
            </w:pPr>
            <w:r w:rsidRPr="00455072">
              <w:rPr>
                <w:b/>
                <w:bCs/>
                <w:sz w:val="18"/>
                <w:szCs w:val="18"/>
                <w:lang w:eastAsia="bg-BG"/>
              </w:rPr>
              <w:t>Общо приходи, помощи и дарения</w:t>
            </w:r>
          </w:p>
        </w:tc>
        <w:tc>
          <w:tcPr>
            <w:tcW w:w="1644" w:type="dxa"/>
            <w:tcBorders>
              <w:top w:val="nil"/>
              <w:left w:val="nil"/>
              <w:bottom w:val="nil"/>
              <w:right w:val="nil"/>
            </w:tcBorders>
            <w:shd w:val="clear" w:color="auto" w:fill="auto"/>
            <w:noWrap/>
            <w:vAlign w:val="bottom"/>
          </w:tcPr>
          <w:p w14:paraId="50957BC9" w14:textId="77777777" w:rsidR="00455072" w:rsidRPr="00455072" w:rsidRDefault="00455072" w:rsidP="00455072">
            <w:pPr>
              <w:jc w:val="right"/>
              <w:rPr>
                <w:b/>
                <w:bCs/>
                <w:sz w:val="18"/>
                <w:szCs w:val="18"/>
                <w:lang w:eastAsia="bg-BG"/>
              </w:rPr>
            </w:pPr>
            <w:r w:rsidRPr="00455072">
              <w:rPr>
                <w:b/>
                <w:bCs/>
                <w:sz w:val="18"/>
                <w:szCs w:val="18"/>
                <w:lang w:eastAsia="bg-BG"/>
              </w:rPr>
              <w:t>7 197,2</w:t>
            </w:r>
          </w:p>
        </w:tc>
        <w:tc>
          <w:tcPr>
            <w:tcW w:w="1510" w:type="dxa"/>
            <w:tcBorders>
              <w:top w:val="nil"/>
              <w:left w:val="nil"/>
              <w:bottom w:val="nil"/>
              <w:right w:val="nil"/>
            </w:tcBorders>
            <w:shd w:val="clear" w:color="auto" w:fill="auto"/>
            <w:noWrap/>
            <w:vAlign w:val="bottom"/>
          </w:tcPr>
          <w:p w14:paraId="11BAA17E" w14:textId="77777777" w:rsidR="00455072" w:rsidRPr="00455072" w:rsidRDefault="00455072" w:rsidP="00455072">
            <w:pPr>
              <w:jc w:val="right"/>
              <w:rPr>
                <w:b/>
                <w:bCs/>
                <w:sz w:val="18"/>
                <w:szCs w:val="18"/>
                <w:lang w:eastAsia="bg-BG"/>
              </w:rPr>
            </w:pPr>
            <w:r w:rsidRPr="00455072">
              <w:rPr>
                <w:b/>
                <w:bCs/>
                <w:sz w:val="18"/>
                <w:szCs w:val="18"/>
                <w:lang w:eastAsia="bg-BG"/>
              </w:rPr>
              <w:t>8 133,9</w:t>
            </w:r>
          </w:p>
        </w:tc>
        <w:tc>
          <w:tcPr>
            <w:tcW w:w="1405" w:type="dxa"/>
            <w:tcBorders>
              <w:top w:val="single" w:sz="4" w:space="0" w:color="auto"/>
              <w:left w:val="nil"/>
              <w:bottom w:val="single" w:sz="4" w:space="0" w:color="auto"/>
              <w:right w:val="single" w:sz="4" w:space="0" w:color="auto"/>
            </w:tcBorders>
            <w:shd w:val="clear" w:color="auto" w:fill="auto"/>
            <w:noWrap/>
            <w:vAlign w:val="bottom"/>
          </w:tcPr>
          <w:p w14:paraId="3FD21F96" w14:textId="77777777" w:rsidR="00455072" w:rsidRPr="00455072" w:rsidRDefault="00455072" w:rsidP="00455072">
            <w:pPr>
              <w:jc w:val="right"/>
              <w:rPr>
                <w:b/>
                <w:bCs/>
                <w:sz w:val="18"/>
                <w:szCs w:val="18"/>
                <w:lang w:eastAsia="bg-BG"/>
              </w:rPr>
            </w:pPr>
            <w:r w:rsidRPr="00455072">
              <w:rPr>
                <w:b/>
                <w:bCs/>
                <w:sz w:val="18"/>
                <w:szCs w:val="18"/>
                <w:lang w:eastAsia="bg-BG"/>
              </w:rPr>
              <w:t>113,0%</w:t>
            </w:r>
          </w:p>
        </w:tc>
      </w:tr>
      <w:tr w:rsidR="00455072" w:rsidRPr="00455072" w14:paraId="2924BC32" w14:textId="77777777" w:rsidTr="00455072">
        <w:trPr>
          <w:trHeight w:val="80"/>
          <w:jc w:val="center"/>
        </w:trPr>
        <w:tc>
          <w:tcPr>
            <w:tcW w:w="4654" w:type="dxa"/>
            <w:tcBorders>
              <w:top w:val="single" w:sz="4" w:space="0" w:color="auto"/>
              <w:left w:val="single" w:sz="8" w:space="0" w:color="auto"/>
              <w:bottom w:val="nil"/>
              <w:right w:val="single" w:sz="8" w:space="0" w:color="auto"/>
            </w:tcBorders>
            <w:shd w:val="clear" w:color="auto" w:fill="auto"/>
            <w:noWrap/>
            <w:vAlign w:val="bottom"/>
          </w:tcPr>
          <w:p w14:paraId="13F3C1AA" w14:textId="77777777" w:rsidR="00455072" w:rsidRPr="00455072" w:rsidRDefault="00455072" w:rsidP="00455072">
            <w:pPr>
              <w:rPr>
                <w:sz w:val="18"/>
                <w:szCs w:val="18"/>
                <w:lang w:eastAsia="bg-BG"/>
              </w:rPr>
            </w:pPr>
            <w:r w:rsidRPr="00455072">
              <w:rPr>
                <w:sz w:val="18"/>
                <w:szCs w:val="18"/>
                <w:lang w:eastAsia="bg-BG"/>
              </w:rPr>
              <w:t xml:space="preserve">   -Данъчни приходи</w:t>
            </w:r>
          </w:p>
        </w:tc>
        <w:tc>
          <w:tcPr>
            <w:tcW w:w="1644" w:type="dxa"/>
            <w:tcBorders>
              <w:top w:val="single" w:sz="4" w:space="0" w:color="auto"/>
              <w:left w:val="nil"/>
              <w:right w:val="nil"/>
            </w:tcBorders>
            <w:shd w:val="clear" w:color="auto" w:fill="auto"/>
            <w:noWrap/>
            <w:vAlign w:val="bottom"/>
          </w:tcPr>
          <w:p w14:paraId="09595B05" w14:textId="77777777" w:rsidR="00455072" w:rsidRPr="00455072" w:rsidRDefault="00455072" w:rsidP="00455072">
            <w:pPr>
              <w:jc w:val="right"/>
              <w:rPr>
                <w:sz w:val="18"/>
                <w:szCs w:val="18"/>
                <w:lang w:eastAsia="bg-BG"/>
              </w:rPr>
            </w:pPr>
            <w:r w:rsidRPr="00455072">
              <w:rPr>
                <w:sz w:val="18"/>
                <w:szCs w:val="18"/>
                <w:lang w:eastAsia="bg-BG"/>
              </w:rPr>
              <w:t>6 460,3</w:t>
            </w:r>
          </w:p>
        </w:tc>
        <w:tc>
          <w:tcPr>
            <w:tcW w:w="1510" w:type="dxa"/>
            <w:tcBorders>
              <w:top w:val="single" w:sz="4" w:space="0" w:color="auto"/>
              <w:left w:val="nil"/>
              <w:bottom w:val="nil"/>
              <w:right w:val="nil"/>
            </w:tcBorders>
            <w:shd w:val="clear" w:color="auto" w:fill="auto"/>
            <w:noWrap/>
            <w:vAlign w:val="bottom"/>
          </w:tcPr>
          <w:p w14:paraId="44059480" w14:textId="77777777" w:rsidR="00455072" w:rsidRPr="00455072" w:rsidRDefault="00455072" w:rsidP="00455072">
            <w:pPr>
              <w:jc w:val="right"/>
              <w:rPr>
                <w:sz w:val="18"/>
                <w:szCs w:val="18"/>
                <w:lang w:eastAsia="bg-BG"/>
              </w:rPr>
            </w:pPr>
            <w:r w:rsidRPr="00455072">
              <w:rPr>
                <w:sz w:val="18"/>
                <w:szCs w:val="18"/>
                <w:lang w:eastAsia="bg-BG"/>
              </w:rPr>
              <w:t>7 244,4</w:t>
            </w:r>
          </w:p>
        </w:tc>
        <w:tc>
          <w:tcPr>
            <w:tcW w:w="1405" w:type="dxa"/>
            <w:tcBorders>
              <w:top w:val="single" w:sz="4" w:space="0" w:color="auto"/>
              <w:left w:val="nil"/>
              <w:bottom w:val="nil"/>
              <w:right w:val="single" w:sz="8" w:space="0" w:color="auto"/>
            </w:tcBorders>
            <w:shd w:val="clear" w:color="auto" w:fill="auto"/>
            <w:noWrap/>
            <w:vAlign w:val="bottom"/>
          </w:tcPr>
          <w:p w14:paraId="251EC97E" w14:textId="77777777" w:rsidR="00455072" w:rsidRPr="00455072" w:rsidRDefault="00455072" w:rsidP="00455072">
            <w:pPr>
              <w:jc w:val="right"/>
              <w:rPr>
                <w:sz w:val="18"/>
                <w:szCs w:val="18"/>
                <w:lang w:eastAsia="bg-BG"/>
              </w:rPr>
            </w:pPr>
            <w:r w:rsidRPr="00455072">
              <w:rPr>
                <w:sz w:val="18"/>
                <w:szCs w:val="18"/>
                <w:lang w:eastAsia="bg-BG"/>
              </w:rPr>
              <w:t>112,1%</w:t>
            </w:r>
          </w:p>
        </w:tc>
      </w:tr>
      <w:tr w:rsidR="00455072" w:rsidRPr="00455072" w14:paraId="0BB36306" w14:textId="77777777" w:rsidTr="00455072">
        <w:trPr>
          <w:trHeight w:val="80"/>
          <w:jc w:val="center"/>
        </w:trPr>
        <w:tc>
          <w:tcPr>
            <w:tcW w:w="4654" w:type="dxa"/>
            <w:tcBorders>
              <w:left w:val="single" w:sz="8" w:space="0" w:color="auto"/>
              <w:right w:val="single" w:sz="8" w:space="0" w:color="auto"/>
            </w:tcBorders>
            <w:shd w:val="clear" w:color="auto" w:fill="auto"/>
            <w:noWrap/>
            <w:vAlign w:val="bottom"/>
          </w:tcPr>
          <w:p w14:paraId="01548057" w14:textId="77777777" w:rsidR="00455072" w:rsidRPr="00455072" w:rsidRDefault="00455072" w:rsidP="00455072">
            <w:pPr>
              <w:rPr>
                <w:sz w:val="18"/>
                <w:szCs w:val="18"/>
                <w:lang w:eastAsia="bg-BG"/>
              </w:rPr>
            </w:pPr>
            <w:r w:rsidRPr="00455072">
              <w:rPr>
                <w:sz w:val="18"/>
                <w:szCs w:val="18"/>
                <w:lang w:eastAsia="bg-BG"/>
              </w:rPr>
              <w:t xml:space="preserve">      Корпоративни данъци</w:t>
            </w:r>
          </w:p>
        </w:tc>
        <w:tc>
          <w:tcPr>
            <w:tcW w:w="1644" w:type="dxa"/>
            <w:tcBorders>
              <w:left w:val="nil"/>
              <w:bottom w:val="nil"/>
              <w:right w:val="nil"/>
            </w:tcBorders>
            <w:shd w:val="clear" w:color="auto" w:fill="auto"/>
            <w:noWrap/>
            <w:vAlign w:val="bottom"/>
          </w:tcPr>
          <w:p w14:paraId="21CC4999" w14:textId="77777777" w:rsidR="00455072" w:rsidRPr="00455072" w:rsidRDefault="00455072" w:rsidP="00455072">
            <w:pPr>
              <w:jc w:val="right"/>
              <w:rPr>
                <w:sz w:val="18"/>
                <w:szCs w:val="18"/>
                <w:lang w:eastAsia="bg-BG"/>
              </w:rPr>
            </w:pPr>
            <w:r w:rsidRPr="00455072">
              <w:rPr>
                <w:sz w:val="18"/>
                <w:szCs w:val="18"/>
                <w:lang w:eastAsia="bg-BG"/>
              </w:rPr>
              <w:t>158,6</w:t>
            </w:r>
          </w:p>
        </w:tc>
        <w:tc>
          <w:tcPr>
            <w:tcW w:w="1510" w:type="dxa"/>
            <w:tcBorders>
              <w:left w:val="nil"/>
              <w:bottom w:val="nil"/>
              <w:right w:val="nil"/>
            </w:tcBorders>
            <w:shd w:val="clear" w:color="auto" w:fill="auto"/>
            <w:noWrap/>
            <w:vAlign w:val="bottom"/>
          </w:tcPr>
          <w:p w14:paraId="35302AB5" w14:textId="77777777" w:rsidR="00455072" w:rsidRPr="00455072" w:rsidRDefault="00455072" w:rsidP="00455072">
            <w:pPr>
              <w:jc w:val="right"/>
              <w:rPr>
                <w:sz w:val="18"/>
                <w:szCs w:val="18"/>
                <w:lang w:eastAsia="bg-BG"/>
              </w:rPr>
            </w:pPr>
            <w:r w:rsidRPr="00455072">
              <w:rPr>
                <w:sz w:val="18"/>
                <w:szCs w:val="18"/>
                <w:lang w:eastAsia="bg-BG"/>
              </w:rPr>
              <w:t>177,6</w:t>
            </w:r>
          </w:p>
        </w:tc>
        <w:tc>
          <w:tcPr>
            <w:tcW w:w="1405" w:type="dxa"/>
            <w:tcBorders>
              <w:left w:val="nil"/>
              <w:bottom w:val="nil"/>
              <w:right w:val="single" w:sz="8" w:space="0" w:color="auto"/>
            </w:tcBorders>
            <w:shd w:val="clear" w:color="auto" w:fill="auto"/>
            <w:noWrap/>
            <w:vAlign w:val="bottom"/>
          </w:tcPr>
          <w:p w14:paraId="13E3229B" w14:textId="77777777" w:rsidR="00455072" w:rsidRPr="00455072" w:rsidRDefault="00455072" w:rsidP="00455072">
            <w:pPr>
              <w:jc w:val="right"/>
              <w:rPr>
                <w:sz w:val="18"/>
                <w:szCs w:val="18"/>
                <w:lang w:eastAsia="bg-BG"/>
              </w:rPr>
            </w:pPr>
            <w:r w:rsidRPr="00455072">
              <w:rPr>
                <w:sz w:val="18"/>
                <w:szCs w:val="18"/>
                <w:lang w:eastAsia="bg-BG"/>
              </w:rPr>
              <w:t>112,0%</w:t>
            </w:r>
          </w:p>
        </w:tc>
      </w:tr>
      <w:tr w:rsidR="00455072" w:rsidRPr="00455072" w14:paraId="214B8549" w14:textId="77777777" w:rsidTr="00455072">
        <w:trPr>
          <w:trHeight w:val="165"/>
          <w:jc w:val="center"/>
        </w:trPr>
        <w:tc>
          <w:tcPr>
            <w:tcW w:w="4654" w:type="dxa"/>
            <w:tcBorders>
              <w:left w:val="single" w:sz="8" w:space="0" w:color="auto"/>
              <w:right w:val="single" w:sz="8" w:space="0" w:color="auto"/>
            </w:tcBorders>
            <w:shd w:val="clear" w:color="auto" w:fill="auto"/>
            <w:noWrap/>
            <w:vAlign w:val="bottom"/>
          </w:tcPr>
          <w:p w14:paraId="7BEA9CAE" w14:textId="77777777" w:rsidR="00455072" w:rsidRPr="00455072" w:rsidRDefault="00455072" w:rsidP="00455072">
            <w:pPr>
              <w:rPr>
                <w:sz w:val="18"/>
                <w:szCs w:val="18"/>
                <w:lang w:eastAsia="bg-BG"/>
              </w:rPr>
            </w:pPr>
            <w:r w:rsidRPr="00455072">
              <w:rPr>
                <w:sz w:val="18"/>
                <w:szCs w:val="18"/>
                <w:lang w:eastAsia="bg-BG"/>
              </w:rPr>
              <w:t xml:space="preserve">     </w:t>
            </w:r>
            <w:r w:rsidRPr="00455072">
              <w:rPr>
                <w:sz w:val="18"/>
                <w:szCs w:val="18"/>
                <w:lang w:val="en-US" w:eastAsia="bg-BG"/>
              </w:rPr>
              <w:t xml:space="preserve"> </w:t>
            </w:r>
            <w:r w:rsidRPr="00455072">
              <w:rPr>
                <w:sz w:val="18"/>
                <w:szCs w:val="18"/>
                <w:lang w:eastAsia="bg-BG"/>
              </w:rPr>
              <w:t>ДДФЛ</w:t>
            </w:r>
          </w:p>
        </w:tc>
        <w:tc>
          <w:tcPr>
            <w:tcW w:w="1644" w:type="dxa"/>
            <w:tcBorders>
              <w:left w:val="nil"/>
              <w:bottom w:val="nil"/>
              <w:right w:val="nil"/>
            </w:tcBorders>
            <w:shd w:val="clear" w:color="auto" w:fill="auto"/>
            <w:noWrap/>
            <w:vAlign w:val="bottom"/>
          </w:tcPr>
          <w:p w14:paraId="7289A9F2" w14:textId="77777777" w:rsidR="00455072" w:rsidRPr="00455072" w:rsidRDefault="00455072" w:rsidP="00455072">
            <w:pPr>
              <w:jc w:val="right"/>
              <w:rPr>
                <w:sz w:val="18"/>
                <w:szCs w:val="18"/>
                <w:lang w:eastAsia="bg-BG"/>
              </w:rPr>
            </w:pPr>
            <w:r w:rsidRPr="00455072">
              <w:rPr>
                <w:sz w:val="18"/>
                <w:szCs w:val="18"/>
                <w:lang w:eastAsia="bg-BG"/>
              </w:rPr>
              <w:t>1 084,1</w:t>
            </w:r>
          </w:p>
        </w:tc>
        <w:tc>
          <w:tcPr>
            <w:tcW w:w="1510" w:type="dxa"/>
            <w:tcBorders>
              <w:left w:val="nil"/>
              <w:bottom w:val="nil"/>
              <w:right w:val="nil"/>
            </w:tcBorders>
            <w:shd w:val="clear" w:color="auto" w:fill="auto"/>
            <w:noWrap/>
            <w:vAlign w:val="bottom"/>
          </w:tcPr>
          <w:p w14:paraId="26498C59" w14:textId="77777777" w:rsidR="00455072" w:rsidRPr="00455072" w:rsidRDefault="00455072" w:rsidP="00455072">
            <w:pPr>
              <w:jc w:val="right"/>
              <w:rPr>
                <w:sz w:val="18"/>
                <w:szCs w:val="18"/>
                <w:lang w:eastAsia="bg-BG"/>
              </w:rPr>
            </w:pPr>
            <w:r w:rsidRPr="00455072">
              <w:rPr>
                <w:sz w:val="18"/>
                <w:szCs w:val="18"/>
                <w:lang w:eastAsia="bg-BG"/>
              </w:rPr>
              <w:t>1 243,9</w:t>
            </w:r>
          </w:p>
        </w:tc>
        <w:tc>
          <w:tcPr>
            <w:tcW w:w="1405" w:type="dxa"/>
            <w:tcBorders>
              <w:left w:val="nil"/>
              <w:bottom w:val="nil"/>
              <w:right w:val="single" w:sz="8" w:space="0" w:color="auto"/>
            </w:tcBorders>
            <w:shd w:val="clear" w:color="auto" w:fill="auto"/>
            <w:noWrap/>
            <w:vAlign w:val="bottom"/>
          </w:tcPr>
          <w:p w14:paraId="6E99E74E" w14:textId="77777777" w:rsidR="00455072" w:rsidRPr="00455072" w:rsidRDefault="00455072" w:rsidP="00455072">
            <w:pPr>
              <w:jc w:val="right"/>
              <w:rPr>
                <w:sz w:val="18"/>
                <w:szCs w:val="18"/>
                <w:lang w:eastAsia="bg-BG"/>
              </w:rPr>
            </w:pPr>
            <w:r w:rsidRPr="00455072">
              <w:rPr>
                <w:sz w:val="18"/>
                <w:szCs w:val="18"/>
                <w:lang w:eastAsia="bg-BG"/>
              </w:rPr>
              <w:t>114,7%</w:t>
            </w:r>
          </w:p>
        </w:tc>
      </w:tr>
      <w:tr w:rsidR="00455072" w:rsidRPr="00455072" w14:paraId="06FE5B4B" w14:textId="77777777" w:rsidTr="00455072">
        <w:trPr>
          <w:trHeight w:val="165"/>
          <w:jc w:val="center"/>
        </w:trPr>
        <w:tc>
          <w:tcPr>
            <w:tcW w:w="4654" w:type="dxa"/>
            <w:tcBorders>
              <w:left w:val="single" w:sz="8" w:space="0" w:color="auto"/>
              <w:right w:val="single" w:sz="8" w:space="0" w:color="auto"/>
            </w:tcBorders>
            <w:shd w:val="clear" w:color="auto" w:fill="auto"/>
            <w:noWrap/>
            <w:vAlign w:val="bottom"/>
          </w:tcPr>
          <w:p w14:paraId="6945155D" w14:textId="77777777" w:rsidR="00455072" w:rsidRPr="00455072" w:rsidRDefault="00455072" w:rsidP="00455072">
            <w:pPr>
              <w:rPr>
                <w:sz w:val="18"/>
                <w:szCs w:val="18"/>
                <w:lang w:eastAsia="bg-BG"/>
              </w:rPr>
            </w:pPr>
            <w:r w:rsidRPr="00455072">
              <w:rPr>
                <w:sz w:val="18"/>
                <w:szCs w:val="18"/>
                <w:lang w:eastAsia="bg-BG"/>
              </w:rPr>
              <w:t xml:space="preserve">     </w:t>
            </w:r>
            <w:r w:rsidRPr="00455072">
              <w:rPr>
                <w:sz w:val="18"/>
                <w:szCs w:val="18"/>
                <w:lang w:val="en-US" w:eastAsia="bg-BG"/>
              </w:rPr>
              <w:t xml:space="preserve"> </w:t>
            </w:r>
            <w:r w:rsidRPr="00455072">
              <w:rPr>
                <w:sz w:val="18"/>
                <w:szCs w:val="18"/>
                <w:lang w:eastAsia="bg-BG"/>
              </w:rPr>
              <w:t>ДДС</w:t>
            </w:r>
          </w:p>
        </w:tc>
        <w:tc>
          <w:tcPr>
            <w:tcW w:w="1644" w:type="dxa"/>
            <w:tcBorders>
              <w:left w:val="nil"/>
              <w:bottom w:val="nil"/>
              <w:right w:val="nil"/>
            </w:tcBorders>
            <w:shd w:val="clear" w:color="auto" w:fill="auto"/>
            <w:noWrap/>
            <w:vAlign w:val="bottom"/>
          </w:tcPr>
          <w:p w14:paraId="1A517471" w14:textId="77777777" w:rsidR="00455072" w:rsidRPr="00455072" w:rsidRDefault="00455072" w:rsidP="00455072">
            <w:pPr>
              <w:jc w:val="right"/>
              <w:rPr>
                <w:sz w:val="18"/>
                <w:szCs w:val="18"/>
                <w:lang w:eastAsia="bg-BG"/>
              </w:rPr>
            </w:pPr>
            <w:r w:rsidRPr="00455072">
              <w:rPr>
                <w:sz w:val="18"/>
                <w:szCs w:val="18"/>
                <w:lang w:eastAsia="bg-BG"/>
              </w:rPr>
              <w:t>3 812,3</w:t>
            </w:r>
          </w:p>
        </w:tc>
        <w:tc>
          <w:tcPr>
            <w:tcW w:w="1510" w:type="dxa"/>
            <w:tcBorders>
              <w:left w:val="nil"/>
              <w:bottom w:val="nil"/>
              <w:right w:val="nil"/>
            </w:tcBorders>
            <w:shd w:val="clear" w:color="auto" w:fill="auto"/>
            <w:noWrap/>
            <w:vAlign w:val="bottom"/>
          </w:tcPr>
          <w:p w14:paraId="41ECDCDB" w14:textId="77777777" w:rsidR="00455072" w:rsidRPr="00455072" w:rsidRDefault="00455072" w:rsidP="00455072">
            <w:pPr>
              <w:jc w:val="right"/>
              <w:rPr>
                <w:sz w:val="18"/>
                <w:szCs w:val="18"/>
                <w:lang w:eastAsia="bg-BG"/>
              </w:rPr>
            </w:pPr>
            <w:r w:rsidRPr="00455072">
              <w:rPr>
                <w:sz w:val="18"/>
                <w:szCs w:val="18"/>
                <w:lang w:eastAsia="bg-BG"/>
              </w:rPr>
              <w:t>3 852,9</w:t>
            </w:r>
          </w:p>
        </w:tc>
        <w:tc>
          <w:tcPr>
            <w:tcW w:w="1405" w:type="dxa"/>
            <w:tcBorders>
              <w:left w:val="nil"/>
              <w:bottom w:val="nil"/>
              <w:right w:val="single" w:sz="8" w:space="0" w:color="auto"/>
            </w:tcBorders>
            <w:shd w:val="clear" w:color="auto" w:fill="auto"/>
            <w:noWrap/>
            <w:vAlign w:val="bottom"/>
          </w:tcPr>
          <w:p w14:paraId="36E1942D" w14:textId="77777777" w:rsidR="00455072" w:rsidRPr="00455072" w:rsidRDefault="00455072" w:rsidP="00455072">
            <w:pPr>
              <w:jc w:val="right"/>
              <w:rPr>
                <w:sz w:val="18"/>
                <w:szCs w:val="18"/>
                <w:lang w:eastAsia="bg-BG"/>
              </w:rPr>
            </w:pPr>
            <w:r w:rsidRPr="00455072">
              <w:rPr>
                <w:sz w:val="18"/>
                <w:szCs w:val="18"/>
                <w:lang w:eastAsia="bg-BG"/>
              </w:rPr>
              <w:t>101,1%</w:t>
            </w:r>
          </w:p>
        </w:tc>
      </w:tr>
      <w:tr w:rsidR="00455072" w:rsidRPr="00455072" w14:paraId="165F6A91" w14:textId="77777777" w:rsidTr="00455072">
        <w:trPr>
          <w:trHeight w:val="165"/>
          <w:jc w:val="center"/>
        </w:trPr>
        <w:tc>
          <w:tcPr>
            <w:tcW w:w="4654" w:type="dxa"/>
            <w:tcBorders>
              <w:left w:val="single" w:sz="8" w:space="0" w:color="auto"/>
              <w:right w:val="single" w:sz="8" w:space="0" w:color="auto"/>
            </w:tcBorders>
            <w:shd w:val="clear" w:color="auto" w:fill="auto"/>
            <w:noWrap/>
            <w:vAlign w:val="bottom"/>
          </w:tcPr>
          <w:p w14:paraId="6700F0A9" w14:textId="77777777" w:rsidR="00455072" w:rsidRPr="00455072" w:rsidRDefault="00455072" w:rsidP="00455072">
            <w:pPr>
              <w:rPr>
                <w:sz w:val="18"/>
                <w:szCs w:val="18"/>
                <w:lang w:eastAsia="bg-BG"/>
              </w:rPr>
            </w:pPr>
            <w:r w:rsidRPr="00455072">
              <w:rPr>
                <w:sz w:val="18"/>
                <w:szCs w:val="18"/>
                <w:lang w:eastAsia="bg-BG"/>
              </w:rPr>
              <w:t xml:space="preserve">     </w:t>
            </w:r>
            <w:r w:rsidRPr="00455072">
              <w:rPr>
                <w:sz w:val="18"/>
                <w:szCs w:val="18"/>
                <w:lang w:val="en-US" w:eastAsia="bg-BG"/>
              </w:rPr>
              <w:t xml:space="preserve"> </w:t>
            </w:r>
            <w:r w:rsidRPr="00455072">
              <w:rPr>
                <w:sz w:val="18"/>
                <w:szCs w:val="18"/>
                <w:lang w:eastAsia="bg-BG"/>
              </w:rPr>
              <w:t xml:space="preserve">Акцизи </w:t>
            </w:r>
          </w:p>
        </w:tc>
        <w:tc>
          <w:tcPr>
            <w:tcW w:w="1644" w:type="dxa"/>
            <w:tcBorders>
              <w:left w:val="nil"/>
              <w:bottom w:val="nil"/>
              <w:right w:val="nil"/>
            </w:tcBorders>
            <w:shd w:val="clear" w:color="auto" w:fill="auto"/>
            <w:noWrap/>
            <w:vAlign w:val="bottom"/>
          </w:tcPr>
          <w:p w14:paraId="2A1D67E0" w14:textId="77777777" w:rsidR="00455072" w:rsidRPr="00455072" w:rsidRDefault="00455072" w:rsidP="00455072">
            <w:pPr>
              <w:jc w:val="right"/>
              <w:rPr>
                <w:sz w:val="18"/>
                <w:szCs w:val="18"/>
                <w:lang w:eastAsia="bg-BG"/>
              </w:rPr>
            </w:pPr>
            <w:r w:rsidRPr="00455072">
              <w:rPr>
                <w:sz w:val="18"/>
                <w:szCs w:val="18"/>
                <w:lang w:eastAsia="bg-BG"/>
              </w:rPr>
              <w:t>1 263,5</w:t>
            </w:r>
          </w:p>
        </w:tc>
        <w:tc>
          <w:tcPr>
            <w:tcW w:w="1510" w:type="dxa"/>
            <w:tcBorders>
              <w:left w:val="nil"/>
              <w:bottom w:val="nil"/>
              <w:right w:val="nil"/>
            </w:tcBorders>
            <w:shd w:val="clear" w:color="auto" w:fill="auto"/>
            <w:noWrap/>
            <w:vAlign w:val="bottom"/>
          </w:tcPr>
          <w:p w14:paraId="4526C61B" w14:textId="77777777" w:rsidR="00455072" w:rsidRPr="00455072" w:rsidRDefault="00455072" w:rsidP="00455072">
            <w:pPr>
              <w:jc w:val="right"/>
              <w:rPr>
                <w:sz w:val="18"/>
                <w:szCs w:val="18"/>
                <w:lang w:eastAsia="bg-BG"/>
              </w:rPr>
            </w:pPr>
            <w:r w:rsidRPr="00455072">
              <w:rPr>
                <w:sz w:val="18"/>
                <w:szCs w:val="18"/>
                <w:lang w:eastAsia="bg-BG"/>
              </w:rPr>
              <w:t>1 746,2</w:t>
            </w:r>
          </w:p>
        </w:tc>
        <w:tc>
          <w:tcPr>
            <w:tcW w:w="1405" w:type="dxa"/>
            <w:tcBorders>
              <w:left w:val="nil"/>
              <w:bottom w:val="nil"/>
              <w:right w:val="single" w:sz="8" w:space="0" w:color="auto"/>
            </w:tcBorders>
            <w:shd w:val="clear" w:color="auto" w:fill="auto"/>
            <w:noWrap/>
            <w:vAlign w:val="bottom"/>
          </w:tcPr>
          <w:p w14:paraId="7B8AC974" w14:textId="77777777" w:rsidR="00455072" w:rsidRPr="00455072" w:rsidRDefault="00455072" w:rsidP="00455072">
            <w:pPr>
              <w:jc w:val="right"/>
              <w:rPr>
                <w:sz w:val="18"/>
                <w:szCs w:val="18"/>
                <w:lang w:eastAsia="bg-BG"/>
              </w:rPr>
            </w:pPr>
            <w:r w:rsidRPr="00455072">
              <w:rPr>
                <w:sz w:val="18"/>
                <w:szCs w:val="18"/>
                <w:lang w:eastAsia="bg-BG"/>
              </w:rPr>
              <w:t>138,2%</w:t>
            </w:r>
          </w:p>
        </w:tc>
      </w:tr>
      <w:tr w:rsidR="00455072" w:rsidRPr="00455072" w14:paraId="6FD22D30" w14:textId="77777777" w:rsidTr="00455072">
        <w:trPr>
          <w:trHeight w:val="165"/>
          <w:jc w:val="center"/>
        </w:trPr>
        <w:tc>
          <w:tcPr>
            <w:tcW w:w="4654" w:type="dxa"/>
            <w:tcBorders>
              <w:left w:val="single" w:sz="8" w:space="0" w:color="auto"/>
              <w:right w:val="single" w:sz="8" w:space="0" w:color="auto"/>
            </w:tcBorders>
            <w:shd w:val="clear" w:color="auto" w:fill="auto"/>
            <w:noWrap/>
            <w:vAlign w:val="bottom"/>
          </w:tcPr>
          <w:p w14:paraId="6588073A" w14:textId="77777777" w:rsidR="00455072" w:rsidRPr="00455072" w:rsidRDefault="00455072" w:rsidP="00455072">
            <w:pPr>
              <w:rPr>
                <w:sz w:val="18"/>
                <w:szCs w:val="18"/>
                <w:lang w:eastAsia="bg-BG"/>
              </w:rPr>
            </w:pPr>
            <w:r w:rsidRPr="00455072">
              <w:rPr>
                <w:sz w:val="18"/>
                <w:szCs w:val="18"/>
                <w:lang w:eastAsia="bg-BG"/>
              </w:rPr>
              <w:t xml:space="preserve">      Данък в/у застрахователните премии</w:t>
            </w:r>
          </w:p>
        </w:tc>
        <w:tc>
          <w:tcPr>
            <w:tcW w:w="1644" w:type="dxa"/>
            <w:tcBorders>
              <w:left w:val="nil"/>
              <w:bottom w:val="nil"/>
              <w:right w:val="nil"/>
            </w:tcBorders>
            <w:shd w:val="clear" w:color="auto" w:fill="auto"/>
            <w:noWrap/>
            <w:vAlign w:val="bottom"/>
          </w:tcPr>
          <w:p w14:paraId="2E8A3202" w14:textId="77777777" w:rsidR="00455072" w:rsidRPr="00455072" w:rsidRDefault="00455072" w:rsidP="00455072">
            <w:pPr>
              <w:jc w:val="right"/>
              <w:rPr>
                <w:sz w:val="18"/>
                <w:szCs w:val="18"/>
                <w:lang w:eastAsia="bg-BG"/>
              </w:rPr>
            </w:pPr>
            <w:r w:rsidRPr="00455072">
              <w:rPr>
                <w:sz w:val="18"/>
                <w:szCs w:val="18"/>
                <w:lang w:eastAsia="bg-BG"/>
              </w:rPr>
              <w:t>12,2</w:t>
            </w:r>
          </w:p>
        </w:tc>
        <w:tc>
          <w:tcPr>
            <w:tcW w:w="1510" w:type="dxa"/>
            <w:tcBorders>
              <w:left w:val="nil"/>
              <w:bottom w:val="nil"/>
              <w:right w:val="nil"/>
            </w:tcBorders>
            <w:shd w:val="clear" w:color="auto" w:fill="auto"/>
            <w:noWrap/>
            <w:vAlign w:val="bottom"/>
          </w:tcPr>
          <w:p w14:paraId="06AD4CD3" w14:textId="77777777" w:rsidR="00455072" w:rsidRPr="00455072" w:rsidRDefault="00455072" w:rsidP="00455072">
            <w:pPr>
              <w:jc w:val="right"/>
              <w:rPr>
                <w:sz w:val="18"/>
                <w:szCs w:val="18"/>
                <w:lang w:eastAsia="bg-BG"/>
              </w:rPr>
            </w:pPr>
            <w:r w:rsidRPr="00455072">
              <w:rPr>
                <w:sz w:val="18"/>
                <w:szCs w:val="18"/>
                <w:lang w:eastAsia="bg-BG"/>
              </w:rPr>
              <w:t>13,7</w:t>
            </w:r>
          </w:p>
        </w:tc>
        <w:tc>
          <w:tcPr>
            <w:tcW w:w="1405" w:type="dxa"/>
            <w:tcBorders>
              <w:left w:val="nil"/>
              <w:bottom w:val="nil"/>
              <w:right w:val="single" w:sz="8" w:space="0" w:color="auto"/>
            </w:tcBorders>
            <w:shd w:val="clear" w:color="auto" w:fill="auto"/>
            <w:noWrap/>
            <w:vAlign w:val="bottom"/>
          </w:tcPr>
          <w:p w14:paraId="4168E2D0" w14:textId="77777777" w:rsidR="00455072" w:rsidRPr="00455072" w:rsidRDefault="00455072" w:rsidP="00455072">
            <w:pPr>
              <w:jc w:val="right"/>
              <w:rPr>
                <w:sz w:val="18"/>
                <w:szCs w:val="18"/>
                <w:lang w:eastAsia="bg-BG"/>
              </w:rPr>
            </w:pPr>
            <w:r w:rsidRPr="00455072">
              <w:rPr>
                <w:sz w:val="18"/>
                <w:szCs w:val="18"/>
                <w:lang w:eastAsia="bg-BG"/>
              </w:rPr>
              <w:t>111,9%</w:t>
            </w:r>
          </w:p>
        </w:tc>
      </w:tr>
      <w:tr w:rsidR="00455072" w:rsidRPr="00455072" w14:paraId="2F56AC50" w14:textId="77777777" w:rsidTr="00455072">
        <w:trPr>
          <w:trHeight w:val="165"/>
          <w:jc w:val="center"/>
        </w:trPr>
        <w:tc>
          <w:tcPr>
            <w:tcW w:w="4654" w:type="dxa"/>
            <w:tcBorders>
              <w:left w:val="single" w:sz="8" w:space="0" w:color="auto"/>
              <w:right w:val="single" w:sz="8" w:space="0" w:color="auto"/>
            </w:tcBorders>
            <w:shd w:val="clear" w:color="auto" w:fill="auto"/>
            <w:noWrap/>
            <w:vAlign w:val="bottom"/>
          </w:tcPr>
          <w:p w14:paraId="6D1C6C4B" w14:textId="77777777" w:rsidR="00455072" w:rsidRPr="00455072" w:rsidRDefault="00455072" w:rsidP="00455072">
            <w:pPr>
              <w:rPr>
                <w:sz w:val="18"/>
                <w:szCs w:val="18"/>
                <w:lang w:eastAsia="bg-BG"/>
              </w:rPr>
            </w:pPr>
            <w:r w:rsidRPr="00455072">
              <w:rPr>
                <w:sz w:val="18"/>
                <w:szCs w:val="18"/>
                <w:lang w:eastAsia="bg-BG"/>
              </w:rPr>
              <w:t xml:space="preserve">     </w:t>
            </w:r>
            <w:r w:rsidRPr="00455072">
              <w:rPr>
                <w:sz w:val="18"/>
                <w:szCs w:val="18"/>
                <w:lang w:val="en-US" w:eastAsia="bg-BG"/>
              </w:rPr>
              <w:t xml:space="preserve"> </w:t>
            </w:r>
            <w:r w:rsidRPr="00455072">
              <w:rPr>
                <w:sz w:val="18"/>
                <w:szCs w:val="18"/>
                <w:lang w:eastAsia="bg-BG"/>
              </w:rPr>
              <w:t>Мита и митнически такси</w:t>
            </w:r>
          </w:p>
        </w:tc>
        <w:tc>
          <w:tcPr>
            <w:tcW w:w="1644" w:type="dxa"/>
            <w:tcBorders>
              <w:left w:val="nil"/>
              <w:bottom w:val="nil"/>
              <w:right w:val="nil"/>
            </w:tcBorders>
            <w:shd w:val="clear" w:color="auto" w:fill="auto"/>
            <w:noWrap/>
            <w:vAlign w:val="bottom"/>
          </w:tcPr>
          <w:p w14:paraId="76735BC6" w14:textId="77777777" w:rsidR="00455072" w:rsidRPr="00455072" w:rsidRDefault="00455072" w:rsidP="00455072">
            <w:pPr>
              <w:jc w:val="right"/>
              <w:rPr>
                <w:sz w:val="18"/>
                <w:szCs w:val="18"/>
                <w:lang w:eastAsia="bg-BG"/>
              </w:rPr>
            </w:pPr>
            <w:r w:rsidRPr="00455072">
              <w:rPr>
                <w:sz w:val="18"/>
                <w:szCs w:val="18"/>
                <w:lang w:eastAsia="bg-BG"/>
              </w:rPr>
              <w:t>100,2</w:t>
            </w:r>
          </w:p>
        </w:tc>
        <w:tc>
          <w:tcPr>
            <w:tcW w:w="1510" w:type="dxa"/>
            <w:tcBorders>
              <w:left w:val="nil"/>
              <w:bottom w:val="nil"/>
              <w:right w:val="nil"/>
            </w:tcBorders>
            <w:shd w:val="clear" w:color="auto" w:fill="auto"/>
            <w:noWrap/>
            <w:vAlign w:val="bottom"/>
          </w:tcPr>
          <w:p w14:paraId="4294B5BD" w14:textId="77777777" w:rsidR="00455072" w:rsidRPr="00455072" w:rsidRDefault="00455072" w:rsidP="00455072">
            <w:pPr>
              <w:jc w:val="right"/>
              <w:rPr>
                <w:sz w:val="18"/>
                <w:szCs w:val="18"/>
                <w:lang w:eastAsia="bg-BG"/>
              </w:rPr>
            </w:pPr>
            <w:r w:rsidRPr="00455072">
              <w:rPr>
                <w:sz w:val="18"/>
                <w:szCs w:val="18"/>
                <w:lang w:eastAsia="bg-BG"/>
              </w:rPr>
              <w:t>84,2</w:t>
            </w:r>
          </w:p>
        </w:tc>
        <w:tc>
          <w:tcPr>
            <w:tcW w:w="1405" w:type="dxa"/>
            <w:tcBorders>
              <w:left w:val="nil"/>
              <w:bottom w:val="nil"/>
              <w:right w:val="single" w:sz="8" w:space="0" w:color="auto"/>
            </w:tcBorders>
            <w:shd w:val="clear" w:color="auto" w:fill="auto"/>
            <w:noWrap/>
            <w:vAlign w:val="bottom"/>
          </w:tcPr>
          <w:p w14:paraId="5E0CE269" w14:textId="77777777" w:rsidR="00455072" w:rsidRPr="00455072" w:rsidRDefault="00455072" w:rsidP="00455072">
            <w:pPr>
              <w:jc w:val="right"/>
              <w:rPr>
                <w:sz w:val="18"/>
                <w:szCs w:val="18"/>
                <w:lang w:eastAsia="bg-BG"/>
              </w:rPr>
            </w:pPr>
            <w:r w:rsidRPr="00455072">
              <w:rPr>
                <w:sz w:val="18"/>
                <w:szCs w:val="18"/>
                <w:lang w:eastAsia="bg-BG"/>
              </w:rPr>
              <w:t>84,0%</w:t>
            </w:r>
          </w:p>
        </w:tc>
      </w:tr>
      <w:tr w:rsidR="00455072" w:rsidRPr="00455072" w14:paraId="178F22E4" w14:textId="77777777" w:rsidTr="00455072">
        <w:trPr>
          <w:trHeight w:val="165"/>
          <w:jc w:val="center"/>
        </w:trPr>
        <w:tc>
          <w:tcPr>
            <w:tcW w:w="4654" w:type="dxa"/>
            <w:tcBorders>
              <w:left w:val="single" w:sz="8" w:space="0" w:color="auto"/>
              <w:right w:val="single" w:sz="8" w:space="0" w:color="auto"/>
            </w:tcBorders>
            <w:shd w:val="clear" w:color="auto" w:fill="auto"/>
            <w:noWrap/>
            <w:vAlign w:val="bottom"/>
          </w:tcPr>
          <w:p w14:paraId="2B1D4E8F" w14:textId="77777777" w:rsidR="00455072" w:rsidRPr="00455072" w:rsidRDefault="00455072" w:rsidP="00455072">
            <w:pPr>
              <w:rPr>
                <w:sz w:val="18"/>
                <w:szCs w:val="18"/>
                <w:lang w:eastAsia="bg-BG"/>
              </w:rPr>
            </w:pPr>
            <w:r w:rsidRPr="00455072">
              <w:rPr>
                <w:sz w:val="18"/>
                <w:szCs w:val="18"/>
                <w:lang w:eastAsia="bg-BG"/>
              </w:rPr>
              <w:t xml:space="preserve">     </w:t>
            </w:r>
            <w:r w:rsidRPr="00455072">
              <w:rPr>
                <w:sz w:val="18"/>
                <w:szCs w:val="18"/>
                <w:lang w:val="en-US" w:eastAsia="bg-BG"/>
              </w:rPr>
              <w:t xml:space="preserve"> </w:t>
            </w:r>
            <w:r w:rsidRPr="00455072">
              <w:rPr>
                <w:sz w:val="18"/>
                <w:szCs w:val="18"/>
                <w:lang w:eastAsia="bg-BG"/>
              </w:rPr>
              <w:t>Други данъци</w:t>
            </w:r>
          </w:p>
        </w:tc>
        <w:tc>
          <w:tcPr>
            <w:tcW w:w="1644" w:type="dxa"/>
            <w:tcBorders>
              <w:left w:val="nil"/>
              <w:bottom w:val="nil"/>
              <w:right w:val="nil"/>
            </w:tcBorders>
            <w:shd w:val="clear" w:color="auto" w:fill="auto"/>
            <w:noWrap/>
            <w:vAlign w:val="bottom"/>
          </w:tcPr>
          <w:p w14:paraId="1E5B8118" w14:textId="77777777" w:rsidR="00455072" w:rsidRPr="00455072" w:rsidRDefault="00455072" w:rsidP="00455072">
            <w:pPr>
              <w:jc w:val="right"/>
              <w:rPr>
                <w:sz w:val="18"/>
                <w:szCs w:val="18"/>
                <w:lang w:eastAsia="bg-BG"/>
              </w:rPr>
            </w:pPr>
            <w:r w:rsidRPr="00455072">
              <w:rPr>
                <w:sz w:val="18"/>
                <w:szCs w:val="18"/>
                <w:lang w:eastAsia="bg-BG"/>
              </w:rPr>
              <w:t>29,3</w:t>
            </w:r>
          </w:p>
        </w:tc>
        <w:tc>
          <w:tcPr>
            <w:tcW w:w="1510" w:type="dxa"/>
            <w:tcBorders>
              <w:top w:val="nil"/>
              <w:left w:val="nil"/>
              <w:bottom w:val="nil"/>
              <w:right w:val="nil"/>
            </w:tcBorders>
            <w:shd w:val="clear" w:color="auto" w:fill="auto"/>
            <w:noWrap/>
            <w:vAlign w:val="bottom"/>
          </w:tcPr>
          <w:p w14:paraId="37743196" w14:textId="77777777" w:rsidR="00455072" w:rsidRPr="00455072" w:rsidRDefault="00455072" w:rsidP="00455072">
            <w:pPr>
              <w:jc w:val="right"/>
              <w:rPr>
                <w:sz w:val="18"/>
                <w:szCs w:val="18"/>
                <w:lang w:eastAsia="bg-BG"/>
              </w:rPr>
            </w:pPr>
            <w:r w:rsidRPr="00455072">
              <w:rPr>
                <w:sz w:val="18"/>
                <w:szCs w:val="18"/>
                <w:lang w:eastAsia="bg-BG"/>
              </w:rPr>
              <w:t>125,9</w:t>
            </w:r>
          </w:p>
        </w:tc>
        <w:tc>
          <w:tcPr>
            <w:tcW w:w="1405" w:type="dxa"/>
            <w:tcBorders>
              <w:top w:val="nil"/>
              <w:left w:val="nil"/>
              <w:bottom w:val="nil"/>
              <w:right w:val="single" w:sz="8" w:space="0" w:color="auto"/>
            </w:tcBorders>
            <w:shd w:val="clear" w:color="auto" w:fill="auto"/>
            <w:noWrap/>
            <w:vAlign w:val="bottom"/>
          </w:tcPr>
          <w:p w14:paraId="7F9F2659" w14:textId="77777777" w:rsidR="00455072" w:rsidRPr="00455072" w:rsidRDefault="00455072" w:rsidP="00455072">
            <w:pPr>
              <w:jc w:val="right"/>
              <w:rPr>
                <w:sz w:val="18"/>
                <w:szCs w:val="18"/>
                <w:lang w:eastAsia="bg-BG"/>
              </w:rPr>
            </w:pPr>
            <w:r w:rsidRPr="00455072">
              <w:rPr>
                <w:sz w:val="18"/>
                <w:szCs w:val="18"/>
                <w:lang w:eastAsia="bg-BG"/>
              </w:rPr>
              <w:t>429,6%</w:t>
            </w:r>
          </w:p>
        </w:tc>
      </w:tr>
      <w:tr w:rsidR="00455072" w:rsidRPr="00455072" w14:paraId="37AD5B23" w14:textId="77777777" w:rsidTr="00455072">
        <w:trPr>
          <w:trHeight w:val="165"/>
          <w:jc w:val="center"/>
        </w:trPr>
        <w:tc>
          <w:tcPr>
            <w:tcW w:w="4654" w:type="dxa"/>
            <w:tcBorders>
              <w:left w:val="single" w:sz="8" w:space="0" w:color="auto"/>
              <w:right w:val="single" w:sz="8" w:space="0" w:color="auto"/>
            </w:tcBorders>
            <w:shd w:val="clear" w:color="auto" w:fill="auto"/>
            <w:noWrap/>
            <w:vAlign w:val="bottom"/>
          </w:tcPr>
          <w:p w14:paraId="693A305C" w14:textId="77777777" w:rsidR="00455072" w:rsidRPr="00455072" w:rsidRDefault="00455072" w:rsidP="00455072">
            <w:pPr>
              <w:rPr>
                <w:sz w:val="18"/>
                <w:szCs w:val="18"/>
                <w:lang w:eastAsia="bg-BG"/>
              </w:rPr>
            </w:pPr>
            <w:r w:rsidRPr="00455072">
              <w:rPr>
                <w:sz w:val="18"/>
                <w:szCs w:val="18"/>
                <w:lang w:eastAsia="bg-BG"/>
              </w:rPr>
              <w:t xml:space="preserve">   -Неданъчни приходи</w:t>
            </w:r>
          </w:p>
        </w:tc>
        <w:tc>
          <w:tcPr>
            <w:tcW w:w="1644" w:type="dxa"/>
            <w:tcBorders>
              <w:left w:val="nil"/>
              <w:bottom w:val="nil"/>
              <w:right w:val="nil"/>
            </w:tcBorders>
            <w:shd w:val="clear" w:color="auto" w:fill="auto"/>
            <w:noWrap/>
            <w:vAlign w:val="bottom"/>
          </w:tcPr>
          <w:p w14:paraId="785E27B7" w14:textId="77777777" w:rsidR="00455072" w:rsidRPr="00455072" w:rsidRDefault="00455072" w:rsidP="00455072">
            <w:pPr>
              <w:jc w:val="right"/>
              <w:rPr>
                <w:sz w:val="18"/>
                <w:szCs w:val="18"/>
                <w:lang w:eastAsia="bg-BG"/>
              </w:rPr>
            </w:pPr>
            <w:r w:rsidRPr="00455072">
              <w:rPr>
                <w:sz w:val="18"/>
                <w:szCs w:val="18"/>
                <w:lang w:eastAsia="bg-BG"/>
              </w:rPr>
              <w:t>736,0</w:t>
            </w:r>
          </w:p>
        </w:tc>
        <w:tc>
          <w:tcPr>
            <w:tcW w:w="1510" w:type="dxa"/>
            <w:tcBorders>
              <w:top w:val="nil"/>
              <w:left w:val="nil"/>
              <w:bottom w:val="nil"/>
              <w:right w:val="nil"/>
            </w:tcBorders>
            <w:shd w:val="clear" w:color="auto" w:fill="auto"/>
            <w:noWrap/>
            <w:vAlign w:val="bottom"/>
          </w:tcPr>
          <w:p w14:paraId="4F267FB5" w14:textId="77777777" w:rsidR="00455072" w:rsidRPr="00455072" w:rsidRDefault="00455072" w:rsidP="00455072">
            <w:pPr>
              <w:jc w:val="right"/>
              <w:rPr>
                <w:sz w:val="18"/>
                <w:szCs w:val="18"/>
                <w:lang w:eastAsia="bg-BG"/>
              </w:rPr>
            </w:pPr>
            <w:r w:rsidRPr="00455072">
              <w:rPr>
                <w:sz w:val="18"/>
                <w:szCs w:val="18"/>
                <w:lang w:eastAsia="bg-BG"/>
              </w:rPr>
              <w:t>888,0</w:t>
            </w:r>
          </w:p>
        </w:tc>
        <w:tc>
          <w:tcPr>
            <w:tcW w:w="1405" w:type="dxa"/>
            <w:tcBorders>
              <w:top w:val="nil"/>
              <w:left w:val="nil"/>
              <w:bottom w:val="nil"/>
              <w:right w:val="single" w:sz="8" w:space="0" w:color="auto"/>
            </w:tcBorders>
            <w:shd w:val="clear" w:color="auto" w:fill="auto"/>
            <w:noWrap/>
            <w:vAlign w:val="bottom"/>
          </w:tcPr>
          <w:p w14:paraId="12FE0FB5" w14:textId="77777777" w:rsidR="00455072" w:rsidRPr="00455072" w:rsidRDefault="00455072" w:rsidP="00455072">
            <w:pPr>
              <w:jc w:val="right"/>
              <w:rPr>
                <w:sz w:val="18"/>
                <w:szCs w:val="18"/>
                <w:lang w:eastAsia="bg-BG"/>
              </w:rPr>
            </w:pPr>
            <w:r w:rsidRPr="00455072">
              <w:rPr>
                <w:sz w:val="18"/>
                <w:szCs w:val="18"/>
                <w:lang w:eastAsia="bg-BG"/>
              </w:rPr>
              <w:t>120,7%</w:t>
            </w:r>
          </w:p>
        </w:tc>
      </w:tr>
      <w:tr w:rsidR="00455072" w:rsidRPr="00455072" w14:paraId="46E63886" w14:textId="77777777" w:rsidTr="00455072">
        <w:trPr>
          <w:trHeight w:val="165"/>
          <w:jc w:val="center"/>
        </w:trPr>
        <w:tc>
          <w:tcPr>
            <w:tcW w:w="4654" w:type="dxa"/>
            <w:tcBorders>
              <w:left w:val="single" w:sz="8" w:space="0" w:color="auto"/>
              <w:bottom w:val="single" w:sz="4" w:space="0" w:color="auto"/>
              <w:right w:val="single" w:sz="8" w:space="0" w:color="auto"/>
            </w:tcBorders>
            <w:shd w:val="clear" w:color="auto" w:fill="auto"/>
            <w:noWrap/>
            <w:vAlign w:val="bottom"/>
          </w:tcPr>
          <w:p w14:paraId="108E1307" w14:textId="77777777" w:rsidR="00455072" w:rsidRPr="00455072" w:rsidRDefault="00455072" w:rsidP="00455072">
            <w:pPr>
              <w:rPr>
                <w:sz w:val="18"/>
                <w:szCs w:val="18"/>
                <w:lang w:eastAsia="bg-BG"/>
              </w:rPr>
            </w:pPr>
            <w:r w:rsidRPr="00455072">
              <w:rPr>
                <w:sz w:val="18"/>
                <w:szCs w:val="18"/>
                <w:lang w:eastAsia="bg-BG"/>
              </w:rPr>
              <w:t xml:space="preserve">   -Помощи и дарения</w:t>
            </w:r>
          </w:p>
        </w:tc>
        <w:tc>
          <w:tcPr>
            <w:tcW w:w="1644" w:type="dxa"/>
            <w:tcBorders>
              <w:left w:val="nil"/>
              <w:bottom w:val="single" w:sz="4" w:space="0" w:color="auto"/>
              <w:right w:val="nil"/>
            </w:tcBorders>
            <w:shd w:val="clear" w:color="auto" w:fill="auto"/>
            <w:noWrap/>
            <w:vAlign w:val="bottom"/>
          </w:tcPr>
          <w:p w14:paraId="357CA7B2" w14:textId="77777777" w:rsidR="00455072" w:rsidRPr="00455072" w:rsidRDefault="00455072" w:rsidP="00455072">
            <w:pPr>
              <w:jc w:val="right"/>
              <w:rPr>
                <w:sz w:val="18"/>
                <w:szCs w:val="18"/>
                <w:lang w:eastAsia="bg-BG"/>
              </w:rPr>
            </w:pPr>
            <w:r w:rsidRPr="00455072">
              <w:rPr>
                <w:sz w:val="18"/>
                <w:szCs w:val="18"/>
                <w:lang w:eastAsia="bg-BG"/>
              </w:rPr>
              <w:t>0,9</w:t>
            </w:r>
          </w:p>
        </w:tc>
        <w:tc>
          <w:tcPr>
            <w:tcW w:w="1510" w:type="dxa"/>
            <w:tcBorders>
              <w:top w:val="nil"/>
              <w:left w:val="nil"/>
              <w:bottom w:val="single" w:sz="4" w:space="0" w:color="auto"/>
              <w:right w:val="nil"/>
            </w:tcBorders>
            <w:shd w:val="clear" w:color="auto" w:fill="auto"/>
            <w:noWrap/>
            <w:vAlign w:val="bottom"/>
          </w:tcPr>
          <w:p w14:paraId="0A3A1B54" w14:textId="77777777" w:rsidR="00455072" w:rsidRPr="00455072" w:rsidRDefault="00455072" w:rsidP="00455072">
            <w:pPr>
              <w:jc w:val="right"/>
              <w:rPr>
                <w:sz w:val="18"/>
                <w:szCs w:val="18"/>
                <w:lang w:eastAsia="bg-BG"/>
              </w:rPr>
            </w:pPr>
            <w:r w:rsidRPr="00455072">
              <w:rPr>
                <w:sz w:val="18"/>
                <w:szCs w:val="18"/>
                <w:lang w:eastAsia="bg-BG"/>
              </w:rPr>
              <w:t>1,4</w:t>
            </w:r>
          </w:p>
        </w:tc>
        <w:tc>
          <w:tcPr>
            <w:tcW w:w="1405" w:type="dxa"/>
            <w:tcBorders>
              <w:top w:val="nil"/>
              <w:left w:val="nil"/>
              <w:bottom w:val="single" w:sz="4" w:space="0" w:color="auto"/>
              <w:right w:val="single" w:sz="8" w:space="0" w:color="auto"/>
            </w:tcBorders>
            <w:shd w:val="clear" w:color="auto" w:fill="auto"/>
            <w:noWrap/>
            <w:vAlign w:val="bottom"/>
          </w:tcPr>
          <w:p w14:paraId="723719D0" w14:textId="77777777" w:rsidR="00455072" w:rsidRPr="00455072" w:rsidRDefault="00455072" w:rsidP="00455072">
            <w:pPr>
              <w:jc w:val="right"/>
              <w:rPr>
                <w:sz w:val="18"/>
                <w:szCs w:val="18"/>
                <w:lang w:eastAsia="bg-BG"/>
              </w:rPr>
            </w:pPr>
            <w:r w:rsidRPr="00455072">
              <w:rPr>
                <w:sz w:val="18"/>
                <w:szCs w:val="18"/>
                <w:lang w:eastAsia="bg-BG"/>
              </w:rPr>
              <w:t>168,4%</w:t>
            </w:r>
          </w:p>
        </w:tc>
      </w:tr>
      <w:tr w:rsidR="00455072" w:rsidRPr="00455072" w14:paraId="4BFDF21E" w14:textId="77777777" w:rsidTr="00455072">
        <w:trPr>
          <w:trHeight w:val="199"/>
          <w:jc w:val="center"/>
        </w:trPr>
        <w:tc>
          <w:tcPr>
            <w:tcW w:w="46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33F2E" w14:textId="77777777" w:rsidR="00455072" w:rsidRPr="00455072" w:rsidRDefault="00455072" w:rsidP="00455072">
            <w:pPr>
              <w:rPr>
                <w:b/>
                <w:bCs/>
                <w:sz w:val="18"/>
                <w:szCs w:val="18"/>
                <w:lang w:val="ru-RU" w:eastAsia="bg-BG"/>
              </w:rPr>
            </w:pPr>
            <w:r w:rsidRPr="00455072">
              <w:rPr>
                <w:b/>
                <w:bCs/>
                <w:sz w:val="18"/>
                <w:szCs w:val="18"/>
                <w:lang w:eastAsia="bg-BG"/>
              </w:rPr>
              <w:t xml:space="preserve"> Разходи, трансфери и вноска в бюджета на ЕС</w:t>
            </w:r>
          </w:p>
        </w:tc>
        <w:tc>
          <w:tcPr>
            <w:tcW w:w="1644" w:type="dxa"/>
            <w:tcBorders>
              <w:top w:val="single" w:sz="4" w:space="0" w:color="auto"/>
              <w:left w:val="single" w:sz="8" w:space="0" w:color="auto"/>
              <w:bottom w:val="single" w:sz="4" w:space="0" w:color="auto"/>
              <w:right w:val="nil"/>
            </w:tcBorders>
            <w:shd w:val="clear" w:color="auto" w:fill="auto"/>
            <w:noWrap/>
            <w:vAlign w:val="bottom"/>
          </w:tcPr>
          <w:p w14:paraId="426B7AAA" w14:textId="77777777" w:rsidR="00455072" w:rsidRPr="00455072" w:rsidRDefault="00455072" w:rsidP="00455072">
            <w:pPr>
              <w:jc w:val="right"/>
              <w:rPr>
                <w:b/>
                <w:bCs/>
                <w:sz w:val="18"/>
                <w:szCs w:val="18"/>
                <w:lang w:eastAsia="bg-BG"/>
              </w:rPr>
            </w:pPr>
            <w:r w:rsidRPr="00455072">
              <w:rPr>
                <w:b/>
                <w:bCs/>
                <w:sz w:val="18"/>
                <w:szCs w:val="18"/>
                <w:lang w:eastAsia="bg-BG"/>
              </w:rPr>
              <w:t>7 807,0</w:t>
            </w:r>
          </w:p>
        </w:tc>
        <w:tc>
          <w:tcPr>
            <w:tcW w:w="1510" w:type="dxa"/>
            <w:tcBorders>
              <w:top w:val="single" w:sz="4" w:space="0" w:color="auto"/>
              <w:left w:val="nil"/>
              <w:bottom w:val="single" w:sz="4" w:space="0" w:color="auto"/>
              <w:right w:val="nil"/>
            </w:tcBorders>
            <w:shd w:val="clear" w:color="auto" w:fill="auto"/>
            <w:noWrap/>
            <w:vAlign w:val="bottom"/>
          </w:tcPr>
          <w:p w14:paraId="304D9304" w14:textId="77777777" w:rsidR="00455072" w:rsidRPr="00455072" w:rsidRDefault="00455072" w:rsidP="00455072">
            <w:pPr>
              <w:jc w:val="right"/>
              <w:rPr>
                <w:b/>
                <w:bCs/>
                <w:sz w:val="18"/>
                <w:szCs w:val="18"/>
                <w:lang w:eastAsia="bg-BG"/>
              </w:rPr>
            </w:pPr>
            <w:r w:rsidRPr="00455072">
              <w:rPr>
                <w:b/>
                <w:bCs/>
                <w:sz w:val="18"/>
                <w:szCs w:val="18"/>
                <w:lang w:eastAsia="bg-BG"/>
              </w:rPr>
              <w:t>9 825,6</w:t>
            </w:r>
          </w:p>
        </w:tc>
        <w:tc>
          <w:tcPr>
            <w:tcW w:w="1405" w:type="dxa"/>
            <w:tcBorders>
              <w:top w:val="single" w:sz="4" w:space="0" w:color="auto"/>
              <w:left w:val="nil"/>
              <w:bottom w:val="single" w:sz="4" w:space="0" w:color="auto"/>
              <w:right w:val="single" w:sz="4" w:space="0" w:color="auto"/>
            </w:tcBorders>
            <w:shd w:val="clear" w:color="auto" w:fill="auto"/>
            <w:noWrap/>
            <w:vAlign w:val="bottom"/>
          </w:tcPr>
          <w:p w14:paraId="2B0DD054" w14:textId="77777777" w:rsidR="00455072" w:rsidRPr="00455072" w:rsidRDefault="00455072" w:rsidP="00455072">
            <w:pPr>
              <w:jc w:val="right"/>
              <w:rPr>
                <w:b/>
                <w:bCs/>
                <w:sz w:val="18"/>
                <w:szCs w:val="18"/>
                <w:lang w:eastAsia="bg-BG"/>
              </w:rPr>
            </w:pPr>
            <w:r w:rsidRPr="00455072">
              <w:rPr>
                <w:b/>
                <w:bCs/>
                <w:sz w:val="18"/>
                <w:szCs w:val="18"/>
                <w:lang w:eastAsia="bg-BG"/>
              </w:rPr>
              <w:t>125,9%</w:t>
            </w:r>
          </w:p>
        </w:tc>
      </w:tr>
      <w:tr w:rsidR="00455072" w:rsidRPr="00455072" w14:paraId="5CB97507" w14:textId="77777777" w:rsidTr="00455072">
        <w:trPr>
          <w:trHeight w:val="101"/>
          <w:jc w:val="center"/>
        </w:trPr>
        <w:tc>
          <w:tcPr>
            <w:tcW w:w="4654" w:type="dxa"/>
            <w:tcBorders>
              <w:top w:val="single" w:sz="4" w:space="0" w:color="auto"/>
              <w:left w:val="single" w:sz="4" w:space="0" w:color="auto"/>
              <w:bottom w:val="nil"/>
              <w:right w:val="single" w:sz="4" w:space="0" w:color="auto"/>
            </w:tcBorders>
            <w:shd w:val="clear" w:color="auto" w:fill="auto"/>
            <w:noWrap/>
            <w:vAlign w:val="bottom"/>
          </w:tcPr>
          <w:p w14:paraId="683E4D4D" w14:textId="77777777" w:rsidR="00455072" w:rsidRPr="00455072" w:rsidRDefault="00455072" w:rsidP="00455072">
            <w:pPr>
              <w:rPr>
                <w:b/>
                <w:i/>
                <w:sz w:val="18"/>
                <w:szCs w:val="18"/>
                <w:lang w:eastAsia="bg-BG"/>
              </w:rPr>
            </w:pPr>
            <w:r w:rsidRPr="00455072">
              <w:rPr>
                <w:b/>
                <w:i/>
                <w:sz w:val="18"/>
                <w:szCs w:val="18"/>
                <w:lang w:eastAsia="bg-BG"/>
              </w:rPr>
              <w:t xml:space="preserve">   -Нелихвени разходи</w:t>
            </w:r>
          </w:p>
        </w:tc>
        <w:tc>
          <w:tcPr>
            <w:tcW w:w="1644" w:type="dxa"/>
            <w:tcBorders>
              <w:top w:val="single" w:sz="4" w:space="0" w:color="auto"/>
              <w:left w:val="nil"/>
              <w:bottom w:val="nil"/>
              <w:right w:val="nil"/>
            </w:tcBorders>
            <w:shd w:val="clear" w:color="auto" w:fill="auto"/>
            <w:noWrap/>
            <w:vAlign w:val="bottom"/>
          </w:tcPr>
          <w:p w14:paraId="39286C19" w14:textId="77777777" w:rsidR="00455072" w:rsidRPr="00455072" w:rsidRDefault="00455072" w:rsidP="00455072">
            <w:pPr>
              <w:jc w:val="right"/>
              <w:rPr>
                <w:sz w:val="18"/>
                <w:szCs w:val="18"/>
                <w:lang w:eastAsia="bg-BG"/>
              </w:rPr>
            </w:pPr>
            <w:r w:rsidRPr="00455072">
              <w:rPr>
                <w:sz w:val="18"/>
                <w:szCs w:val="18"/>
                <w:lang w:eastAsia="bg-BG"/>
              </w:rPr>
              <w:t>2 789,3</w:t>
            </w:r>
          </w:p>
        </w:tc>
        <w:tc>
          <w:tcPr>
            <w:tcW w:w="1510" w:type="dxa"/>
            <w:tcBorders>
              <w:top w:val="single" w:sz="4" w:space="0" w:color="auto"/>
              <w:left w:val="nil"/>
              <w:bottom w:val="nil"/>
              <w:right w:val="nil"/>
            </w:tcBorders>
            <w:shd w:val="clear" w:color="auto" w:fill="auto"/>
            <w:noWrap/>
            <w:vAlign w:val="bottom"/>
          </w:tcPr>
          <w:p w14:paraId="5EC7CEDA" w14:textId="77777777" w:rsidR="00455072" w:rsidRPr="00455072" w:rsidRDefault="00455072" w:rsidP="00455072">
            <w:pPr>
              <w:jc w:val="right"/>
              <w:rPr>
                <w:sz w:val="18"/>
                <w:szCs w:val="18"/>
                <w:lang w:eastAsia="bg-BG"/>
              </w:rPr>
            </w:pPr>
            <w:r w:rsidRPr="00455072">
              <w:rPr>
                <w:sz w:val="18"/>
                <w:szCs w:val="18"/>
                <w:lang w:eastAsia="bg-BG"/>
              </w:rPr>
              <w:t>3 711,7</w:t>
            </w:r>
          </w:p>
        </w:tc>
        <w:tc>
          <w:tcPr>
            <w:tcW w:w="1405" w:type="dxa"/>
            <w:tcBorders>
              <w:top w:val="single" w:sz="4" w:space="0" w:color="auto"/>
              <w:left w:val="nil"/>
              <w:bottom w:val="nil"/>
              <w:right w:val="single" w:sz="4" w:space="0" w:color="auto"/>
            </w:tcBorders>
            <w:shd w:val="clear" w:color="auto" w:fill="auto"/>
            <w:noWrap/>
            <w:vAlign w:val="bottom"/>
          </w:tcPr>
          <w:p w14:paraId="32575DE2" w14:textId="77777777" w:rsidR="00455072" w:rsidRPr="00455072" w:rsidRDefault="00455072" w:rsidP="00455072">
            <w:pPr>
              <w:jc w:val="right"/>
              <w:rPr>
                <w:sz w:val="18"/>
                <w:szCs w:val="18"/>
                <w:lang w:eastAsia="bg-BG"/>
              </w:rPr>
            </w:pPr>
            <w:r w:rsidRPr="00455072">
              <w:rPr>
                <w:sz w:val="18"/>
                <w:szCs w:val="18"/>
                <w:lang w:eastAsia="bg-BG"/>
              </w:rPr>
              <w:t>133,1%</w:t>
            </w:r>
          </w:p>
        </w:tc>
      </w:tr>
      <w:tr w:rsidR="00455072" w:rsidRPr="00455072" w14:paraId="4D13D8FF" w14:textId="77777777" w:rsidTr="00455072">
        <w:trPr>
          <w:trHeight w:val="80"/>
          <w:jc w:val="center"/>
        </w:trPr>
        <w:tc>
          <w:tcPr>
            <w:tcW w:w="4654" w:type="dxa"/>
            <w:tcBorders>
              <w:top w:val="nil"/>
              <w:left w:val="single" w:sz="4" w:space="0" w:color="auto"/>
              <w:bottom w:val="nil"/>
              <w:right w:val="single" w:sz="4" w:space="0" w:color="auto"/>
            </w:tcBorders>
            <w:shd w:val="clear" w:color="auto" w:fill="auto"/>
            <w:noWrap/>
            <w:vAlign w:val="bottom"/>
          </w:tcPr>
          <w:p w14:paraId="51CB63C9" w14:textId="77777777" w:rsidR="00455072" w:rsidRPr="00455072" w:rsidRDefault="00455072" w:rsidP="00455072">
            <w:pPr>
              <w:rPr>
                <w:sz w:val="18"/>
                <w:szCs w:val="18"/>
                <w:lang w:eastAsia="bg-BG"/>
              </w:rPr>
            </w:pPr>
            <w:r w:rsidRPr="00455072">
              <w:rPr>
                <w:sz w:val="18"/>
                <w:szCs w:val="18"/>
                <w:lang w:eastAsia="bg-BG"/>
              </w:rPr>
              <w:t xml:space="preserve">      Текущи </w:t>
            </w:r>
          </w:p>
        </w:tc>
        <w:tc>
          <w:tcPr>
            <w:tcW w:w="1644" w:type="dxa"/>
            <w:tcBorders>
              <w:top w:val="nil"/>
              <w:left w:val="nil"/>
              <w:bottom w:val="nil"/>
              <w:right w:val="nil"/>
            </w:tcBorders>
            <w:shd w:val="clear" w:color="auto" w:fill="auto"/>
            <w:noWrap/>
            <w:vAlign w:val="bottom"/>
          </w:tcPr>
          <w:p w14:paraId="02BFF27C" w14:textId="77777777" w:rsidR="00455072" w:rsidRPr="00455072" w:rsidRDefault="00455072" w:rsidP="00455072">
            <w:pPr>
              <w:jc w:val="right"/>
              <w:rPr>
                <w:sz w:val="18"/>
                <w:szCs w:val="18"/>
                <w:lang w:eastAsia="bg-BG"/>
              </w:rPr>
            </w:pPr>
            <w:r w:rsidRPr="00455072">
              <w:rPr>
                <w:sz w:val="18"/>
                <w:szCs w:val="18"/>
                <w:lang w:eastAsia="bg-BG"/>
              </w:rPr>
              <w:t>2 560,6</w:t>
            </w:r>
          </w:p>
        </w:tc>
        <w:tc>
          <w:tcPr>
            <w:tcW w:w="1510" w:type="dxa"/>
            <w:tcBorders>
              <w:top w:val="nil"/>
              <w:left w:val="nil"/>
              <w:bottom w:val="nil"/>
              <w:right w:val="nil"/>
            </w:tcBorders>
            <w:shd w:val="clear" w:color="auto" w:fill="auto"/>
            <w:noWrap/>
            <w:vAlign w:val="bottom"/>
          </w:tcPr>
          <w:p w14:paraId="18C63812" w14:textId="77777777" w:rsidR="00455072" w:rsidRPr="00455072" w:rsidRDefault="00455072" w:rsidP="00455072">
            <w:pPr>
              <w:jc w:val="right"/>
              <w:rPr>
                <w:sz w:val="18"/>
                <w:szCs w:val="18"/>
                <w:lang w:eastAsia="bg-BG"/>
              </w:rPr>
            </w:pPr>
            <w:r w:rsidRPr="00455072">
              <w:rPr>
                <w:sz w:val="18"/>
                <w:szCs w:val="18"/>
                <w:lang w:eastAsia="bg-BG"/>
              </w:rPr>
              <w:t>3 310,3</w:t>
            </w:r>
          </w:p>
        </w:tc>
        <w:tc>
          <w:tcPr>
            <w:tcW w:w="1405" w:type="dxa"/>
            <w:tcBorders>
              <w:top w:val="nil"/>
              <w:left w:val="nil"/>
              <w:bottom w:val="nil"/>
              <w:right w:val="single" w:sz="4" w:space="0" w:color="auto"/>
            </w:tcBorders>
            <w:shd w:val="clear" w:color="auto" w:fill="auto"/>
            <w:noWrap/>
            <w:vAlign w:val="bottom"/>
          </w:tcPr>
          <w:p w14:paraId="0761C6CA" w14:textId="77777777" w:rsidR="00455072" w:rsidRPr="00455072" w:rsidRDefault="00455072" w:rsidP="00455072">
            <w:pPr>
              <w:jc w:val="right"/>
              <w:rPr>
                <w:sz w:val="18"/>
                <w:szCs w:val="18"/>
                <w:lang w:eastAsia="bg-BG"/>
              </w:rPr>
            </w:pPr>
            <w:r w:rsidRPr="00455072">
              <w:rPr>
                <w:sz w:val="18"/>
                <w:szCs w:val="18"/>
                <w:lang w:eastAsia="bg-BG"/>
              </w:rPr>
              <w:t>129,3%</w:t>
            </w:r>
          </w:p>
        </w:tc>
      </w:tr>
      <w:tr w:rsidR="00455072" w:rsidRPr="00455072" w14:paraId="49F3E4FC" w14:textId="77777777" w:rsidTr="00455072">
        <w:trPr>
          <w:trHeight w:val="80"/>
          <w:jc w:val="center"/>
        </w:trPr>
        <w:tc>
          <w:tcPr>
            <w:tcW w:w="4654" w:type="dxa"/>
            <w:tcBorders>
              <w:top w:val="nil"/>
              <w:left w:val="single" w:sz="4" w:space="0" w:color="auto"/>
              <w:bottom w:val="nil"/>
              <w:right w:val="single" w:sz="4" w:space="0" w:color="auto"/>
            </w:tcBorders>
            <w:shd w:val="clear" w:color="auto" w:fill="auto"/>
            <w:noWrap/>
            <w:vAlign w:val="bottom"/>
          </w:tcPr>
          <w:p w14:paraId="0D788F86" w14:textId="77777777" w:rsidR="00455072" w:rsidRPr="00455072" w:rsidRDefault="00455072" w:rsidP="00455072">
            <w:pPr>
              <w:rPr>
                <w:sz w:val="18"/>
                <w:szCs w:val="18"/>
                <w:lang w:eastAsia="bg-BG"/>
              </w:rPr>
            </w:pPr>
            <w:r w:rsidRPr="00455072">
              <w:rPr>
                <w:sz w:val="18"/>
                <w:szCs w:val="18"/>
                <w:lang w:eastAsia="bg-BG"/>
              </w:rPr>
              <w:t xml:space="preserve">      Предоставени тек. и капит. трансфери за чужбина</w:t>
            </w:r>
          </w:p>
        </w:tc>
        <w:tc>
          <w:tcPr>
            <w:tcW w:w="1644" w:type="dxa"/>
            <w:tcBorders>
              <w:top w:val="nil"/>
              <w:left w:val="nil"/>
              <w:bottom w:val="nil"/>
              <w:right w:val="nil"/>
            </w:tcBorders>
            <w:shd w:val="clear" w:color="auto" w:fill="auto"/>
            <w:noWrap/>
            <w:vAlign w:val="bottom"/>
          </w:tcPr>
          <w:p w14:paraId="6526B5D5" w14:textId="77777777" w:rsidR="00455072" w:rsidRPr="00455072" w:rsidRDefault="00455072" w:rsidP="00455072">
            <w:pPr>
              <w:jc w:val="right"/>
              <w:rPr>
                <w:sz w:val="18"/>
                <w:szCs w:val="18"/>
                <w:lang w:eastAsia="bg-BG"/>
              </w:rPr>
            </w:pPr>
            <w:r w:rsidRPr="00455072">
              <w:rPr>
                <w:sz w:val="18"/>
                <w:szCs w:val="18"/>
                <w:lang w:eastAsia="bg-BG"/>
              </w:rPr>
              <w:t>0,85</w:t>
            </w:r>
          </w:p>
        </w:tc>
        <w:tc>
          <w:tcPr>
            <w:tcW w:w="1510" w:type="dxa"/>
            <w:tcBorders>
              <w:top w:val="nil"/>
              <w:left w:val="nil"/>
              <w:bottom w:val="nil"/>
              <w:right w:val="nil"/>
            </w:tcBorders>
            <w:shd w:val="clear" w:color="auto" w:fill="auto"/>
            <w:noWrap/>
            <w:vAlign w:val="bottom"/>
          </w:tcPr>
          <w:p w14:paraId="191AA863" w14:textId="77777777" w:rsidR="00455072" w:rsidRPr="00455072" w:rsidRDefault="00455072" w:rsidP="00455072">
            <w:pPr>
              <w:jc w:val="right"/>
              <w:rPr>
                <w:sz w:val="18"/>
                <w:szCs w:val="18"/>
                <w:lang w:eastAsia="bg-BG"/>
              </w:rPr>
            </w:pPr>
            <w:r w:rsidRPr="00455072">
              <w:rPr>
                <w:sz w:val="18"/>
                <w:szCs w:val="18"/>
                <w:lang w:eastAsia="bg-BG"/>
              </w:rPr>
              <w:t>0,90</w:t>
            </w:r>
          </w:p>
        </w:tc>
        <w:tc>
          <w:tcPr>
            <w:tcW w:w="1405" w:type="dxa"/>
            <w:tcBorders>
              <w:top w:val="nil"/>
              <w:left w:val="nil"/>
              <w:bottom w:val="nil"/>
              <w:right w:val="single" w:sz="4" w:space="0" w:color="auto"/>
            </w:tcBorders>
            <w:shd w:val="clear" w:color="auto" w:fill="auto"/>
            <w:noWrap/>
            <w:vAlign w:val="bottom"/>
          </w:tcPr>
          <w:p w14:paraId="2EBAA90B" w14:textId="77777777" w:rsidR="00455072" w:rsidRPr="00455072" w:rsidRDefault="00455072" w:rsidP="00455072">
            <w:pPr>
              <w:jc w:val="right"/>
              <w:rPr>
                <w:sz w:val="18"/>
                <w:szCs w:val="18"/>
                <w:lang w:eastAsia="bg-BG"/>
              </w:rPr>
            </w:pPr>
            <w:r w:rsidRPr="00455072">
              <w:rPr>
                <w:sz w:val="18"/>
                <w:szCs w:val="18"/>
                <w:lang w:eastAsia="bg-BG"/>
              </w:rPr>
              <w:t>105,9%</w:t>
            </w:r>
          </w:p>
        </w:tc>
      </w:tr>
      <w:tr w:rsidR="00455072" w:rsidRPr="00455072" w14:paraId="60747D02" w14:textId="77777777" w:rsidTr="00455072">
        <w:trPr>
          <w:trHeight w:val="179"/>
          <w:jc w:val="center"/>
        </w:trPr>
        <w:tc>
          <w:tcPr>
            <w:tcW w:w="4654" w:type="dxa"/>
            <w:tcBorders>
              <w:top w:val="nil"/>
              <w:left w:val="single" w:sz="4" w:space="0" w:color="auto"/>
              <w:bottom w:val="nil"/>
              <w:right w:val="single" w:sz="4" w:space="0" w:color="auto"/>
            </w:tcBorders>
            <w:shd w:val="clear" w:color="auto" w:fill="auto"/>
            <w:noWrap/>
            <w:vAlign w:val="bottom"/>
          </w:tcPr>
          <w:p w14:paraId="2CA47728" w14:textId="77777777" w:rsidR="00455072" w:rsidRPr="00455072" w:rsidRDefault="00455072" w:rsidP="00455072">
            <w:pPr>
              <w:rPr>
                <w:sz w:val="18"/>
                <w:szCs w:val="18"/>
                <w:lang w:eastAsia="bg-BG"/>
              </w:rPr>
            </w:pPr>
            <w:r w:rsidRPr="00455072">
              <w:rPr>
                <w:sz w:val="18"/>
                <w:szCs w:val="18"/>
                <w:lang w:eastAsia="bg-BG"/>
              </w:rPr>
              <w:t xml:space="preserve">      Капиталови</w:t>
            </w:r>
          </w:p>
        </w:tc>
        <w:tc>
          <w:tcPr>
            <w:tcW w:w="1644" w:type="dxa"/>
            <w:tcBorders>
              <w:top w:val="nil"/>
              <w:left w:val="nil"/>
              <w:bottom w:val="nil"/>
              <w:right w:val="nil"/>
            </w:tcBorders>
            <w:shd w:val="clear" w:color="auto" w:fill="auto"/>
            <w:noWrap/>
            <w:vAlign w:val="bottom"/>
          </w:tcPr>
          <w:p w14:paraId="3C7C0AAE" w14:textId="77777777" w:rsidR="00455072" w:rsidRPr="00455072" w:rsidRDefault="00455072" w:rsidP="00455072">
            <w:pPr>
              <w:jc w:val="right"/>
              <w:rPr>
                <w:sz w:val="18"/>
                <w:szCs w:val="18"/>
                <w:lang w:eastAsia="bg-BG"/>
              </w:rPr>
            </w:pPr>
            <w:r w:rsidRPr="00455072">
              <w:rPr>
                <w:sz w:val="18"/>
                <w:szCs w:val="18"/>
                <w:lang w:eastAsia="bg-BG"/>
              </w:rPr>
              <w:t>227,8</w:t>
            </w:r>
          </w:p>
        </w:tc>
        <w:tc>
          <w:tcPr>
            <w:tcW w:w="1510" w:type="dxa"/>
            <w:tcBorders>
              <w:top w:val="nil"/>
              <w:left w:val="nil"/>
              <w:bottom w:val="nil"/>
              <w:right w:val="nil"/>
            </w:tcBorders>
            <w:shd w:val="clear" w:color="auto" w:fill="auto"/>
            <w:noWrap/>
            <w:vAlign w:val="bottom"/>
          </w:tcPr>
          <w:p w14:paraId="7DB2842F" w14:textId="77777777" w:rsidR="00455072" w:rsidRPr="00455072" w:rsidRDefault="00455072" w:rsidP="00455072">
            <w:pPr>
              <w:jc w:val="right"/>
              <w:rPr>
                <w:sz w:val="18"/>
                <w:szCs w:val="18"/>
                <w:lang w:eastAsia="bg-BG"/>
              </w:rPr>
            </w:pPr>
            <w:r w:rsidRPr="00455072">
              <w:rPr>
                <w:sz w:val="18"/>
                <w:szCs w:val="18"/>
                <w:lang w:eastAsia="bg-BG"/>
              </w:rPr>
              <w:t>400,5</w:t>
            </w:r>
          </w:p>
        </w:tc>
        <w:tc>
          <w:tcPr>
            <w:tcW w:w="1405" w:type="dxa"/>
            <w:tcBorders>
              <w:top w:val="nil"/>
              <w:left w:val="nil"/>
              <w:right w:val="single" w:sz="4" w:space="0" w:color="auto"/>
            </w:tcBorders>
            <w:shd w:val="clear" w:color="auto" w:fill="auto"/>
            <w:noWrap/>
            <w:vAlign w:val="bottom"/>
          </w:tcPr>
          <w:p w14:paraId="4485EA26" w14:textId="77777777" w:rsidR="00455072" w:rsidRPr="00455072" w:rsidRDefault="00455072" w:rsidP="00455072">
            <w:pPr>
              <w:jc w:val="right"/>
              <w:rPr>
                <w:sz w:val="18"/>
                <w:szCs w:val="18"/>
                <w:lang w:eastAsia="bg-BG"/>
              </w:rPr>
            </w:pPr>
            <w:r w:rsidRPr="00455072">
              <w:rPr>
                <w:sz w:val="18"/>
                <w:szCs w:val="18"/>
                <w:lang w:eastAsia="bg-BG"/>
              </w:rPr>
              <w:t>175,8%</w:t>
            </w:r>
          </w:p>
        </w:tc>
      </w:tr>
      <w:tr w:rsidR="00455072" w:rsidRPr="00455072" w14:paraId="1206A76C" w14:textId="77777777" w:rsidTr="00455072">
        <w:trPr>
          <w:trHeight w:val="80"/>
          <w:jc w:val="center"/>
        </w:trPr>
        <w:tc>
          <w:tcPr>
            <w:tcW w:w="4654" w:type="dxa"/>
            <w:tcBorders>
              <w:top w:val="nil"/>
              <w:left w:val="single" w:sz="4" w:space="0" w:color="auto"/>
              <w:bottom w:val="nil"/>
              <w:right w:val="single" w:sz="4" w:space="0" w:color="auto"/>
            </w:tcBorders>
            <w:shd w:val="clear" w:color="auto" w:fill="auto"/>
            <w:noWrap/>
            <w:vAlign w:val="bottom"/>
          </w:tcPr>
          <w:p w14:paraId="6FECA152" w14:textId="77777777" w:rsidR="00455072" w:rsidRPr="00455072" w:rsidRDefault="00455072" w:rsidP="00455072">
            <w:pPr>
              <w:rPr>
                <w:b/>
                <w:i/>
                <w:sz w:val="18"/>
                <w:szCs w:val="18"/>
                <w:lang w:eastAsia="bg-BG"/>
              </w:rPr>
            </w:pPr>
            <w:r w:rsidRPr="00455072">
              <w:rPr>
                <w:b/>
                <w:i/>
                <w:sz w:val="18"/>
                <w:szCs w:val="18"/>
                <w:lang w:eastAsia="bg-BG"/>
              </w:rPr>
              <w:t xml:space="preserve">   -Лихви</w:t>
            </w:r>
          </w:p>
        </w:tc>
        <w:tc>
          <w:tcPr>
            <w:tcW w:w="1644" w:type="dxa"/>
            <w:tcBorders>
              <w:top w:val="nil"/>
              <w:left w:val="nil"/>
              <w:bottom w:val="nil"/>
              <w:right w:val="nil"/>
            </w:tcBorders>
            <w:shd w:val="clear" w:color="auto" w:fill="auto"/>
            <w:noWrap/>
            <w:vAlign w:val="bottom"/>
          </w:tcPr>
          <w:p w14:paraId="63F5C0B2" w14:textId="77777777" w:rsidR="00455072" w:rsidRPr="00455072" w:rsidRDefault="00455072" w:rsidP="00455072">
            <w:pPr>
              <w:jc w:val="right"/>
              <w:rPr>
                <w:sz w:val="18"/>
                <w:szCs w:val="18"/>
                <w:lang w:eastAsia="bg-BG"/>
              </w:rPr>
            </w:pPr>
            <w:r w:rsidRPr="00455072">
              <w:rPr>
                <w:sz w:val="18"/>
                <w:szCs w:val="18"/>
                <w:lang w:eastAsia="bg-BG"/>
              </w:rPr>
              <w:t>327,1</w:t>
            </w:r>
          </w:p>
        </w:tc>
        <w:tc>
          <w:tcPr>
            <w:tcW w:w="1510" w:type="dxa"/>
            <w:tcBorders>
              <w:top w:val="nil"/>
              <w:left w:val="nil"/>
              <w:bottom w:val="nil"/>
              <w:right w:val="nil"/>
            </w:tcBorders>
            <w:shd w:val="clear" w:color="auto" w:fill="auto"/>
            <w:noWrap/>
            <w:vAlign w:val="bottom"/>
          </w:tcPr>
          <w:p w14:paraId="65EE5AE2" w14:textId="77777777" w:rsidR="00455072" w:rsidRPr="00455072" w:rsidRDefault="00455072" w:rsidP="00455072">
            <w:pPr>
              <w:jc w:val="right"/>
              <w:rPr>
                <w:sz w:val="18"/>
                <w:szCs w:val="18"/>
                <w:lang w:eastAsia="bg-BG"/>
              </w:rPr>
            </w:pPr>
            <w:r w:rsidRPr="00455072">
              <w:rPr>
                <w:sz w:val="18"/>
                <w:szCs w:val="18"/>
                <w:lang w:eastAsia="bg-BG"/>
              </w:rPr>
              <w:t>293,5</w:t>
            </w:r>
          </w:p>
        </w:tc>
        <w:tc>
          <w:tcPr>
            <w:tcW w:w="1405" w:type="dxa"/>
            <w:tcBorders>
              <w:top w:val="nil"/>
              <w:left w:val="nil"/>
              <w:bottom w:val="nil"/>
              <w:right w:val="single" w:sz="4" w:space="0" w:color="auto"/>
            </w:tcBorders>
            <w:shd w:val="clear" w:color="auto" w:fill="auto"/>
            <w:noWrap/>
            <w:vAlign w:val="bottom"/>
          </w:tcPr>
          <w:p w14:paraId="0421715D" w14:textId="77777777" w:rsidR="00455072" w:rsidRPr="00455072" w:rsidRDefault="00455072" w:rsidP="00455072">
            <w:pPr>
              <w:jc w:val="right"/>
              <w:rPr>
                <w:sz w:val="18"/>
                <w:szCs w:val="18"/>
                <w:lang w:eastAsia="bg-BG"/>
              </w:rPr>
            </w:pPr>
            <w:r w:rsidRPr="00455072">
              <w:rPr>
                <w:sz w:val="18"/>
                <w:szCs w:val="18"/>
                <w:lang w:eastAsia="bg-BG"/>
              </w:rPr>
              <w:t>89,7%</w:t>
            </w:r>
          </w:p>
        </w:tc>
      </w:tr>
      <w:tr w:rsidR="00455072" w:rsidRPr="00455072" w14:paraId="68658012" w14:textId="77777777" w:rsidTr="00455072">
        <w:trPr>
          <w:trHeight w:val="80"/>
          <w:jc w:val="center"/>
        </w:trPr>
        <w:tc>
          <w:tcPr>
            <w:tcW w:w="4654" w:type="dxa"/>
            <w:tcBorders>
              <w:top w:val="nil"/>
              <w:left w:val="single" w:sz="4" w:space="0" w:color="auto"/>
              <w:bottom w:val="nil"/>
              <w:right w:val="single" w:sz="4" w:space="0" w:color="auto"/>
            </w:tcBorders>
            <w:shd w:val="clear" w:color="auto" w:fill="auto"/>
            <w:noWrap/>
            <w:vAlign w:val="bottom"/>
          </w:tcPr>
          <w:p w14:paraId="24519B46" w14:textId="77777777" w:rsidR="00455072" w:rsidRPr="00455072" w:rsidRDefault="00455072" w:rsidP="00455072">
            <w:pPr>
              <w:rPr>
                <w:sz w:val="18"/>
                <w:szCs w:val="18"/>
                <w:lang w:eastAsia="bg-BG"/>
              </w:rPr>
            </w:pPr>
            <w:r w:rsidRPr="00455072">
              <w:rPr>
                <w:sz w:val="18"/>
                <w:szCs w:val="18"/>
                <w:lang w:eastAsia="bg-BG"/>
              </w:rPr>
              <w:t xml:space="preserve">      По външни заеми</w:t>
            </w:r>
          </w:p>
        </w:tc>
        <w:tc>
          <w:tcPr>
            <w:tcW w:w="1644" w:type="dxa"/>
            <w:tcBorders>
              <w:top w:val="nil"/>
              <w:left w:val="nil"/>
              <w:bottom w:val="nil"/>
              <w:right w:val="nil"/>
            </w:tcBorders>
            <w:shd w:val="clear" w:color="auto" w:fill="auto"/>
            <w:noWrap/>
            <w:vAlign w:val="bottom"/>
          </w:tcPr>
          <w:p w14:paraId="69BE9961" w14:textId="77777777" w:rsidR="00455072" w:rsidRPr="00455072" w:rsidRDefault="00455072" w:rsidP="00455072">
            <w:pPr>
              <w:jc w:val="right"/>
              <w:rPr>
                <w:sz w:val="18"/>
                <w:szCs w:val="18"/>
                <w:lang w:eastAsia="bg-BG"/>
              </w:rPr>
            </w:pPr>
            <w:r w:rsidRPr="00455072">
              <w:rPr>
                <w:sz w:val="18"/>
                <w:szCs w:val="18"/>
                <w:lang w:eastAsia="bg-BG"/>
              </w:rPr>
              <w:t>282,8</w:t>
            </w:r>
          </w:p>
        </w:tc>
        <w:tc>
          <w:tcPr>
            <w:tcW w:w="1510" w:type="dxa"/>
            <w:tcBorders>
              <w:top w:val="nil"/>
              <w:left w:val="nil"/>
              <w:bottom w:val="nil"/>
              <w:right w:val="nil"/>
            </w:tcBorders>
            <w:shd w:val="clear" w:color="auto" w:fill="auto"/>
            <w:noWrap/>
            <w:vAlign w:val="bottom"/>
          </w:tcPr>
          <w:p w14:paraId="500F0CFB" w14:textId="77777777" w:rsidR="00455072" w:rsidRPr="00455072" w:rsidRDefault="00455072" w:rsidP="00455072">
            <w:pPr>
              <w:jc w:val="right"/>
              <w:rPr>
                <w:sz w:val="18"/>
                <w:szCs w:val="18"/>
                <w:lang w:eastAsia="bg-BG"/>
              </w:rPr>
            </w:pPr>
            <w:r w:rsidRPr="00455072">
              <w:rPr>
                <w:sz w:val="18"/>
                <w:szCs w:val="18"/>
                <w:lang w:eastAsia="bg-BG"/>
              </w:rPr>
              <w:t>245,7</w:t>
            </w:r>
          </w:p>
        </w:tc>
        <w:tc>
          <w:tcPr>
            <w:tcW w:w="1405" w:type="dxa"/>
            <w:tcBorders>
              <w:top w:val="nil"/>
              <w:left w:val="nil"/>
              <w:bottom w:val="nil"/>
              <w:right w:val="single" w:sz="4" w:space="0" w:color="auto"/>
            </w:tcBorders>
            <w:shd w:val="clear" w:color="auto" w:fill="auto"/>
            <w:noWrap/>
            <w:vAlign w:val="bottom"/>
          </w:tcPr>
          <w:p w14:paraId="6C71E4DA" w14:textId="77777777" w:rsidR="00455072" w:rsidRPr="00455072" w:rsidRDefault="00455072" w:rsidP="00455072">
            <w:pPr>
              <w:jc w:val="right"/>
              <w:rPr>
                <w:sz w:val="18"/>
                <w:szCs w:val="18"/>
                <w:lang w:eastAsia="bg-BG"/>
              </w:rPr>
            </w:pPr>
            <w:r w:rsidRPr="00455072">
              <w:rPr>
                <w:sz w:val="18"/>
                <w:szCs w:val="18"/>
                <w:lang w:eastAsia="bg-BG"/>
              </w:rPr>
              <w:t>86,9%</w:t>
            </w:r>
          </w:p>
        </w:tc>
      </w:tr>
      <w:tr w:rsidR="00455072" w:rsidRPr="00455072" w14:paraId="15CE2898" w14:textId="77777777" w:rsidTr="00455072">
        <w:trPr>
          <w:trHeight w:val="80"/>
          <w:jc w:val="center"/>
        </w:trPr>
        <w:tc>
          <w:tcPr>
            <w:tcW w:w="4654" w:type="dxa"/>
            <w:tcBorders>
              <w:top w:val="nil"/>
              <w:left w:val="single" w:sz="4" w:space="0" w:color="auto"/>
              <w:right w:val="single" w:sz="4" w:space="0" w:color="auto"/>
            </w:tcBorders>
            <w:shd w:val="clear" w:color="auto" w:fill="auto"/>
            <w:noWrap/>
            <w:vAlign w:val="bottom"/>
          </w:tcPr>
          <w:p w14:paraId="18EF1C91" w14:textId="77777777" w:rsidR="00455072" w:rsidRPr="00455072" w:rsidRDefault="00455072" w:rsidP="00455072">
            <w:pPr>
              <w:rPr>
                <w:sz w:val="18"/>
                <w:szCs w:val="18"/>
                <w:lang w:eastAsia="bg-BG"/>
              </w:rPr>
            </w:pPr>
            <w:r w:rsidRPr="00455072">
              <w:rPr>
                <w:sz w:val="18"/>
                <w:szCs w:val="18"/>
                <w:lang w:eastAsia="bg-BG"/>
              </w:rPr>
              <w:t xml:space="preserve">      По вътрешни заеми</w:t>
            </w:r>
          </w:p>
        </w:tc>
        <w:tc>
          <w:tcPr>
            <w:tcW w:w="1644" w:type="dxa"/>
            <w:tcBorders>
              <w:top w:val="nil"/>
              <w:left w:val="nil"/>
              <w:bottom w:val="nil"/>
              <w:right w:val="nil"/>
            </w:tcBorders>
            <w:shd w:val="clear" w:color="auto" w:fill="auto"/>
            <w:noWrap/>
            <w:vAlign w:val="bottom"/>
          </w:tcPr>
          <w:p w14:paraId="28279AFA" w14:textId="77777777" w:rsidR="00455072" w:rsidRPr="00455072" w:rsidRDefault="00455072" w:rsidP="00455072">
            <w:pPr>
              <w:jc w:val="right"/>
              <w:rPr>
                <w:sz w:val="18"/>
                <w:szCs w:val="18"/>
                <w:lang w:eastAsia="bg-BG"/>
              </w:rPr>
            </w:pPr>
            <w:r w:rsidRPr="00455072">
              <w:rPr>
                <w:sz w:val="18"/>
                <w:szCs w:val="18"/>
                <w:lang w:eastAsia="bg-BG"/>
              </w:rPr>
              <w:t>44,3</w:t>
            </w:r>
          </w:p>
        </w:tc>
        <w:tc>
          <w:tcPr>
            <w:tcW w:w="1510" w:type="dxa"/>
            <w:tcBorders>
              <w:top w:val="nil"/>
              <w:left w:val="nil"/>
              <w:bottom w:val="nil"/>
              <w:right w:val="nil"/>
            </w:tcBorders>
            <w:shd w:val="clear" w:color="auto" w:fill="auto"/>
            <w:noWrap/>
            <w:vAlign w:val="bottom"/>
          </w:tcPr>
          <w:p w14:paraId="12713A6C" w14:textId="77777777" w:rsidR="00455072" w:rsidRPr="00455072" w:rsidRDefault="00455072" w:rsidP="00455072">
            <w:pPr>
              <w:jc w:val="right"/>
              <w:rPr>
                <w:sz w:val="18"/>
                <w:szCs w:val="18"/>
                <w:lang w:eastAsia="bg-BG"/>
              </w:rPr>
            </w:pPr>
            <w:r w:rsidRPr="00455072">
              <w:rPr>
                <w:sz w:val="18"/>
                <w:szCs w:val="18"/>
                <w:lang w:eastAsia="bg-BG"/>
              </w:rPr>
              <w:t>47,8</w:t>
            </w:r>
          </w:p>
        </w:tc>
        <w:tc>
          <w:tcPr>
            <w:tcW w:w="1405" w:type="dxa"/>
            <w:tcBorders>
              <w:top w:val="nil"/>
              <w:left w:val="nil"/>
              <w:right w:val="single" w:sz="4" w:space="0" w:color="auto"/>
            </w:tcBorders>
            <w:shd w:val="clear" w:color="auto" w:fill="auto"/>
            <w:noWrap/>
            <w:vAlign w:val="bottom"/>
          </w:tcPr>
          <w:p w14:paraId="1CDAED4B" w14:textId="77777777" w:rsidR="00455072" w:rsidRPr="00455072" w:rsidRDefault="00455072" w:rsidP="00455072">
            <w:pPr>
              <w:jc w:val="right"/>
              <w:rPr>
                <w:sz w:val="18"/>
                <w:szCs w:val="18"/>
                <w:lang w:eastAsia="bg-BG"/>
              </w:rPr>
            </w:pPr>
            <w:r w:rsidRPr="00455072">
              <w:rPr>
                <w:sz w:val="18"/>
                <w:szCs w:val="18"/>
                <w:lang w:eastAsia="bg-BG"/>
              </w:rPr>
              <w:t>108,0%</w:t>
            </w:r>
          </w:p>
        </w:tc>
      </w:tr>
      <w:tr w:rsidR="00455072" w:rsidRPr="00455072" w14:paraId="75907EBA" w14:textId="77777777" w:rsidTr="00455072">
        <w:trPr>
          <w:trHeight w:val="85"/>
          <w:jc w:val="center"/>
        </w:trPr>
        <w:tc>
          <w:tcPr>
            <w:tcW w:w="4654" w:type="dxa"/>
            <w:tcBorders>
              <w:left w:val="single" w:sz="4" w:space="0" w:color="auto"/>
              <w:right w:val="single" w:sz="4" w:space="0" w:color="auto"/>
            </w:tcBorders>
            <w:shd w:val="clear" w:color="auto" w:fill="auto"/>
            <w:noWrap/>
            <w:vAlign w:val="bottom"/>
          </w:tcPr>
          <w:p w14:paraId="20F81A99" w14:textId="77777777" w:rsidR="00455072" w:rsidRPr="00455072" w:rsidRDefault="00455072" w:rsidP="00455072">
            <w:pPr>
              <w:rPr>
                <w:b/>
                <w:i/>
                <w:sz w:val="18"/>
                <w:szCs w:val="18"/>
                <w:lang w:eastAsia="bg-BG"/>
              </w:rPr>
            </w:pPr>
            <w:r w:rsidRPr="00455072">
              <w:rPr>
                <w:b/>
                <w:sz w:val="18"/>
                <w:szCs w:val="18"/>
                <w:lang w:val="ru-RU" w:eastAsia="bg-BG"/>
              </w:rPr>
              <w:t xml:space="preserve"> </w:t>
            </w:r>
            <w:r w:rsidRPr="00455072">
              <w:rPr>
                <w:b/>
                <w:bCs/>
                <w:i/>
                <w:sz w:val="18"/>
                <w:szCs w:val="18"/>
                <w:lang w:eastAsia="bg-BG"/>
              </w:rPr>
              <w:t xml:space="preserve"> -Трансфери за  др. бюджети – нето</w:t>
            </w:r>
          </w:p>
        </w:tc>
        <w:tc>
          <w:tcPr>
            <w:tcW w:w="1644" w:type="dxa"/>
            <w:tcBorders>
              <w:top w:val="nil"/>
              <w:left w:val="nil"/>
              <w:bottom w:val="nil"/>
              <w:right w:val="nil"/>
            </w:tcBorders>
            <w:shd w:val="clear" w:color="auto" w:fill="auto"/>
            <w:noWrap/>
            <w:vAlign w:val="bottom"/>
          </w:tcPr>
          <w:p w14:paraId="69212F14" w14:textId="77777777" w:rsidR="00455072" w:rsidRPr="00455072" w:rsidRDefault="00455072" w:rsidP="00455072">
            <w:pPr>
              <w:jc w:val="right"/>
              <w:rPr>
                <w:sz w:val="18"/>
                <w:szCs w:val="18"/>
                <w:lang w:eastAsia="bg-BG"/>
              </w:rPr>
            </w:pPr>
            <w:r w:rsidRPr="00455072">
              <w:rPr>
                <w:sz w:val="18"/>
                <w:szCs w:val="18"/>
                <w:lang w:eastAsia="bg-BG"/>
              </w:rPr>
              <w:t>4 288,9</w:t>
            </w:r>
          </w:p>
        </w:tc>
        <w:tc>
          <w:tcPr>
            <w:tcW w:w="1510" w:type="dxa"/>
            <w:tcBorders>
              <w:top w:val="nil"/>
              <w:left w:val="nil"/>
              <w:bottom w:val="nil"/>
              <w:right w:val="nil"/>
            </w:tcBorders>
            <w:shd w:val="clear" w:color="auto" w:fill="auto"/>
            <w:noWrap/>
            <w:vAlign w:val="bottom"/>
          </w:tcPr>
          <w:p w14:paraId="391807C1" w14:textId="77777777" w:rsidR="00455072" w:rsidRPr="00455072" w:rsidRDefault="00455072" w:rsidP="00455072">
            <w:pPr>
              <w:jc w:val="right"/>
              <w:rPr>
                <w:sz w:val="18"/>
                <w:szCs w:val="18"/>
                <w:lang w:eastAsia="bg-BG"/>
              </w:rPr>
            </w:pPr>
            <w:r w:rsidRPr="00455072">
              <w:rPr>
                <w:sz w:val="18"/>
                <w:szCs w:val="18"/>
                <w:lang w:eastAsia="bg-BG"/>
              </w:rPr>
              <w:t>5 365,2</w:t>
            </w:r>
          </w:p>
        </w:tc>
        <w:tc>
          <w:tcPr>
            <w:tcW w:w="1405" w:type="dxa"/>
            <w:tcBorders>
              <w:top w:val="nil"/>
              <w:left w:val="nil"/>
              <w:bottom w:val="nil"/>
              <w:right w:val="single" w:sz="4" w:space="0" w:color="auto"/>
            </w:tcBorders>
            <w:shd w:val="clear" w:color="auto" w:fill="auto"/>
            <w:noWrap/>
            <w:vAlign w:val="bottom"/>
          </w:tcPr>
          <w:p w14:paraId="69EE49C2" w14:textId="77777777" w:rsidR="00455072" w:rsidRPr="00455072" w:rsidRDefault="00455072" w:rsidP="00455072">
            <w:pPr>
              <w:jc w:val="right"/>
              <w:rPr>
                <w:sz w:val="18"/>
                <w:szCs w:val="18"/>
                <w:lang w:eastAsia="bg-BG"/>
              </w:rPr>
            </w:pPr>
            <w:r w:rsidRPr="00455072">
              <w:rPr>
                <w:sz w:val="18"/>
                <w:szCs w:val="18"/>
                <w:lang w:eastAsia="bg-BG"/>
              </w:rPr>
              <w:t>125,1%</w:t>
            </w:r>
          </w:p>
        </w:tc>
      </w:tr>
      <w:tr w:rsidR="00455072" w:rsidRPr="00455072" w14:paraId="00277187" w14:textId="77777777" w:rsidTr="00455072">
        <w:trPr>
          <w:trHeight w:val="85"/>
          <w:jc w:val="center"/>
        </w:trPr>
        <w:tc>
          <w:tcPr>
            <w:tcW w:w="4654" w:type="dxa"/>
            <w:tcBorders>
              <w:left w:val="single" w:sz="4" w:space="0" w:color="auto"/>
              <w:right w:val="single" w:sz="4" w:space="0" w:color="auto"/>
            </w:tcBorders>
            <w:shd w:val="clear" w:color="auto" w:fill="auto"/>
            <w:noWrap/>
            <w:vAlign w:val="bottom"/>
          </w:tcPr>
          <w:p w14:paraId="435A8AF3" w14:textId="77777777" w:rsidR="00455072" w:rsidRPr="00455072" w:rsidRDefault="00455072" w:rsidP="00455072">
            <w:pPr>
              <w:rPr>
                <w:b/>
                <w:sz w:val="18"/>
                <w:szCs w:val="18"/>
                <w:lang w:eastAsia="bg-BG"/>
              </w:rPr>
            </w:pPr>
            <w:r w:rsidRPr="00455072">
              <w:rPr>
                <w:b/>
                <w:bCs/>
                <w:i/>
                <w:sz w:val="18"/>
                <w:szCs w:val="18"/>
                <w:lang w:eastAsia="bg-BG"/>
              </w:rPr>
              <w:t xml:space="preserve"> </w:t>
            </w:r>
            <w:r w:rsidRPr="00455072">
              <w:rPr>
                <w:b/>
                <w:bCs/>
                <w:i/>
                <w:sz w:val="18"/>
                <w:szCs w:val="18"/>
                <w:lang w:val="ru-RU" w:eastAsia="bg-BG"/>
              </w:rPr>
              <w:t xml:space="preserve"> </w:t>
            </w:r>
            <w:r w:rsidRPr="00455072">
              <w:rPr>
                <w:b/>
                <w:bCs/>
                <w:i/>
                <w:sz w:val="18"/>
                <w:szCs w:val="18"/>
                <w:lang w:eastAsia="bg-BG"/>
              </w:rPr>
              <w:t>-Вноска в бюджета на ЕС</w:t>
            </w:r>
          </w:p>
        </w:tc>
        <w:tc>
          <w:tcPr>
            <w:tcW w:w="1644" w:type="dxa"/>
            <w:tcBorders>
              <w:top w:val="nil"/>
              <w:left w:val="single" w:sz="8" w:space="0" w:color="auto"/>
              <w:bottom w:val="single" w:sz="4" w:space="0" w:color="auto"/>
              <w:right w:val="nil"/>
            </w:tcBorders>
            <w:shd w:val="clear" w:color="auto" w:fill="auto"/>
            <w:noWrap/>
            <w:vAlign w:val="bottom"/>
          </w:tcPr>
          <w:p w14:paraId="03915CFB" w14:textId="77777777" w:rsidR="00455072" w:rsidRPr="00455072" w:rsidRDefault="00455072" w:rsidP="00455072">
            <w:pPr>
              <w:jc w:val="right"/>
              <w:rPr>
                <w:sz w:val="18"/>
                <w:szCs w:val="18"/>
                <w:lang w:eastAsia="bg-BG"/>
              </w:rPr>
            </w:pPr>
            <w:r w:rsidRPr="00455072">
              <w:rPr>
                <w:sz w:val="18"/>
                <w:szCs w:val="18"/>
                <w:lang w:eastAsia="bg-BG"/>
              </w:rPr>
              <w:t>401,8</w:t>
            </w:r>
          </w:p>
        </w:tc>
        <w:tc>
          <w:tcPr>
            <w:tcW w:w="1510" w:type="dxa"/>
            <w:tcBorders>
              <w:top w:val="nil"/>
              <w:left w:val="nil"/>
              <w:bottom w:val="single" w:sz="4" w:space="0" w:color="auto"/>
              <w:right w:val="nil"/>
            </w:tcBorders>
            <w:shd w:val="clear" w:color="auto" w:fill="auto"/>
            <w:noWrap/>
            <w:vAlign w:val="bottom"/>
          </w:tcPr>
          <w:p w14:paraId="7AA8AE58" w14:textId="77777777" w:rsidR="00455072" w:rsidRPr="00455072" w:rsidRDefault="00455072" w:rsidP="00455072">
            <w:pPr>
              <w:jc w:val="right"/>
              <w:rPr>
                <w:sz w:val="18"/>
                <w:szCs w:val="18"/>
                <w:lang w:eastAsia="bg-BG"/>
              </w:rPr>
            </w:pPr>
            <w:r w:rsidRPr="00455072">
              <w:rPr>
                <w:sz w:val="18"/>
                <w:szCs w:val="18"/>
                <w:lang w:eastAsia="bg-BG"/>
              </w:rPr>
              <w:t>455,2</w:t>
            </w:r>
          </w:p>
        </w:tc>
        <w:tc>
          <w:tcPr>
            <w:tcW w:w="1405" w:type="dxa"/>
            <w:tcBorders>
              <w:top w:val="nil"/>
              <w:left w:val="nil"/>
              <w:bottom w:val="single" w:sz="4" w:space="0" w:color="auto"/>
              <w:right w:val="single" w:sz="4" w:space="0" w:color="auto"/>
            </w:tcBorders>
            <w:shd w:val="clear" w:color="auto" w:fill="auto"/>
            <w:noWrap/>
            <w:vAlign w:val="bottom"/>
          </w:tcPr>
          <w:p w14:paraId="343569C5" w14:textId="77777777" w:rsidR="00455072" w:rsidRPr="00455072" w:rsidRDefault="00455072" w:rsidP="00455072">
            <w:pPr>
              <w:jc w:val="right"/>
              <w:rPr>
                <w:sz w:val="18"/>
                <w:szCs w:val="18"/>
                <w:lang w:eastAsia="bg-BG"/>
              </w:rPr>
            </w:pPr>
            <w:r w:rsidRPr="00455072">
              <w:rPr>
                <w:sz w:val="18"/>
                <w:szCs w:val="18"/>
                <w:lang w:eastAsia="bg-BG"/>
              </w:rPr>
              <w:t>113,3%</w:t>
            </w:r>
          </w:p>
        </w:tc>
      </w:tr>
      <w:tr w:rsidR="00455072" w:rsidRPr="00455072" w14:paraId="4957861C" w14:textId="77777777" w:rsidTr="00455072">
        <w:trPr>
          <w:trHeight w:val="70"/>
          <w:jc w:val="center"/>
        </w:trPr>
        <w:tc>
          <w:tcPr>
            <w:tcW w:w="46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AFC0C" w14:textId="77777777" w:rsidR="00455072" w:rsidRPr="00455072" w:rsidRDefault="00455072" w:rsidP="00455072">
            <w:pPr>
              <w:rPr>
                <w:b/>
                <w:bCs/>
                <w:sz w:val="18"/>
                <w:szCs w:val="18"/>
                <w:lang w:eastAsia="bg-BG"/>
              </w:rPr>
            </w:pPr>
            <w:r w:rsidRPr="00455072">
              <w:rPr>
                <w:b/>
                <w:bCs/>
                <w:sz w:val="18"/>
                <w:szCs w:val="18"/>
                <w:lang w:eastAsia="bg-BG"/>
              </w:rPr>
              <w:t>Бюджетен баланс</w:t>
            </w:r>
          </w:p>
        </w:tc>
        <w:tc>
          <w:tcPr>
            <w:tcW w:w="1644" w:type="dxa"/>
            <w:tcBorders>
              <w:top w:val="nil"/>
              <w:left w:val="single" w:sz="8" w:space="0" w:color="auto"/>
              <w:bottom w:val="single" w:sz="8" w:space="0" w:color="auto"/>
              <w:right w:val="nil"/>
            </w:tcBorders>
            <w:shd w:val="clear" w:color="auto" w:fill="auto"/>
            <w:noWrap/>
            <w:vAlign w:val="bottom"/>
          </w:tcPr>
          <w:p w14:paraId="65E40E15" w14:textId="77777777" w:rsidR="00455072" w:rsidRPr="00455072" w:rsidRDefault="00455072" w:rsidP="00455072">
            <w:pPr>
              <w:jc w:val="right"/>
              <w:rPr>
                <w:b/>
                <w:bCs/>
                <w:sz w:val="18"/>
                <w:szCs w:val="18"/>
                <w:lang w:eastAsia="bg-BG"/>
              </w:rPr>
            </w:pPr>
            <w:r w:rsidRPr="00455072">
              <w:rPr>
                <w:b/>
                <w:bCs/>
                <w:sz w:val="18"/>
                <w:szCs w:val="18"/>
                <w:lang w:eastAsia="bg-BG"/>
              </w:rPr>
              <w:t>-609,8</w:t>
            </w:r>
          </w:p>
        </w:tc>
        <w:tc>
          <w:tcPr>
            <w:tcW w:w="1510" w:type="dxa"/>
            <w:tcBorders>
              <w:top w:val="nil"/>
              <w:left w:val="nil"/>
              <w:bottom w:val="single" w:sz="8" w:space="0" w:color="auto"/>
              <w:right w:val="nil"/>
            </w:tcBorders>
            <w:shd w:val="clear" w:color="auto" w:fill="auto"/>
            <w:noWrap/>
            <w:vAlign w:val="bottom"/>
          </w:tcPr>
          <w:p w14:paraId="78FD2CE7" w14:textId="77777777" w:rsidR="00455072" w:rsidRPr="00455072" w:rsidRDefault="00455072" w:rsidP="00455072">
            <w:pPr>
              <w:jc w:val="right"/>
              <w:rPr>
                <w:b/>
                <w:bCs/>
                <w:sz w:val="18"/>
                <w:szCs w:val="18"/>
                <w:lang w:eastAsia="bg-BG"/>
              </w:rPr>
            </w:pPr>
            <w:r w:rsidRPr="00455072">
              <w:rPr>
                <w:b/>
                <w:bCs/>
                <w:sz w:val="18"/>
                <w:szCs w:val="18"/>
                <w:lang w:eastAsia="bg-BG"/>
              </w:rPr>
              <w:t>-1 691,7</w:t>
            </w:r>
          </w:p>
        </w:tc>
        <w:tc>
          <w:tcPr>
            <w:tcW w:w="1405" w:type="dxa"/>
            <w:tcBorders>
              <w:top w:val="nil"/>
              <w:left w:val="nil"/>
              <w:bottom w:val="single" w:sz="8" w:space="0" w:color="auto"/>
              <w:right w:val="single" w:sz="4" w:space="0" w:color="auto"/>
            </w:tcBorders>
            <w:shd w:val="clear" w:color="auto" w:fill="auto"/>
            <w:noWrap/>
            <w:vAlign w:val="bottom"/>
          </w:tcPr>
          <w:p w14:paraId="23B09BD8" w14:textId="77777777" w:rsidR="00455072" w:rsidRPr="00455072" w:rsidRDefault="00455072" w:rsidP="00455072">
            <w:pPr>
              <w:jc w:val="right"/>
              <w:rPr>
                <w:b/>
                <w:bCs/>
                <w:sz w:val="18"/>
                <w:szCs w:val="18"/>
                <w:lang w:eastAsia="bg-BG"/>
              </w:rPr>
            </w:pPr>
          </w:p>
        </w:tc>
      </w:tr>
    </w:tbl>
    <w:p w14:paraId="3DC0B571" w14:textId="77777777" w:rsidR="00455072" w:rsidRPr="00455072" w:rsidRDefault="00455072" w:rsidP="00455072">
      <w:pPr>
        <w:spacing w:after="120"/>
        <w:ind w:left="360"/>
        <w:jc w:val="both"/>
        <w:rPr>
          <w:b/>
          <w:color w:val="0070C0"/>
          <w:sz w:val="12"/>
        </w:rPr>
      </w:pPr>
    </w:p>
    <w:p w14:paraId="7DEA2857" w14:textId="77777777" w:rsidR="00455072" w:rsidRPr="00455072" w:rsidRDefault="00455072" w:rsidP="00455072">
      <w:pPr>
        <w:numPr>
          <w:ilvl w:val="0"/>
          <w:numId w:val="2"/>
        </w:numPr>
        <w:spacing w:after="120"/>
        <w:jc w:val="both"/>
        <w:rPr>
          <w:b/>
        </w:rPr>
      </w:pPr>
      <w:r w:rsidRPr="00455072">
        <w:rPr>
          <w:b/>
          <w:bCs/>
        </w:rPr>
        <w:t xml:space="preserve">Приходи по държавния бюджет </w:t>
      </w:r>
    </w:p>
    <w:p w14:paraId="1B1A9DA6" w14:textId="77777777" w:rsidR="00455072" w:rsidRPr="00455072" w:rsidRDefault="00455072" w:rsidP="00455072">
      <w:pPr>
        <w:spacing w:after="120"/>
        <w:jc w:val="both"/>
        <w:rPr>
          <w:bCs/>
          <w:lang w:eastAsia="bg-BG"/>
        </w:rPr>
      </w:pPr>
      <w:r w:rsidRPr="00455072">
        <w:rPr>
          <w:bCs/>
          <w:lang w:eastAsia="bg-BG"/>
        </w:rPr>
        <w:t>Общият размер на</w:t>
      </w:r>
      <w:r w:rsidRPr="00455072">
        <w:rPr>
          <w:b/>
          <w:bCs/>
          <w:lang w:eastAsia="bg-BG"/>
        </w:rPr>
        <w:t xml:space="preserve"> приходите, помощите и даренията по държавния бюджет</w:t>
      </w:r>
      <w:r w:rsidRPr="00455072">
        <w:rPr>
          <w:bCs/>
          <w:lang w:eastAsia="bg-BG"/>
        </w:rPr>
        <w:t xml:space="preserve"> към март 2023 г. е</w:t>
      </w:r>
      <w:r w:rsidRPr="00455072">
        <w:rPr>
          <w:b/>
          <w:bCs/>
          <w:lang w:eastAsia="bg-BG"/>
        </w:rPr>
        <w:t xml:space="preserve"> 8 133,9 млн. лв.</w:t>
      </w:r>
      <w:r w:rsidRPr="00455072">
        <w:rPr>
          <w:bCs/>
          <w:lang w:eastAsia="bg-BG"/>
        </w:rPr>
        <w:t>, което представлява ръст от 936,7 млн. лв., 13,0 % спрямо отчетените за същия период на 2022 година.</w:t>
      </w:r>
    </w:p>
    <w:p w14:paraId="671EAF83" w14:textId="77777777" w:rsidR="00455072" w:rsidRPr="00455072" w:rsidRDefault="00455072" w:rsidP="00455072">
      <w:pPr>
        <w:numPr>
          <w:ilvl w:val="0"/>
          <w:numId w:val="3"/>
        </w:numPr>
        <w:tabs>
          <w:tab w:val="num" w:pos="720"/>
        </w:tabs>
        <w:ind w:left="0" w:firstLine="180"/>
        <w:jc w:val="both"/>
        <w:rPr>
          <w:b/>
          <w:bCs/>
          <w:lang w:eastAsia="bg-BG"/>
        </w:rPr>
      </w:pPr>
      <w:r w:rsidRPr="00455072">
        <w:rPr>
          <w:bCs/>
          <w:lang w:eastAsia="bg-BG"/>
        </w:rPr>
        <w:t xml:space="preserve"> </w:t>
      </w:r>
      <w:r w:rsidRPr="00455072">
        <w:rPr>
          <w:b/>
          <w:bCs/>
          <w:lang w:eastAsia="bg-BG"/>
        </w:rPr>
        <w:t>Данъчни приходи</w:t>
      </w:r>
    </w:p>
    <w:p w14:paraId="1F401600" w14:textId="77777777" w:rsidR="00455072" w:rsidRPr="00455072" w:rsidRDefault="00455072" w:rsidP="00455072">
      <w:pPr>
        <w:jc w:val="both"/>
        <w:rPr>
          <w:bCs/>
          <w:color w:val="0070C0"/>
          <w:sz w:val="4"/>
          <w:szCs w:val="4"/>
          <w:lang w:eastAsia="bg-BG"/>
        </w:rPr>
      </w:pPr>
    </w:p>
    <w:p w14:paraId="7898B691" w14:textId="77777777" w:rsidR="00455072" w:rsidRPr="00455072" w:rsidRDefault="00455072" w:rsidP="00455072">
      <w:pPr>
        <w:jc w:val="both"/>
        <w:rPr>
          <w:color w:val="0070C0"/>
          <w:sz w:val="10"/>
          <w:lang w:eastAsia="bg-BG"/>
        </w:rPr>
      </w:pPr>
      <w:r w:rsidRPr="00455072">
        <w:rPr>
          <w:bCs/>
          <w:lang w:eastAsia="bg-BG"/>
        </w:rPr>
        <w:t>Размерът на</w:t>
      </w:r>
      <w:r w:rsidRPr="00455072">
        <w:rPr>
          <w:b/>
          <w:bCs/>
          <w:lang w:eastAsia="bg-BG"/>
        </w:rPr>
        <w:t xml:space="preserve"> данъчните постъпления по държавния бюджет</w:t>
      </w:r>
      <w:r w:rsidRPr="00455072">
        <w:rPr>
          <w:bCs/>
          <w:lang w:eastAsia="bg-BG"/>
        </w:rPr>
        <w:t xml:space="preserve"> към март 2023 г. </w:t>
      </w:r>
      <w:r w:rsidRPr="00455072">
        <w:rPr>
          <w:lang w:eastAsia="bg-BG"/>
        </w:rPr>
        <w:t xml:space="preserve">е </w:t>
      </w:r>
      <w:r w:rsidRPr="00455072">
        <w:rPr>
          <w:b/>
          <w:lang w:val="ru-RU" w:eastAsia="bg-BG"/>
        </w:rPr>
        <w:t>7 244,4</w:t>
      </w:r>
      <w:r w:rsidRPr="00455072">
        <w:rPr>
          <w:b/>
          <w:lang w:eastAsia="bg-BG"/>
        </w:rPr>
        <w:t> млн.</w:t>
      </w:r>
      <w:r w:rsidRPr="00455072">
        <w:rPr>
          <w:b/>
          <w:lang w:val="en-US" w:eastAsia="bg-BG"/>
        </w:rPr>
        <w:t> </w:t>
      </w:r>
      <w:r w:rsidRPr="00455072">
        <w:rPr>
          <w:b/>
          <w:lang w:eastAsia="bg-BG"/>
        </w:rPr>
        <w:t>лв</w:t>
      </w:r>
      <w:r w:rsidRPr="00455072">
        <w:rPr>
          <w:lang w:eastAsia="bg-BG"/>
        </w:rPr>
        <w:t xml:space="preserve">. В сравнение със същия период на 2022 г. постъпленията в групата нарастват със </w:t>
      </w:r>
      <w:r w:rsidRPr="00455072">
        <w:rPr>
          <w:lang w:val="ru-RU" w:eastAsia="bg-BG"/>
        </w:rPr>
        <w:t>784,1</w:t>
      </w:r>
      <w:r w:rsidRPr="00455072">
        <w:rPr>
          <w:lang w:eastAsia="bg-BG"/>
        </w:rPr>
        <w:t xml:space="preserve"> млн. лева (12,1 %). </w:t>
      </w:r>
    </w:p>
    <w:p w14:paraId="15A0DE33" w14:textId="77777777" w:rsidR="00455072" w:rsidRPr="00455072" w:rsidRDefault="00455072" w:rsidP="00455072">
      <w:pPr>
        <w:numPr>
          <w:ilvl w:val="0"/>
          <w:numId w:val="4"/>
        </w:numPr>
        <w:tabs>
          <w:tab w:val="clear" w:pos="1440"/>
          <w:tab w:val="num" w:pos="540"/>
        </w:tabs>
        <w:spacing w:before="120" w:after="120"/>
        <w:ind w:left="0" w:firstLine="181"/>
        <w:jc w:val="both"/>
        <w:rPr>
          <w:b/>
          <w:bCs/>
          <w:lang w:eastAsia="bg-BG"/>
        </w:rPr>
      </w:pPr>
      <w:r w:rsidRPr="00455072">
        <w:rPr>
          <w:b/>
          <w:bCs/>
          <w:lang w:eastAsia="bg-BG"/>
        </w:rPr>
        <w:t>Преки данъци</w:t>
      </w:r>
    </w:p>
    <w:p w14:paraId="57791860" w14:textId="77777777" w:rsidR="00455072" w:rsidRPr="00455072" w:rsidRDefault="00455072" w:rsidP="00455072">
      <w:pPr>
        <w:spacing w:before="120"/>
        <w:jc w:val="both"/>
        <w:rPr>
          <w:lang w:eastAsia="bg-BG"/>
        </w:rPr>
      </w:pPr>
      <w:r w:rsidRPr="00455072">
        <w:rPr>
          <w:lang w:eastAsia="bg-BG"/>
        </w:rPr>
        <w:t>Приходите в групата на</w:t>
      </w:r>
      <w:r w:rsidRPr="00455072">
        <w:rPr>
          <w:b/>
          <w:lang w:eastAsia="bg-BG"/>
        </w:rPr>
        <w:t xml:space="preserve"> преките данъци</w:t>
      </w:r>
      <w:r w:rsidRPr="00455072">
        <w:rPr>
          <w:lang w:eastAsia="bg-BG"/>
        </w:rPr>
        <w:t xml:space="preserve"> са в размер на</w:t>
      </w:r>
      <w:r w:rsidRPr="00455072">
        <w:rPr>
          <w:b/>
          <w:lang w:eastAsia="bg-BG"/>
        </w:rPr>
        <w:t> 1 421,5 млн. лв</w:t>
      </w:r>
      <w:r w:rsidRPr="00455072">
        <w:rPr>
          <w:lang w:eastAsia="bg-BG"/>
        </w:rPr>
        <w:t xml:space="preserve">. Съпоставени със същия период на предходната година постъпленията нарастват със </w:t>
      </w:r>
      <w:r w:rsidRPr="00455072">
        <w:rPr>
          <w:lang w:val="ru-RU" w:eastAsia="bg-BG"/>
        </w:rPr>
        <w:t>178,8</w:t>
      </w:r>
      <w:r w:rsidRPr="00455072">
        <w:rPr>
          <w:lang w:eastAsia="bg-BG"/>
        </w:rPr>
        <w:t xml:space="preserve"> млн. лв. (14,4 %) основно поради по-високите постъпления от ДДФЛ</w:t>
      </w:r>
      <w:r w:rsidRPr="00455072">
        <w:rPr>
          <w:lang w:val="ru-RU" w:eastAsia="bg-BG"/>
        </w:rPr>
        <w:t xml:space="preserve"> (</w:t>
      </w:r>
      <w:r w:rsidRPr="00455072">
        <w:rPr>
          <w:lang w:eastAsia="bg-BG"/>
        </w:rPr>
        <w:t>ръст от 159,8 млн. лв., 14,7 % на годишна база</w:t>
      </w:r>
      <w:r w:rsidRPr="00455072">
        <w:rPr>
          <w:lang w:val="ru-RU" w:eastAsia="bg-BG"/>
        </w:rPr>
        <w:t>)</w:t>
      </w:r>
      <w:r w:rsidRPr="00455072">
        <w:rPr>
          <w:lang w:eastAsia="bg-BG"/>
        </w:rPr>
        <w:t>.</w:t>
      </w:r>
    </w:p>
    <w:p w14:paraId="5BA91083" w14:textId="10ED2947" w:rsidR="00455072" w:rsidRPr="00455072" w:rsidRDefault="00A80E6F" w:rsidP="00455072">
      <w:pPr>
        <w:spacing w:before="120"/>
        <w:jc w:val="both"/>
        <w:rPr>
          <w:color w:val="0070C0"/>
          <w:lang w:eastAsia="bg-BG"/>
        </w:rPr>
      </w:pPr>
      <w:r w:rsidRPr="00A80E6F">
        <w:rPr>
          <w:lang w:eastAsia="bg-BG"/>
        </w:rPr>
        <w:t>Приходите от</w:t>
      </w:r>
      <w:r w:rsidRPr="00A80E6F">
        <w:rPr>
          <w:b/>
          <w:lang w:eastAsia="bg-BG"/>
        </w:rPr>
        <w:t xml:space="preserve"> </w:t>
      </w:r>
      <w:r w:rsidRPr="00A80E6F">
        <w:rPr>
          <w:b/>
          <w:bCs/>
          <w:i/>
          <w:lang w:eastAsia="bg-BG"/>
        </w:rPr>
        <w:t>корпоративни данъци</w:t>
      </w:r>
      <w:r w:rsidRPr="00A80E6F">
        <w:rPr>
          <w:lang w:eastAsia="bg-BG"/>
        </w:rPr>
        <w:t xml:space="preserve"> </w:t>
      </w:r>
      <w:r w:rsidRPr="00A80E6F">
        <w:rPr>
          <w:bCs/>
          <w:lang w:eastAsia="bg-BG"/>
        </w:rPr>
        <w:t>към март 2023</w:t>
      </w:r>
      <w:r w:rsidRPr="00A80E6F">
        <w:rPr>
          <w:b/>
          <w:lang w:eastAsia="bg-BG"/>
        </w:rPr>
        <w:t> </w:t>
      </w:r>
      <w:r w:rsidRPr="00A80E6F">
        <w:rPr>
          <w:lang w:eastAsia="bg-BG"/>
        </w:rPr>
        <w:t>г. са в размер на 177,6 млн. лв. Сравнени с данните към месец март на предходната година постъпленията нарастват с 19,0 млн. лв. (12,0</w:t>
      </w:r>
      <w:r w:rsidR="00CD5355">
        <w:rPr>
          <w:lang w:eastAsia="bg-BG"/>
        </w:rPr>
        <w:t> </w:t>
      </w:r>
      <w:r w:rsidRPr="00A80E6F">
        <w:rPr>
          <w:lang w:eastAsia="bg-BG"/>
        </w:rPr>
        <w:t>%). Постъпленията от този вид данък са на сравнително ниски нива в резултат на регламентираните срокове за деклариране на данъчния финансов резултат за 2022 г. и за внасяне на дължимия корпоративен данък по ГДД (до 30 юни 2023</w:t>
      </w:r>
      <w:r w:rsidR="00301FBA">
        <w:rPr>
          <w:lang w:eastAsia="bg-BG"/>
        </w:rPr>
        <w:t xml:space="preserve"> г.</w:t>
      </w:r>
      <w:r w:rsidRPr="00A80E6F">
        <w:rPr>
          <w:lang w:eastAsia="bg-BG"/>
        </w:rPr>
        <w:t>), както и в сроковете за деклариране и внасяне на авансов данък. По отношение на авансовите вноски от корпоративен данък, които са голяма част от касовите постъпления през годината, следва да се отбележи, че сроковете за месечните</w:t>
      </w:r>
      <w:r w:rsidRPr="00A80E6F">
        <w:rPr>
          <w:lang w:val="ru-RU" w:eastAsia="bg-BG"/>
        </w:rPr>
        <w:t xml:space="preserve"> (</w:t>
      </w:r>
      <w:r w:rsidRPr="00A80E6F">
        <w:rPr>
          <w:lang w:eastAsia="bg-BG"/>
        </w:rPr>
        <w:t xml:space="preserve">за месеците януари, февруари и март </w:t>
      </w:r>
      <w:r w:rsidRPr="00A80E6F">
        <w:rPr>
          <w:lang w:val="en-US" w:eastAsia="bg-BG"/>
        </w:rPr>
        <w:t>e</w:t>
      </w:r>
      <w:r w:rsidRPr="00A80E6F">
        <w:rPr>
          <w:lang w:eastAsia="bg-BG"/>
        </w:rPr>
        <w:t xml:space="preserve"> в срок до 15 април на текущата календарна година</w:t>
      </w:r>
      <w:r w:rsidRPr="00A80E6F">
        <w:rPr>
          <w:lang w:val="ru-RU" w:eastAsia="bg-BG"/>
        </w:rPr>
        <w:t>)</w:t>
      </w:r>
      <w:r w:rsidRPr="00A80E6F">
        <w:rPr>
          <w:lang w:eastAsia="bg-BG"/>
        </w:rPr>
        <w:t xml:space="preserve"> и тримесечни плащания</w:t>
      </w:r>
      <w:r w:rsidRPr="00A80E6F">
        <w:rPr>
          <w:lang w:val="ru-RU" w:eastAsia="bg-BG"/>
        </w:rPr>
        <w:t xml:space="preserve"> (</w:t>
      </w:r>
      <w:r w:rsidRPr="00A80E6F">
        <w:rPr>
          <w:lang w:eastAsia="bg-BG"/>
        </w:rPr>
        <w:t xml:space="preserve">за първото и второто тримесечие се внасят до </w:t>
      </w:r>
      <w:r w:rsidR="00301FBA">
        <w:rPr>
          <w:lang w:eastAsia="bg-BG"/>
        </w:rPr>
        <w:t xml:space="preserve">    1</w:t>
      </w:r>
      <w:r w:rsidRPr="00A80E6F">
        <w:rPr>
          <w:lang w:eastAsia="bg-BG"/>
        </w:rPr>
        <w:t>5-</w:t>
      </w:r>
      <w:r w:rsidR="00301FBA">
        <w:rPr>
          <w:lang w:eastAsia="bg-BG"/>
        </w:rPr>
        <w:t>о</w:t>
      </w:r>
      <w:r w:rsidRPr="00A80E6F">
        <w:rPr>
          <w:lang w:eastAsia="bg-BG"/>
        </w:rPr>
        <w:t xml:space="preserve"> число на месеца следващ тримесечието, за което се отнасят</w:t>
      </w:r>
      <w:r w:rsidRPr="00A80E6F">
        <w:rPr>
          <w:lang w:val="ru-RU" w:eastAsia="bg-BG"/>
        </w:rPr>
        <w:t>)</w:t>
      </w:r>
      <w:r w:rsidRPr="00A80E6F">
        <w:rPr>
          <w:lang w:eastAsia="bg-BG"/>
        </w:rPr>
        <w:t xml:space="preserve"> остават непроменени през 2023 година. 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25,0 млн. лв. и намаляват с 3,8 млн. лв. (13,2 %) спрямо данните към март 2022 година. </w:t>
      </w:r>
      <w:r w:rsidR="00455072" w:rsidRPr="00455072">
        <w:rPr>
          <w:lang w:eastAsia="bg-BG"/>
        </w:rPr>
        <w:t xml:space="preserve"> </w:t>
      </w:r>
    </w:p>
    <w:p w14:paraId="7FEB522B" w14:textId="35CB4304" w:rsidR="00455072" w:rsidRPr="00455072" w:rsidRDefault="00455072" w:rsidP="00455072">
      <w:pPr>
        <w:spacing w:before="120" w:after="120"/>
        <w:jc w:val="both"/>
        <w:rPr>
          <w:lang w:eastAsia="bg-BG"/>
        </w:rPr>
      </w:pPr>
      <w:r w:rsidRPr="00455072">
        <w:rPr>
          <w:lang w:eastAsia="bg-BG"/>
        </w:rPr>
        <w:t>Приходите от</w:t>
      </w:r>
      <w:r w:rsidRPr="00455072">
        <w:rPr>
          <w:b/>
          <w:lang w:eastAsia="bg-BG"/>
        </w:rPr>
        <w:t xml:space="preserve"> данъци върху доходите на физически лица</w:t>
      </w:r>
      <w:r w:rsidR="00301FBA">
        <w:rPr>
          <w:b/>
          <w:lang w:eastAsia="bg-BG"/>
        </w:rPr>
        <w:t xml:space="preserve"> </w:t>
      </w:r>
      <w:r w:rsidR="00301FBA" w:rsidRPr="00301FBA">
        <w:rPr>
          <w:lang w:eastAsia="bg-BG"/>
        </w:rPr>
        <w:t>за първото тримесечие</w:t>
      </w:r>
      <w:r w:rsidR="00301FBA">
        <w:rPr>
          <w:lang w:eastAsia="bg-BG"/>
        </w:rPr>
        <w:t xml:space="preserve"> на 2023 г.</w:t>
      </w:r>
      <w:r w:rsidRPr="00301FBA">
        <w:rPr>
          <w:lang w:eastAsia="bg-BG"/>
        </w:rPr>
        <w:t xml:space="preserve"> </w:t>
      </w:r>
      <w:r w:rsidRPr="00455072">
        <w:rPr>
          <w:lang w:eastAsia="bg-BG"/>
        </w:rPr>
        <w:t xml:space="preserve">са в размер на </w:t>
      </w:r>
      <w:r w:rsidRPr="00455072">
        <w:rPr>
          <w:b/>
          <w:lang w:val="ru-RU" w:eastAsia="bg-BG"/>
        </w:rPr>
        <w:t>1 243,9</w:t>
      </w:r>
      <w:r w:rsidRPr="00455072">
        <w:rPr>
          <w:b/>
          <w:lang w:eastAsia="bg-BG"/>
        </w:rPr>
        <w:t xml:space="preserve"> млн. лв.</w:t>
      </w:r>
      <w:r w:rsidRPr="00455072">
        <w:rPr>
          <w:lang w:eastAsia="bg-BG"/>
        </w:rPr>
        <w:t xml:space="preserve"> и са по-високи със 159,8 млн. лв. (14,7 %) спрямо същия период на предходната година. </w:t>
      </w:r>
    </w:p>
    <w:p w14:paraId="01BC40FF" w14:textId="4E2E623B" w:rsidR="00455072" w:rsidRPr="00455072" w:rsidRDefault="00455072" w:rsidP="00455072">
      <w:pPr>
        <w:spacing w:before="120" w:after="120"/>
        <w:jc w:val="both"/>
        <w:rPr>
          <w:lang w:eastAsia="bg-BG"/>
        </w:rPr>
      </w:pPr>
      <w:r w:rsidRPr="00455072">
        <w:rPr>
          <w:lang w:eastAsia="bg-BG"/>
        </w:rPr>
        <w:t xml:space="preserve">Върху размера на данъчните постъпления от ДДФЛ основно влияние имат развитието на пазара на труда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w:t>
      </w:r>
      <w:r w:rsidR="00301FBA">
        <w:rPr>
          <w:lang w:eastAsia="bg-BG"/>
        </w:rPr>
        <w:t>взетите</w:t>
      </w:r>
      <w:r w:rsidRPr="00455072">
        <w:rPr>
          <w:lang w:eastAsia="bg-BG"/>
        </w:rPr>
        <w:t xml:space="preserve"> мерки за намаляване на недекларирания труд, мерките за повишаване на събираемостта на задължения за минали периоди и информационните кампании провеждани от НАП.</w:t>
      </w:r>
    </w:p>
    <w:p w14:paraId="2E163667" w14:textId="77777777" w:rsidR="00455072" w:rsidRPr="00455072" w:rsidRDefault="00455072" w:rsidP="00455072">
      <w:pPr>
        <w:spacing w:before="120"/>
        <w:jc w:val="both"/>
        <w:rPr>
          <w:lang w:eastAsia="bg-BG"/>
        </w:rPr>
      </w:pPr>
      <w:r w:rsidRPr="00455072">
        <w:rPr>
          <w:i/>
          <w:lang w:eastAsia="bg-BG"/>
        </w:rPr>
        <w:t>По трудови правоотношения</w:t>
      </w:r>
      <w:r w:rsidRPr="00455072">
        <w:rPr>
          <w:lang w:eastAsia="bg-BG"/>
        </w:rPr>
        <w:t xml:space="preserve"> приходите от данъка </w:t>
      </w:r>
      <w:r w:rsidRPr="00455072">
        <w:rPr>
          <w:bCs/>
          <w:lang w:eastAsia="bg-BG"/>
        </w:rPr>
        <w:t>към март 2023</w:t>
      </w:r>
      <w:r w:rsidRPr="00455072">
        <w:rPr>
          <w:lang w:eastAsia="bg-BG"/>
        </w:rPr>
        <w:t xml:space="preserve"> г. са 1 022,7 млн. лв., като нарастват със 155,2 млн. лв. (17,9 %) в сравнение със същия период на предходната година.</w:t>
      </w:r>
    </w:p>
    <w:p w14:paraId="2531D700" w14:textId="77777777" w:rsidR="00455072" w:rsidRPr="00455072" w:rsidRDefault="00455072" w:rsidP="00455072">
      <w:pPr>
        <w:spacing w:before="120"/>
        <w:jc w:val="both"/>
        <w:rPr>
          <w:lang w:eastAsia="bg-BG"/>
        </w:rPr>
      </w:pPr>
      <w:r w:rsidRPr="00455072">
        <w:rPr>
          <w:lang w:eastAsia="bg-BG"/>
        </w:rPr>
        <w:t xml:space="preserve">Отчетеният ръст на заетостта, рекордният спад на безработицата в страната и значителният номинален ръст на средната работна заплата през последното тримесечие на предходната година са основни фактори за нарастването на данъчните приходи от трудови правоотношения в началото на 2023 година. </w:t>
      </w:r>
    </w:p>
    <w:p w14:paraId="0411F3B8" w14:textId="77777777" w:rsidR="00455072" w:rsidRPr="00455072" w:rsidRDefault="00455072" w:rsidP="00455072">
      <w:pPr>
        <w:spacing w:before="120"/>
        <w:jc w:val="both"/>
        <w:rPr>
          <w:lang w:eastAsia="bg-BG"/>
        </w:rPr>
      </w:pPr>
      <w:r w:rsidRPr="00455072">
        <w:rPr>
          <w:lang w:eastAsia="bg-BG"/>
        </w:rPr>
        <w:t xml:space="preserve">Допълнително влияние за нарастване на данъчните постъпления оказва и приетото от правителството увеличение от 1 януари 2023 г. на минималната работна заплата за страната от 710 лв. на 780 лв. (9,9 %), както и увеличението на разходите за персонал в някои от бюджетните системи, одобрени с актуализацията на бюджета през 2022 година.   </w:t>
      </w:r>
    </w:p>
    <w:p w14:paraId="3FBF8FB8" w14:textId="591573E9" w:rsidR="00455072" w:rsidRPr="00455072" w:rsidRDefault="00455072" w:rsidP="00455072">
      <w:pPr>
        <w:spacing w:before="120" w:after="120"/>
        <w:jc w:val="both"/>
        <w:rPr>
          <w:lang w:eastAsia="bg-BG"/>
        </w:rPr>
      </w:pPr>
      <w:r w:rsidRPr="00455072">
        <w:rPr>
          <w:lang w:eastAsia="bg-BG"/>
        </w:rPr>
        <w:t>Ползването на облекченията за деца по чл. 22в и чл. 22г от ЗДДФЛ чрез подаване на декларация по образец при работодателя през месец декември 2022 г. оказва въздействие в посока намаление върху приходите от трудови правоотношения през първото тримесечие на настоящата година.</w:t>
      </w:r>
      <w:r w:rsidRPr="00455072" w:rsidDel="00A15933">
        <w:rPr>
          <w:lang w:eastAsia="bg-BG"/>
        </w:rPr>
        <w:t xml:space="preserve"> </w:t>
      </w:r>
      <w:r w:rsidRPr="00455072">
        <w:rPr>
          <w:lang w:eastAsia="bg-BG"/>
        </w:rPr>
        <w:t>Очаква се ползването на облекченията да окаже влияние и през следващите отчетни периоди при подаване на годишната данъчна декларация за доходите, придобити през 2022 г. и при авансово</w:t>
      </w:r>
      <w:r w:rsidR="00A80E6F">
        <w:rPr>
          <w:lang w:eastAsia="bg-BG"/>
        </w:rPr>
        <w:t>то</w:t>
      </w:r>
      <w:r w:rsidRPr="00455072">
        <w:rPr>
          <w:lang w:eastAsia="bg-BG"/>
        </w:rPr>
        <w:t xml:space="preserve"> ползване при работодател за придобитите доходи през 2023 година.  </w:t>
      </w:r>
    </w:p>
    <w:p w14:paraId="32F95053" w14:textId="1A8888E0" w:rsidR="00455072" w:rsidRPr="00455072" w:rsidRDefault="00455072" w:rsidP="00455072">
      <w:pPr>
        <w:spacing w:after="120"/>
        <w:jc w:val="both"/>
        <w:rPr>
          <w:highlight w:val="cyan"/>
          <w:lang w:eastAsia="bg-BG"/>
        </w:rPr>
      </w:pPr>
      <w:r w:rsidRPr="00455072">
        <w:rPr>
          <w:i/>
          <w:lang w:eastAsia="bg-BG"/>
        </w:rPr>
        <w:t>По извънтрудови правоотношения (свободни професии, граждански договори</w:t>
      </w:r>
      <w:r w:rsidR="00A80E6F">
        <w:rPr>
          <w:i/>
          <w:lang w:eastAsia="bg-BG"/>
        </w:rPr>
        <w:t xml:space="preserve">, </w:t>
      </w:r>
      <w:r w:rsidR="00A80E6F">
        <w:rPr>
          <w:i/>
        </w:rPr>
        <w:t>еднолични търговци</w:t>
      </w:r>
      <w:r w:rsidRPr="00455072">
        <w:rPr>
          <w:i/>
          <w:lang w:eastAsia="bg-BG"/>
        </w:rPr>
        <w:t xml:space="preserve"> и др.)</w:t>
      </w:r>
      <w:r w:rsidRPr="00455072">
        <w:rPr>
          <w:lang w:eastAsia="bg-BG"/>
        </w:rPr>
        <w:t xml:space="preserve"> приходите от данъка </w:t>
      </w:r>
      <w:r w:rsidRPr="00455072">
        <w:rPr>
          <w:bCs/>
          <w:lang w:eastAsia="bg-BG"/>
        </w:rPr>
        <w:t>към март 2023</w:t>
      </w:r>
      <w:r w:rsidRPr="00455072">
        <w:rPr>
          <w:lang w:eastAsia="bg-BG"/>
        </w:rPr>
        <w:t xml:space="preserve"> г. са в размер на 79,6 млн. лв. За отчетния период са постъпили с 4,9 млн. лв. (5,8 %) по-малко приходи спрямо края на март 2022 година.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w:t>
      </w:r>
      <w:r w:rsidRPr="00455072">
        <w:rPr>
          <w:lang w:val="ru-RU" w:eastAsia="bg-BG"/>
        </w:rPr>
        <w:t xml:space="preserve"> </w:t>
      </w:r>
      <w:r w:rsidRPr="00455072">
        <w:rPr>
          <w:lang w:eastAsia="bg-BG"/>
        </w:rPr>
        <w:t>Отрицателният ръст на тази група данъчни приходи за отчетния период се дължи на ползването на данъчните облекчения за деца по чл. 22в и чл. 22г от ЗДДФЛ в увеличен размер за доходите, придобити през 2022 година.</w:t>
      </w:r>
    </w:p>
    <w:p w14:paraId="218B48C3" w14:textId="69794A3A" w:rsidR="00455072" w:rsidRPr="00455072" w:rsidRDefault="00A80E6F" w:rsidP="00455072">
      <w:pPr>
        <w:spacing w:after="120"/>
        <w:jc w:val="both"/>
        <w:rPr>
          <w:lang w:eastAsia="bg-BG"/>
        </w:rPr>
      </w:pPr>
      <w:r w:rsidRPr="00FD3BE8">
        <w:rPr>
          <w:i/>
        </w:rPr>
        <w:t xml:space="preserve">Окончателен данък на местните и чуждестранни физически лица по чл. 37 и 38 от ЗДДФЛ </w:t>
      </w:r>
      <w:r w:rsidRPr="00FD3BE8">
        <w:t xml:space="preserve">и </w:t>
      </w:r>
      <w:r w:rsidRPr="00FD3BE8">
        <w:rPr>
          <w:i/>
        </w:rPr>
        <w:t>данък върху дивидентите и ликвидационните дялове на физически лица</w:t>
      </w:r>
      <w:r w:rsidRPr="00FD3BE8">
        <w:t xml:space="preserve"> - постъпленията от тези данъци са в размер на 141,6 млн. лв. За отчетния период са постъпили с 10,8 млн. лв. (8,2 %) повече приходи спрямо март 2022 година. </w:t>
      </w:r>
      <w:r w:rsidRPr="009F63DB">
        <w:t>Влияние за по-високото изпълнение на приходите от данък върху дивидентите и ликвидационните дялове на местни и чуждестранни физически и юридически лица има предприетата комуникационна кампания и контролни действия от НАП през 2022 г. за проверка на касови наличности.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w:t>
      </w:r>
      <w:r>
        <w:t xml:space="preserve"> или до</w:t>
      </w:r>
      <w:r w:rsidRPr="009F63DB">
        <w:t xml:space="preserve"> наличието на скрито разпределение на печалбата по смисъла на § 1, т. 5 от Д</w:t>
      </w:r>
      <w:r>
        <w:t>опълнителните разпоредби</w:t>
      </w:r>
      <w:r w:rsidRPr="009F63DB">
        <w:t xml:space="preserve"> на ЗКПО. Скритото разпределение на печалбата се третира като дивидент, за който се внася 5 % данък върху разпределените суми.</w:t>
      </w:r>
      <w:r w:rsidRPr="00E8197E">
        <w:t xml:space="preserve"> </w:t>
      </w:r>
      <w:r w:rsidR="00455072" w:rsidRPr="00455072">
        <w:rPr>
          <w:lang w:eastAsia="bg-BG"/>
        </w:rPr>
        <w:t xml:space="preserve"> </w:t>
      </w:r>
    </w:p>
    <w:p w14:paraId="777314B0" w14:textId="77777777" w:rsidR="00455072" w:rsidRPr="00455072" w:rsidRDefault="00455072" w:rsidP="00455072">
      <w:pPr>
        <w:numPr>
          <w:ilvl w:val="0"/>
          <w:numId w:val="4"/>
        </w:numPr>
        <w:tabs>
          <w:tab w:val="clear" w:pos="1440"/>
          <w:tab w:val="num" w:pos="540"/>
        </w:tabs>
        <w:ind w:left="0" w:firstLine="180"/>
        <w:jc w:val="both"/>
        <w:rPr>
          <w:b/>
          <w:bCs/>
          <w:lang w:eastAsia="bg-BG"/>
        </w:rPr>
      </w:pPr>
      <w:r w:rsidRPr="00455072">
        <w:rPr>
          <w:b/>
          <w:bCs/>
          <w:lang w:eastAsia="bg-BG"/>
        </w:rPr>
        <w:t>Косвени данъци</w:t>
      </w:r>
    </w:p>
    <w:p w14:paraId="14ED9874" w14:textId="77777777" w:rsidR="00455072" w:rsidRPr="00455072" w:rsidRDefault="00455072" w:rsidP="00455072">
      <w:pPr>
        <w:jc w:val="both"/>
        <w:rPr>
          <w:b/>
          <w:bCs/>
          <w:sz w:val="4"/>
          <w:szCs w:val="4"/>
          <w:lang w:eastAsia="bg-BG"/>
        </w:rPr>
      </w:pPr>
    </w:p>
    <w:p w14:paraId="79FE5EFF" w14:textId="77777777" w:rsidR="00455072" w:rsidRPr="00455072" w:rsidRDefault="00455072" w:rsidP="00455072">
      <w:pPr>
        <w:spacing w:after="120"/>
        <w:jc w:val="both"/>
        <w:rPr>
          <w:lang w:eastAsia="bg-BG"/>
        </w:rPr>
      </w:pPr>
      <w:r w:rsidRPr="00455072">
        <w:rPr>
          <w:lang w:eastAsia="bg-BG"/>
        </w:rPr>
        <w:t xml:space="preserve">Приходите от </w:t>
      </w:r>
      <w:r w:rsidRPr="00455072">
        <w:rPr>
          <w:b/>
          <w:lang w:eastAsia="bg-BG"/>
        </w:rPr>
        <w:t>косвени данъци</w:t>
      </w:r>
      <w:r w:rsidRPr="00455072">
        <w:rPr>
          <w:lang w:eastAsia="bg-BG"/>
        </w:rPr>
        <w:t xml:space="preserve"> </w:t>
      </w:r>
      <w:r w:rsidRPr="00455072">
        <w:rPr>
          <w:bCs/>
          <w:lang w:eastAsia="bg-BG"/>
        </w:rPr>
        <w:t>към март 2023</w:t>
      </w:r>
      <w:r w:rsidRPr="00455072">
        <w:rPr>
          <w:lang w:eastAsia="bg-BG"/>
        </w:rPr>
        <w:t xml:space="preserve"> г. са в размер на </w:t>
      </w:r>
      <w:r w:rsidRPr="00455072">
        <w:rPr>
          <w:b/>
          <w:lang w:eastAsia="bg-BG"/>
        </w:rPr>
        <w:t xml:space="preserve"> 5 697,0 млн. лв</w:t>
      </w:r>
      <w:r w:rsidRPr="00455072">
        <w:rPr>
          <w:lang w:eastAsia="bg-BG"/>
        </w:rPr>
        <w:t>. и са с 508,7 млн. лв. (9,8 %) повече, спрямо същия период на предходната година, което се дължи основно на по-високите постъпления от акцизи</w:t>
      </w:r>
      <w:r w:rsidRPr="00455072">
        <w:rPr>
          <w:lang w:val="ru-RU" w:eastAsia="bg-BG"/>
        </w:rPr>
        <w:t>.</w:t>
      </w:r>
      <w:r w:rsidRPr="00455072">
        <w:rPr>
          <w:lang w:eastAsia="bg-BG"/>
        </w:rPr>
        <w:t xml:space="preserve"> </w:t>
      </w:r>
    </w:p>
    <w:p w14:paraId="2E8F5A11" w14:textId="77777777" w:rsidR="00455072" w:rsidRPr="00455072" w:rsidRDefault="00455072" w:rsidP="00455072">
      <w:pPr>
        <w:spacing w:after="120"/>
        <w:jc w:val="both"/>
        <w:rPr>
          <w:lang w:eastAsia="bg-BG"/>
        </w:rPr>
      </w:pPr>
      <w:r w:rsidRPr="00455072">
        <w:rPr>
          <w:b/>
          <w:lang w:eastAsia="bg-BG"/>
        </w:rPr>
        <w:t>Приходите от ДДС</w:t>
      </w:r>
      <w:r w:rsidRPr="00455072">
        <w:rPr>
          <w:lang w:eastAsia="bg-BG"/>
        </w:rPr>
        <w:t xml:space="preserve"> са в размер на </w:t>
      </w:r>
      <w:r w:rsidRPr="00455072">
        <w:rPr>
          <w:b/>
          <w:lang w:eastAsia="bg-BG"/>
        </w:rPr>
        <w:t>3 852,9</w:t>
      </w:r>
      <w:r w:rsidRPr="00455072">
        <w:rPr>
          <w:lang w:eastAsia="bg-BG"/>
        </w:rPr>
        <w:t xml:space="preserve"> </w:t>
      </w:r>
      <w:r w:rsidRPr="00455072">
        <w:rPr>
          <w:b/>
          <w:lang w:eastAsia="bg-BG"/>
        </w:rPr>
        <w:t xml:space="preserve">млн. лв. </w:t>
      </w:r>
      <w:r w:rsidRPr="00455072">
        <w:rPr>
          <w:lang w:eastAsia="bg-BG"/>
        </w:rPr>
        <w:t xml:space="preserve">Съпоставени с данните към март 2022 г., приходите от ДДС нарастват с 40,5 млн. лв. (1,1 %). </w:t>
      </w:r>
    </w:p>
    <w:p w14:paraId="5CA50425" w14:textId="7F769DAC" w:rsidR="00AE35CD" w:rsidRPr="00802AE6" w:rsidRDefault="003B5EA5" w:rsidP="00AE35CD">
      <w:pPr>
        <w:spacing w:before="120"/>
        <w:ind w:right="-29"/>
        <w:jc w:val="both"/>
        <w:rPr>
          <w:color w:val="0070C0"/>
        </w:rPr>
      </w:pPr>
      <w:r w:rsidRPr="00E83E59">
        <w:t xml:space="preserve">Нетният размер на приходите от </w:t>
      </w:r>
      <w:r w:rsidRPr="00E83E59">
        <w:rPr>
          <w:i/>
        </w:rPr>
        <w:t>ДДС от внос</w:t>
      </w:r>
      <w:r w:rsidRPr="00E83E59">
        <w:t xml:space="preserve"> </w:t>
      </w:r>
      <w:r w:rsidRPr="00E83E59">
        <w:rPr>
          <w:bCs/>
        </w:rPr>
        <w:t>към март 2023</w:t>
      </w:r>
      <w:r w:rsidRPr="00E83E59">
        <w:t xml:space="preserve"> г. е 1 517,5 млн. лв.</w:t>
      </w:r>
      <w:r>
        <w:t xml:space="preserve">, като нарастват с </w:t>
      </w:r>
      <w:r w:rsidRPr="00E83E59">
        <w:t xml:space="preserve">3,1 % (45,7 млн. </w:t>
      </w:r>
      <w:r w:rsidRPr="00107C33">
        <w:t>лв.)</w:t>
      </w:r>
      <w:r>
        <w:t xml:space="preserve"> спрямо първото тримесечие на 202</w:t>
      </w:r>
      <w:r w:rsidR="00301FBA">
        <w:t>2</w:t>
      </w:r>
      <w:r>
        <w:t xml:space="preserve"> г.</w:t>
      </w:r>
      <w:r w:rsidRPr="00B54A32">
        <w:t xml:space="preserve"> </w:t>
      </w:r>
      <w:r w:rsidR="00AE35CD" w:rsidRPr="006F3A26">
        <w:t>Влияние върху постъпленията от ДДС от внос оказват цената на суровия петрол, количествата на внасяните стоки за междинно потребление (черни, цветни</w:t>
      </w:r>
      <w:r w:rsidR="00AE35CD">
        <w:t xml:space="preserve"> метали и др.), курсът</w:t>
      </w:r>
      <w:r w:rsidR="00AE35CD" w:rsidRPr="006F3A26">
        <w:t xml:space="preserve"> на щатския долар спрямо еврото</w:t>
      </w:r>
      <w:r w:rsidR="00AE35CD">
        <w:t xml:space="preserve"> и др. </w:t>
      </w:r>
      <w:r w:rsidR="00AE35CD" w:rsidRPr="00651F05">
        <w:t>Разглеждайки декларирания ДДС при внос по групи стоки, съобразно Класификатора на широките икономически категории (</w:t>
      </w:r>
      <w:r w:rsidR="00AE35CD" w:rsidRPr="00651F05">
        <w:rPr>
          <w:lang w:val="en-US"/>
        </w:rPr>
        <w:t>BEC</w:t>
      </w:r>
      <w:r w:rsidR="00AE35CD" w:rsidRPr="00651F05">
        <w:t>)</w:t>
      </w:r>
      <w:r w:rsidR="00AE35CD">
        <w:t>,</w:t>
      </w:r>
      <w:r w:rsidR="00AE35CD" w:rsidRPr="00651F05">
        <w:t xml:space="preserve"> най-значително увеличение се наблюдава при груп</w:t>
      </w:r>
      <w:r w:rsidR="00AE35CD">
        <w:t>ите</w:t>
      </w:r>
      <w:r w:rsidR="00AE35CD" w:rsidRPr="00651F05">
        <w:t xml:space="preserve"> „Храни и напитки“ (39,6</w:t>
      </w:r>
      <w:r w:rsidR="00AE35CD">
        <w:t xml:space="preserve"> </w:t>
      </w:r>
      <w:r w:rsidR="00AE35CD" w:rsidRPr="00651F05">
        <w:t>%) и „Инвестиционни стоки“ (5,9</w:t>
      </w:r>
      <w:r w:rsidR="00AE35CD">
        <w:t xml:space="preserve"> </w:t>
      </w:r>
      <w:r w:rsidR="00AE35CD" w:rsidRPr="00651F05">
        <w:t xml:space="preserve">%). </w:t>
      </w:r>
      <w:r w:rsidR="00AE35CD">
        <w:t>П</w:t>
      </w:r>
      <w:r w:rsidR="00AE35CD" w:rsidRPr="00651F05">
        <w:t>ри редица групи стоки се отчита значително намаление – декларирания</w:t>
      </w:r>
      <w:r w:rsidR="00AE35CD">
        <w:t>т</w:t>
      </w:r>
      <w:r w:rsidR="00AE35CD" w:rsidRPr="00651F05">
        <w:t xml:space="preserve"> ДДС при внос за група „Горива и смазочни материали“ намалява с 34,3</w:t>
      </w:r>
      <w:r w:rsidR="00AE35CD">
        <w:t> </w:t>
      </w:r>
      <w:r w:rsidR="00AE35CD" w:rsidRPr="00651F05">
        <w:t>%, за група „Потребителс</w:t>
      </w:r>
      <w:r w:rsidR="00AE35CD">
        <w:t>ки стоки“ се отчита намаление с</w:t>
      </w:r>
      <w:r w:rsidR="00AE35CD" w:rsidRPr="00651F05">
        <w:t xml:space="preserve"> 14,1</w:t>
      </w:r>
      <w:r w:rsidR="00AE35CD">
        <w:t xml:space="preserve"> </w:t>
      </w:r>
      <w:r w:rsidR="00AE35CD" w:rsidRPr="00651F05">
        <w:t xml:space="preserve">% и за група „Промишлени </w:t>
      </w:r>
      <w:r w:rsidR="00301FBA">
        <w:t>доставки</w:t>
      </w:r>
      <w:r w:rsidR="00AE35CD" w:rsidRPr="00651F05">
        <w:t>“ - с 9</w:t>
      </w:r>
      <w:r w:rsidR="00AE35CD">
        <w:t xml:space="preserve">,4 %. Съпоставена със същия период на предходната година, цената на внесения суров нефт е по-ниска с 44,7 % </w:t>
      </w:r>
      <w:r w:rsidR="00AE35CD" w:rsidRPr="00651F05">
        <w:t xml:space="preserve">(от 97,7 долара за барел средно за първото тримесечие на 2022 г. </w:t>
      </w:r>
      <w:r w:rsidR="00AE35CD">
        <w:t xml:space="preserve">намалява до </w:t>
      </w:r>
      <w:r w:rsidR="00AE35CD" w:rsidRPr="00651F05">
        <w:t xml:space="preserve">54,1 долара/барел средно за </w:t>
      </w:r>
      <w:r w:rsidR="00AE35CD">
        <w:t>същия период</w:t>
      </w:r>
      <w:r w:rsidR="00AE35CD" w:rsidRPr="00651F05">
        <w:t xml:space="preserve"> на 2023 г.), като същевременно се наблюдава и спад в количествата на внесения нефт.</w:t>
      </w:r>
      <w:r w:rsidR="00AE35CD">
        <w:t xml:space="preserve"> Освен това, върху постъпленията от ДДС от внос влияние оказа и</w:t>
      </w:r>
      <w:r w:rsidR="00AE35CD" w:rsidRPr="00A01B1F">
        <w:t xml:space="preserve"> възможността </w:t>
      </w:r>
      <w:r w:rsidR="00AE35CD" w:rsidRPr="00A01B1F">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00AE35CD" w:rsidRPr="00A01B1F">
        <w:rPr>
          <w:bCs/>
        </w:rPr>
        <w:t xml:space="preserve"> </w:t>
      </w:r>
      <w:r w:rsidR="00AE35CD" w:rsidRPr="00A01B1F">
        <w:t xml:space="preserve">Ефектът от прилагането на този режим към края на месец март 2023 г. е </w:t>
      </w:r>
      <w:r w:rsidR="00AE35CD" w:rsidRPr="00A01B1F">
        <w:rPr>
          <w:bCs/>
        </w:rPr>
        <w:t xml:space="preserve">неначислен ДДС при внос в размер </w:t>
      </w:r>
      <w:r w:rsidR="00AE35CD" w:rsidRPr="00403D2D">
        <w:rPr>
          <w:bCs/>
        </w:rPr>
        <w:t>на 397,5</w:t>
      </w:r>
      <w:r w:rsidR="00AE35CD">
        <w:rPr>
          <w:bCs/>
        </w:rPr>
        <w:t xml:space="preserve"> млн. лева.</w:t>
      </w:r>
      <w:r w:rsidR="00AE35CD" w:rsidRPr="00403D2D">
        <w:rPr>
          <w:bCs/>
        </w:rPr>
        <w:t xml:space="preserve"> Стоките с най-значителен дял са: р</w:t>
      </w:r>
      <w:r w:rsidR="00AE35CD" w:rsidRPr="00403D2D">
        <w:t xml:space="preserve">уди, шлаки и пепели </w:t>
      </w:r>
      <w:r w:rsidR="00AE35CD" w:rsidRPr="00403D2D">
        <w:rPr>
          <w:bCs/>
        </w:rPr>
        <w:t>– 244</w:t>
      </w:r>
      <w:r w:rsidR="00AE35CD" w:rsidRPr="00403D2D">
        <w:t>,2</w:t>
      </w:r>
      <w:r w:rsidR="00AE35CD" w:rsidRPr="00403D2D">
        <w:rPr>
          <w:bCs/>
        </w:rPr>
        <w:t xml:space="preserve"> млн. лв. (ръст в сравнение с март 2022 г. от 8,7</w:t>
      </w:r>
      <w:r w:rsidR="00D17AB7">
        <w:rPr>
          <w:bCs/>
        </w:rPr>
        <w:t> </w:t>
      </w:r>
      <w:r w:rsidR="00AE35CD" w:rsidRPr="00403D2D">
        <w:rPr>
          <w:bCs/>
        </w:rPr>
        <w:t>млн. лв. или 3,7 %), мед и изделия от мед – 68,0 млн. лв. (спад от 0,4 млн. лв. или 0</w:t>
      </w:r>
      <w:r w:rsidR="00AE35CD" w:rsidRPr="00403D2D">
        <w:t>,6 %</w:t>
      </w:r>
      <w:r w:rsidR="00AE35CD" w:rsidRPr="00403D2D">
        <w:rPr>
          <w:bCs/>
        </w:rPr>
        <w:t xml:space="preserve">) и чугун, желязо и стомана </w:t>
      </w:r>
      <w:r w:rsidR="00AE35CD" w:rsidRPr="006D2275">
        <w:rPr>
          <w:bCs/>
        </w:rPr>
        <w:t>– 29,3 млн. лева (намаление с 10,0 млн. лв. или 25,5 % спад).</w:t>
      </w:r>
      <w:r w:rsidR="00AE35CD" w:rsidRPr="006D2275">
        <w:t xml:space="preserve"> </w:t>
      </w:r>
    </w:p>
    <w:p w14:paraId="419CF9B9" w14:textId="77777777" w:rsidR="00AE35CD" w:rsidRPr="006B69B4" w:rsidRDefault="00AE35CD" w:rsidP="00AE35CD">
      <w:pPr>
        <w:spacing w:before="120" w:after="120"/>
        <w:jc w:val="both"/>
        <w:rPr>
          <w:b/>
        </w:rPr>
      </w:pPr>
      <w:r w:rsidRPr="00A01B1F">
        <w:t>Постъпленията от</w:t>
      </w:r>
      <w:r w:rsidRPr="00A01B1F">
        <w:rPr>
          <w:i/>
        </w:rPr>
        <w:t xml:space="preserve"> ДДС при сделки в страната (нето)</w:t>
      </w:r>
      <w:r w:rsidRPr="00A01B1F">
        <w:t xml:space="preserve"> </w:t>
      </w:r>
      <w:r w:rsidRPr="00A01B1F">
        <w:rPr>
          <w:bCs/>
        </w:rPr>
        <w:t>към март 2023</w:t>
      </w:r>
      <w:r w:rsidRPr="00A01B1F">
        <w:t xml:space="preserve"> г. възлизат на 2 335,4 млн. лв. и намаляват с 5,2 млн. лв. (0,2 %) спрямо същия период на предходната година</w:t>
      </w:r>
      <w:r w:rsidRPr="00FD6400">
        <w:t>.</w:t>
      </w:r>
      <w:r>
        <w:t xml:space="preserve"> </w:t>
      </w:r>
      <w:r w:rsidRPr="00FD6400">
        <w:t>През първите три месеца на 2023</w:t>
      </w:r>
      <w:r>
        <w:t xml:space="preserve"> г.</w:t>
      </w:r>
      <w:r w:rsidRPr="00FD6400">
        <w:t xml:space="preserve"> декларираният за възстановяване ДДС и ефективно възстановеният данъчен кредит нарастват значително спрямо първ</w:t>
      </w:r>
      <w:r>
        <w:t>ото тримесечие на 2022 г., като о</w:t>
      </w:r>
      <w:r w:rsidRPr="00FD6400">
        <w:t>сновната причина за това е ръстът при декларирания данъчен кредит от износители (увеличение с 19,2 % спрямо същия пер</w:t>
      </w:r>
      <w:r>
        <w:t xml:space="preserve">иод на предходната година). </w:t>
      </w:r>
      <w:r w:rsidRPr="006B69B4">
        <w:rPr>
          <w:bCs/>
        </w:rPr>
        <w:t xml:space="preserve">Невъзстановеният </w:t>
      </w:r>
      <w:r w:rsidRPr="006B69B4">
        <w:t xml:space="preserve">данъчен кредит </w:t>
      </w:r>
      <w:r w:rsidRPr="006B69B4">
        <w:rPr>
          <w:bCs/>
        </w:rPr>
        <w:t>към 31.03.2023</w:t>
      </w:r>
      <w:r>
        <w:rPr>
          <w:bCs/>
        </w:rPr>
        <w:t> </w:t>
      </w:r>
      <w:r w:rsidRPr="006B69B4">
        <w:rPr>
          <w:bCs/>
        </w:rPr>
        <w:t xml:space="preserve">г. е в размер </w:t>
      </w:r>
      <w:r w:rsidRPr="0071754C">
        <w:rPr>
          <w:bCs/>
        </w:rPr>
        <w:t>на 95,0 млн. лв.</w:t>
      </w:r>
      <w:r>
        <w:rPr>
          <w:bCs/>
        </w:rPr>
        <w:t xml:space="preserve"> </w:t>
      </w:r>
      <w:r>
        <w:t>В</w:t>
      </w:r>
      <w:r w:rsidRPr="00391A13">
        <w:rPr>
          <w:szCs w:val="16"/>
        </w:rPr>
        <w:t>ърху приходите от ДДС през 2023 г. оказва</w:t>
      </w:r>
      <w:r>
        <w:rPr>
          <w:szCs w:val="16"/>
        </w:rPr>
        <w:t>т</w:t>
      </w:r>
      <w:r w:rsidRPr="00391A13">
        <w:rPr>
          <w:szCs w:val="16"/>
        </w:rPr>
        <w:t xml:space="preserve"> влияние</w:t>
      </w:r>
      <w:r>
        <w:rPr>
          <w:szCs w:val="16"/>
        </w:rPr>
        <w:t xml:space="preserve"> приетите</w:t>
      </w:r>
      <w:r w:rsidRPr="00391A13">
        <w:rPr>
          <w:szCs w:val="16"/>
        </w:rPr>
        <w:t xml:space="preserve"> от второто полугодие на миналата година</w:t>
      </w:r>
      <w:r>
        <w:rPr>
          <w:szCs w:val="16"/>
        </w:rPr>
        <w:t xml:space="preserve"> мерки за намаление на ставката на 9 %</w:t>
      </w:r>
      <w:r w:rsidRPr="00391A13">
        <w:rPr>
          <w:szCs w:val="16"/>
        </w:rPr>
        <w:t xml:space="preserve"> за централно </w:t>
      </w:r>
      <w:r>
        <w:rPr>
          <w:szCs w:val="16"/>
        </w:rPr>
        <w:t>отопление и природен газ и въвеждане на</w:t>
      </w:r>
      <w:r w:rsidRPr="00391A13">
        <w:rPr>
          <w:szCs w:val="16"/>
        </w:rPr>
        <w:t xml:space="preserve"> нулева ставка за хляб и брашно, както и </w:t>
      </w:r>
      <w:r>
        <w:rPr>
          <w:szCs w:val="16"/>
        </w:rPr>
        <w:t>направеното увеличение</w:t>
      </w:r>
      <w:r w:rsidRPr="00391A13">
        <w:rPr>
          <w:szCs w:val="16"/>
        </w:rPr>
        <w:t xml:space="preserve"> на прага за регистрация по ЗДДС на 100 хил. лева от 01.01.2023 година. Тези мерки водят до загуба на приходи от ДДС.</w:t>
      </w:r>
      <w:r w:rsidRPr="00FD6400">
        <w:rPr>
          <w:bCs/>
        </w:rPr>
        <w:t xml:space="preserve"> </w:t>
      </w:r>
    </w:p>
    <w:p w14:paraId="3E2518D5" w14:textId="77777777" w:rsidR="00AE35CD" w:rsidRPr="00A04789" w:rsidRDefault="00AE35CD" w:rsidP="00AE35CD">
      <w:pPr>
        <w:spacing w:after="120"/>
        <w:jc w:val="both"/>
      </w:pPr>
      <w:r w:rsidRPr="00373E02">
        <w:rPr>
          <w:b/>
        </w:rPr>
        <w:t xml:space="preserve">Приходите от акцизи (нето) </w:t>
      </w:r>
      <w:r w:rsidRPr="00373E02">
        <w:t xml:space="preserve">от внос, вътрешно производство и въведени в страната от други държави-членки на ЕС акцизни стоки са в размер на </w:t>
      </w:r>
      <w:r w:rsidRPr="00373E02">
        <w:rPr>
          <w:b/>
        </w:rPr>
        <w:t>1 746,2 млн. лв</w:t>
      </w:r>
      <w:r w:rsidRPr="00373E02">
        <w:t>. Съпоставени със същия период на предходната година приходите от акцизи нарастват номинално с 482,7 млн. лв. (38,2 %).</w:t>
      </w:r>
      <w:r>
        <w:t xml:space="preserve"> </w:t>
      </w:r>
      <w:r w:rsidRPr="00A332FE">
        <w:t>Причина за този извънредно висок ръст са въведените от 01.03.2023 г. по-високи акцизни ставки на освободените за потребление количества тютюн и тютюневи изделия,</w:t>
      </w:r>
      <w:r>
        <w:t xml:space="preserve"> </w:t>
      </w:r>
      <w:r w:rsidRPr="00A332FE">
        <w:t xml:space="preserve"> </w:t>
      </w:r>
      <w:r>
        <w:t>както и</w:t>
      </w:r>
      <w:r w:rsidRPr="00A332FE">
        <w:t xml:space="preserve"> презапасяването с</w:t>
      </w:r>
      <w:r>
        <w:t xml:space="preserve"> цигари и други тютюневи изделия</w:t>
      </w:r>
      <w:r w:rsidRPr="00A332FE">
        <w:t xml:space="preserve"> при действието на предходния по-благоприятен акцизен режим.</w:t>
      </w:r>
    </w:p>
    <w:p w14:paraId="30366910" w14:textId="77777777" w:rsidR="00AE35CD" w:rsidRPr="00A04789" w:rsidRDefault="00AE35CD" w:rsidP="00AE35CD">
      <w:pPr>
        <w:spacing w:before="120" w:after="120"/>
        <w:jc w:val="both"/>
      </w:pPr>
      <w:r>
        <w:t>Относителният дял на нетните постъпления от акциз</w:t>
      </w:r>
      <w:r w:rsidRPr="00A04789">
        <w:t xml:space="preserve"> </w:t>
      </w:r>
      <w:r>
        <w:t xml:space="preserve">по </w:t>
      </w:r>
      <w:r w:rsidRPr="00A04789">
        <w:t>стокови групи</w:t>
      </w:r>
      <w:r>
        <w:t xml:space="preserve"> е от: тютюн и </w:t>
      </w:r>
      <w:r w:rsidRPr="00A04789">
        <w:t>тютюневи изделия (66,9</w:t>
      </w:r>
      <w:r>
        <w:t xml:space="preserve"> %); </w:t>
      </w:r>
      <w:r w:rsidRPr="00A04789">
        <w:t>горива (28,7 </w:t>
      </w:r>
      <w:r>
        <w:t xml:space="preserve">%); </w:t>
      </w:r>
      <w:r w:rsidRPr="00FD0243">
        <w:t xml:space="preserve">алкохол и алкохолни напитки (вкл. бира) </w:t>
      </w:r>
      <w:r w:rsidRPr="00A04789">
        <w:t>(3,8 %)</w:t>
      </w:r>
      <w:r>
        <w:t xml:space="preserve"> и </w:t>
      </w:r>
      <w:r w:rsidRPr="00A04789">
        <w:t>други акцизни стоки (0,6 %). Постъпления</w:t>
      </w:r>
      <w:r>
        <w:t>та</w:t>
      </w:r>
      <w:r w:rsidRPr="00A04789">
        <w:t xml:space="preserve"> от акциз към март 2023 г. по основни стокови групи, са както следва:</w:t>
      </w:r>
    </w:p>
    <w:p w14:paraId="326961CE" w14:textId="77777777" w:rsidR="00AE35CD" w:rsidRPr="00A04789" w:rsidRDefault="00AE35CD" w:rsidP="00AE35CD">
      <w:pPr>
        <w:numPr>
          <w:ilvl w:val="0"/>
          <w:numId w:val="16"/>
        </w:numPr>
        <w:ind w:firstLine="66"/>
        <w:jc w:val="both"/>
        <w:rPr>
          <w:i/>
        </w:rPr>
      </w:pPr>
      <w:r w:rsidRPr="00A04789">
        <w:rPr>
          <w:i/>
        </w:rPr>
        <w:t xml:space="preserve">акцизите от </w:t>
      </w:r>
      <w:r w:rsidRPr="0067542E">
        <w:rPr>
          <w:i/>
        </w:rPr>
        <w:t xml:space="preserve">тютюн и тютюневи изделия </w:t>
      </w:r>
      <w:r w:rsidRPr="00A04789">
        <w:t>възлизат на</w:t>
      </w:r>
      <w:r w:rsidRPr="00A04789">
        <w:rPr>
          <w:i/>
        </w:rPr>
        <w:t xml:space="preserve"> </w:t>
      </w:r>
      <w:r w:rsidRPr="00A04789">
        <w:t>1 168,6 млн. лева</w:t>
      </w:r>
      <w:r w:rsidRPr="00A04789">
        <w:rPr>
          <w:i/>
        </w:rPr>
        <w:t xml:space="preserve">; </w:t>
      </w:r>
    </w:p>
    <w:p w14:paraId="0FD9F142" w14:textId="77777777" w:rsidR="00AE35CD" w:rsidRPr="00A04789" w:rsidRDefault="00AE35CD" w:rsidP="00AE35CD">
      <w:pPr>
        <w:numPr>
          <w:ilvl w:val="0"/>
          <w:numId w:val="16"/>
        </w:numPr>
        <w:ind w:firstLine="66"/>
        <w:jc w:val="both"/>
      </w:pPr>
      <w:r w:rsidRPr="00A04789">
        <w:rPr>
          <w:i/>
        </w:rPr>
        <w:t>акцизите от горив</w:t>
      </w:r>
      <w:r w:rsidRPr="00A04789">
        <w:t xml:space="preserve">а са в размер на 501,6 млн. лева; </w:t>
      </w:r>
    </w:p>
    <w:p w14:paraId="37092727" w14:textId="77777777" w:rsidR="00AE35CD" w:rsidRPr="00A04789" w:rsidRDefault="00AE35CD" w:rsidP="00AE35CD">
      <w:pPr>
        <w:numPr>
          <w:ilvl w:val="0"/>
          <w:numId w:val="16"/>
        </w:numPr>
        <w:ind w:firstLine="66"/>
        <w:jc w:val="both"/>
      </w:pPr>
      <w:r w:rsidRPr="00A04789">
        <w:rPr>
          <w:i/>
        </w:rPr>
        <w:t xml:space="preserve">акцизите от </w:t>
      </w:r>
      <w:r w:rsidRPr="0067542E">
        <w:rPr>
          <w:i/>
        </w:rPr>
        <w:t>алкохол и алкохолни напитки (вкл. бира)</w:t>
      </w:r>
      <w:r w:rsidRPr="00A04789">
        <w:rPr>
          <w:i/>
        </w:rPr>
        <w:t xml:space="preserve"> </w:t>
      </w:r>
      <w:r w:rsidRPr="00A04789">
        <w:t xml:space="preserve">възлизат на 66,3 млн. лева; </w:t>
      </w:r>
    </w:p>
    <w:p w14:paraId="752FC327" w14:textId="77777777" w:rsidR="00AE35CD" w:rsidRPr="00A04789" w:rsidRDefault="00AE35CD" w:rsidP="00AE35CD">
      <w:pPr>
        <w:numPr>
          <w:ilvl w:val="0"/>
          <w:numId w:val="16"/>
        </w:numPr>
        <w:ind w:firstLine="66"/>
        <w:jc w:val="both"/>
      </w:pPr>
      <w:r w:rsidRPr="00A04789">
        <w:rPr>
          <w:i/>
        </w:rPr>
        <w:t xml:space="preserve">приходите от </w:t>
      </w:r>
      <w:r w:rsidRPr="0067542E">
        <w:rPr>
          <w:i/>
        </w:rPr>
        <w:t>други акцизни стоки</w:t>
      </w:r>
      <w:r w:rsidRPr="00A04789">
        <w:rPr>
          <w:i/>
        </w:rPr>
        <w:t xml:space="preserve"> </w:t>
      </w:r>
      <w:r w:rsidRPr="00A04789">
        <w:t>възлизат на 9,8 млн. лева.</w:t>
      </w:r>
    </w:p>
    <w:p w14:paraId="08B08FAA" w14:textId="77777777" w:rsidR="00455072" w:rsidRPr="00455072" w:rsidRDefault="00455072" w:rsidP="00455072">
      <w:pPr>
        <w:ind w:left="360"/>
        <w:jc w:val="both"/>
        <w:rPr>
          <w:sz w:val="8"/>
          <w:szCs w:val="8"/>
          <w:lang w:eastAsia="bg-BG"/>
        </w:rPr>
      </w:pPr>
    </w:p>
    <w:p w14:paraId="78842FBE" w14:textId="77777777" w:rsidR="00455072" w:rsidRPr="00455072" w:rsidRDefault="00455072" w:rsidP="00455072">
      <w:pPr>
        <w:ind w:left="360"/>
        <w:jc w:val="both"/>
        <w:rPr>
          <w:sz w:val="8"/>
          <w:szCs w:val="8"/>
          <w:lang w:eastAsia="bg-BG"/>
        </w:rPr>
      </w:pPr>
    </w:p>
    <w:p w14:paraId="022874B4" w14:textId="77777777" w:rsidR="00455072" w:rsidRPr="00455072" w:rsidRDefault="00455072" w:rsidP="00455072">
      <w:pPr>
        <w:ind w:left="360"/>
        <w:jc w:val="both"/>
        <w:rPr>
          <w:sz w:val="8"/>
          <w:szCs w:val="8"/>
          <w:lang w:eastAsia="bg-BG"/>
        </w:rPr>
      </w:pPr>
    </w:p>
    <w:p w14:paraId="6511C76C" w14:textId="77777777" w:rsidR="00455072" w:rsidRPr="00455072" w:rsidRDefault="00455072" w:rsidP="00455072">
      <w:pPr>
        <w:spacing w:after="120"/>
        <w:jc w:val="both"/>
        <w:rPr>
          <w:lang w:eastAsia="bg-BG"/>
        </w:rPr>
      </w:pPr>
      <w:r w:rsidRPr="00455072">
        <w:rPr>
          <w:b/>
          <w:lang w:eastAsia="bg-BG"/>
        </w:rPr>
        <w:t>Приходите от данък върху застрахователните премии</w:t>
      </w:r>
      <w:r w:rsidRPr="00455072">
        <w:rPr>
          <w:lang w:eastAsia="bg-BG"/>
        </w:rPr>
        <w:t xml:space="preserve"> са в размер на </w:t>
      </w:r>
      <w:r w:rsidRPr="00455072">
        <w:rPr>
          <w:b/>
          <w:lang w:eastAsia="bg-BG"/>
        </w:rPr>
        <w:t>13,7 млн. лева</w:t>
      </w:r>
      <w:r w:rsidRPr="00455072">
        <w:rPr>
          <w:lang w:eastAsia="bg-BG"/>
        </w:rPr>
        <w:t>.</w:t>
      </w:r>
    </w:p>
    <w:p w14:paraId="761C769D" w14:textId="77777777" w:rsidR="00455072" w:rsidRPr="00455072" w:rsidRDefault="00455072" w:rsidP="00455072">
      <w:pPr>
        <w:tabs>
          <w:tab w:val="right" w:pos="9072"/>
        </w:tabs>
        <w:ind w:right="-2"/>
        <w:jc w:val="both"/>
        <w:rPr>
          <w:lang w:eastAsia="bg-BG"/>
        </w:rPr>
      </w:pPr>
      <w:r w:rsidRPr="00455072">
        <w:rPr>
          <w:b/>
          <w:lang w:eastAsia="bg-BG"/>
        </w:rPr>
        <w:t>Постъпленията от</w:t>
      </w:r>
      <w:r w:rsidRPr="00455072">
        <w:rPr>
          <w:lang w:eastAsia="bg-BG"/>
        </w:rPr>
        <w:t xml:space="preserve"> </w:t>
      </w:r>
      <w:r w:rsidRPr="00455072">
        <w:rPr>
          <w:b/>
          <w:bCs/>
          <w:lang w:eastAsia="bg-BG"/>
        </w:rPr>
        <w:t xml:space="preserve">мита </w:t>
      </w:r>
      <w:r w:rsidRPr="00455072">
        <w:rPr>
          <w:lang w:eastAsia="bg-BG"/>
        </w:rPr>
        <w:t xml:space="preserve">възлизат на </w:t>
      </w:r>
      <w:r w:rsidRPr="00455072">
        <w:rPr>
          <w:b/>
          <w:lang w:eastAsia="bg-BG"/>
        </w:rPr>
        <w:t>84,2 млн. лв</w:t>
      </w:r>
      <w:r w:rsidRPr="00455072">
        <w:rPr>
          <w:lang w:eastAsia="bg-BG"/>
        </w:rPr>
        <w:t xml:space="preserve">., като заемат 1,2 % относителен дял в общия размер на данъчните приходи по държавния бюджет. В сравнение със същия период на предходната година събраните мита са с 16,0 млн. лв. (16,0 %) по-малко. </w:t>
      </w:r>
    </w:p>
    <w:p w14:paraId="3CFF69F5" w14:textId="77777777" w:rsidR="00455072" w:rsidRPr="00455072" w:rsidRDefault="00455072" w:rsidP="00455072">
      <w:pPr>
        <w:tabs>
          <w:tab w:val="left" w:pos="0"/>
        </w:tabs>
        <w:spacing w:before="120"/>
        <w:jc w:val="both"/>
        <w:rPr>
          <w:lang w:eastAsia="bg-BG"/>
        </w:rPr>
      </w:pPr>
      <w:r w:rsidRPr="00455072">
        <w:rPr>
          <w:lang w:eastAsia="bg-BG"/>
        </w:rPr>
        <w:t xml:space="preserve">Основните фактори, от които зависят приходите от </w:t>
      </w:r>
      <w:r w:rsidRPr="00455072">
        <w:rPr>
          <w:b/>
          <w:i/>
          <w:lang w:eastAsia="bg-BG"/>
        </w:rPr>
        <w:t>мита и митнически такси</w:t>
      </w:r>
      <w:r w:rsidRPr="00455072">
        <w:rPr>
          <w:lang w:eastAsia="bg-BG"/>
        </w:rPr>
        <w:t xml:space="preserve"> са следните:</w:t>
      </w:r>
    </w:p>
    <w:p w14:paraId="2D90BED6" w14:textId="5CBF333F" w:rsidR="00455072" w:rsidRPr="00455072" w:rsidRDefault="00455072" w:rsidP="00455072">
      <w:pPr>
        <w:numPr>
          <w:ilvl w:val="0"/>
          <w:numId w:val="23"/>
        </w:numPr>
        <w:tabs>
          <w:tab w:val="left" w:pos="0"/>
        </w:tabs>
        <w:ind w:left="851" w:hanging="284"/>
        <w:jc w:val="both"/>
        <w:rPr>
          <w:lang w:eastAsia="bg-BG"/>
        </w:rPr>
      </w:pPr>
      <w:r w:rsidRPr="00455072">
        <w:rPr>
          <w:lang w:eastAsia="bg-BG"/>
        </w:rPr>
        <w:t>динамика в цените на енергийни и нее</w:t>
      </w:r>
      <w:r w:rsidR="00A45AAA">
        <w:rPr>
          <w:lang w:eastAsia="bg-BG"/>
        </w:rPr>
        <w:t>не</w:t>
      </w:r>
      <w:r w:rsidRPr="00455072">
        <w:rPr>
          <w:lang w:eastAsia="bg-BG"/>
        </w:rPr>
        <w:t>ргийни суровини;</w:t>
      </w:r>
    </w:p>
    <w:p w14:paraId="24F5E1A0" w14:textId="77777777" w:rsidR="00455072" w:rsidRPr="00455072" w:rsidRDefault="00455072" w:rsidP="00455072">
      <w:pPr>
        <w:numPr>
          <w:ilvl w:val="0"/>
          <w:numId w:val="23"/>
        </w:numPr>
        <w:tabs>
          <w:tab w:val="left" w:pos="0"/>
        </w:tabs>
        <w:ind w:left="851" w:hanging="284"/>
        <w:jc w:val="both"/>
        <w:rPr>
          <w:lang w:eastAsia="bg-BG"/>
        </w:rPr>
      </w:pPr>
      <w:r w:rsidRPr="00455072">
        <w:rPr>
          <w:lang w:eastAsia="bg-BG"/>
        </w:rPr>
        <w:t>реален растеж на световната и европейска икономика;</w:t>
      </w:r>
    </w:p>
    <w:p w14:paraId="07DD6E5A" w14:textId="77777777" w:rsidR="00455072" w:rsidRPr="00455072" w:rsidRDefault="00455072" w:rsidP="00455072">
      <w:pPr>
        <w:numPr>
          <w:ilvl w:val="0"/>
          <w:numId w:val="23"/>
        </w:numPr>
        <w:tabs>
          <w:tab w:val="left" w:pos="0"/>
        </w:tabs>
        <w:ind w:left="851" w:hanging="284"/>
        <w:jc w:val="both"/>
        <w:rPr>
          <w:lang w:eastAsia="bg-BG"/>
        </w:rPr>
      </w:pPr>
      <w:r w:rsidRPr="00455072">
        <w:rPr>
          <w:lang w:eastAsia="bg-BG"/>
        </w:rPr>
        <w:t>подобряване на ефективността на митническия контрол, чрез извършване на проверки, изготвяне на указания, усъвършенстване на информационните системи за анализ на риска;</w:t>
      </w:r>
    </w:p>
    <w:p w14:paraId="54DF2126" w14:textId="77777777" w:rsidR="00455072" w:rsidRPr="00455072" w:rsidRDefault="00455072" w:rsidP="00455072">
      <w:pPr>
        <w:numPr>
          <w:ilvl w:val="0"/>
          <w:numId w:val="23"/>
        </w:numPr>
        <w:tabs>
          <w:tab w:val="left" w:pos="0"/>
        </w:tabs>
        <w:ind w:left="851" w:hanging="284"/>
        <w:jc w:val="both"/>
        <w:rPr>
          <w:lang w:eastAsia="bg-BG"/>
        </w:rPr>
      </w:pPr>
      <w:r w:rsidRPr="00455072">
        <w:rPr>
          <w:lang w:eastAsia="bg-BG"/>
        </w:rPr>
        <w:t>синхронизиране на законодателството, процедурите и инструментите за митнически контрол на ЕС, с цел правилно определяне и събиране на  публичните вземания от компетентност на митническата администрация.</w:t>
      </w:r>
    </w:p>
    <w:p w14:paraId="0F07A053" w14:textId="1DE377D3" w:rsidR="00455072" w:rsidRPr="00455072" w:rsidRDefault="00455072" w:rsidP="00455072">
      <w:pPr>
        <w:tabs>
          <w:tab w:val="right" w:pos="9072"/>
        </w:tabs>
        <w:spacing w:before="120"/>
        <w:jc w:val="both"/>
        <w:rPr>
          <w:color w:val="0070C0"/>
          <w:lang w:eastAsia="bg-BG"/>
        </w:rPr>
      </w:pPr>
      <w:r w:rsidRPr="00455072">
        <w:rPr>
          <w:lang w:eastAsia="bg-BG"/>
        </w:rPr>
        <w:t>По-високи постъпления от мита</w:t>
      </w:r>
      <w:r w:rsidRPr="00455072">
        <w:rPr>
          <w:b/>
          <w:i/>
          <w:lang w:eastAsia="bg-BG"/>
        </w:rPr>
        <w:t xml:space="preserve"> </w:t>
      </w:r>
      <w:r w:rsidRPr="00455072">
        <w:rPr>
          <w:lang w:eastAsia="bg-BG"/>
        </w:rPr>
        <w:t>към края на март 2023 г. се отчитат при следните групи стоки: „Житни растения“ - приходите нарастват с 5,7 млн. лв. спрямо постъпленията към края на март 2022 г.; „Изделия от чугун, желязо или стомана“ - приходите са с 1,0 млн. лв. повече спрямо същия период на 2022 г.; „Разни видове хранителни продукти“ – приходите нарастват с 0,9 млн. лв. спрямо тези към края на март 2022 г.; „Различни видове продукти на химическата промишленост“ – приходите нарастват с 0,5 млн. лв. спрямо тези към края на март 2022 г.; „Ядрени реактори, котли, машини, апарати и механизми; части за тези машини или апарати</w:t>
      </w:r>
      <w:r w:rsidRPr="00455072">
        <w:rPr>
          <w:lang w:val="ru-RU" w:eastAsia="bg-BG"/>
        </w:rPr>
        <w:t xml:space="preserve">) </w:t>
      </w:r>
      <w:r w:rsidRPr="00455072">
        <w:rPr>
          <w:lang w:eastAsia="bg-BG"/>
        </w:rPr>
        <w:t xml:space="preserve">- увеличение в размер на 0,5 млн. лв. спрямо постъпленията към март 2022 г. </w:t>
      </w:r>
      <w:r w:rsidR="00301FBA">
        <w:rPr>
          <w:lang w:eastAsia="bg-BG"/>
        </w:rPr>
        <w:t>Н</w:t>
      </w:r>
      <w:r w:rsidRPr="00455072">
        <w:rPr>
          <w:lang w:eastAsia="bg-BG"/>
        </w:rPr>
        <w:t>ай-голям е делът на приходите от мита при внос на стоки от Китай, като към края на март 2023 г. постъпленията възлизат на  46,6 млн. лв., което представлява 56,9 % от всички декларирани мита и е отчетен спад спрямо същия период на 2022 г. от 7,5 %.</w:t>
      </w:r>
    </w:p>
    <w:p w14:paraId="329E4ABF" w14:textId="77777777" w:rsidR="00455072" w:rsidRPr="00455072" w:rsidRDefault="00455072" w:rsidP="00455072">
      <w:pPr>
        <w:numPr>
          <w:ilvl w:val="0"/>
          <w:numId w:val="4"/>
        </w:numPr>
        <w:tabs>
          <w:tab w:val="clear" w:pos="1440"/>
          <w:tab w:val="num" w:pos="540"/>
        </w:tabs>
        <w:spacing w:before="240"/>
        <w:ind w:left="0" w:firstLine="181"/>
        <w:jc w:val="both"/>
        <w:rPr>
          <w:b/>
          <w:bCs/>
          <w:lang w:eastAsia="bg-BG"/>
        </w:rPr>
      </w:pPr>
      <w:r w:rsidRPr="00455072">
        <w:rPr>
          <w:b/>
          <w:bCs/>
          <w:lang w:eastAsia="bg-BG"/>
        </w:rPr>
        <w:t>Други данъци</w:t>
      </w:r>
    </w:p>
    <w:p w14:paraId="7DA65CDF" w14:textId="6B20D189" w:rsidR="00455072" w:rsidRPr="00455072" w:rsidRDefault="00455072" w:rsidP="00455072">
      <w:pPr>
        <w:spacing w:before="120"/>
        <w:jc w:val="both"/>
        <w:rPr>
          <w:lang w:eastAsia="bg-BG"/>
        </w:rPr>
      </w:pPr>
      <w:r w:rsidRPr="00455072">
        <w:rPr>
          <w:lang w:eastAsia="bg-BG"/>
        </w:rPr>
        <w:t xml:space="preserve">Постъпленията от </w:t>
      </w:r>
      <w:r w:rsidRPr="00455072">
        <w:rPr>
          <w:b/>
          <w:lang w:eastAsia="bg-BG"/>
        </w:rPr>
        <w:t>други данъци</w:t>
      </w:r>
      <w:r w:rsidRPr="00455072">
        <w:rPr>
          <w:lang w:eastAsia="bg-BG"/>
        </w:rPr>
        <w:t xml:space="preserve"> по държавния бюджет </w:t>
      </w:r>
      <w:r w:rsidRPr="00455072">
        <w:rPr>
          <w:bCs/>
          <w:lang w:eastAsia="bg-BG"/>
        </w:rPr>
        <w:t>към края на март 2023</w:t>
      </w:r>
      <w:r w:rsidRPr="00455072">
        <w:rPr>
          <w:lang w:eastAsia="bg-BG"/>
        </w:rPr>
        <w:t xml:space="preserve"> г. са в размер на </w:t>
      </w:r>
      <w:r w:rsidRPr="00455072">
        <w:rPr>
          <w:b/>
          <w:lang w:eastAsia="bg-BG"/>
        </w:rPr>
        <w:t>125,9 млн. лева.</w:t>
      </w:r>
      <w:r w:rsidRPr="00455072">
        <w:rPr>
          <w:lang w:eastAsia="bg-BG"/>
        </w:rPr>
        <w:t xml:space="preserve"> В</w:t>
      </w:r>
      <w:r w:rsidR="00301FBA">
        <w:rPr>
          <w:lang w:eastAsia="bg-BG"/>
        </w:rPr>
        <w:t>лияние върху по-високия размер на тази група данъци за отчетния период оказват п</w:t>
      </w:r>
      <w:r w:rsidRPr="00455072">
        <w:rPr>
          <w:lang w:eastAsia="bg-BG"/>
        </w:rPr>
        <w:t xml:space="preserve">остъпленията от приетата временна солидарна вноска по Регламент (ЕС) 2022/1854 на Съвета от 6 октомври 2022 г. относно спешна намеса за справяне с високите цени на енергията. Временната солидарна вноска се внася за данъчните печалби за 2022 г. и за 2023 г., като данъчната печалба се определя по правилата, регламентирани в Закона за корпоративното подоходно облагане (§ 9 </w:t>
      </w:r>
      <w:r w:rsidR="00922902">
        <w:rPr>
          <w:lang w:eastAsia="bg-BG"/>
        </w:rPr>
        <w:t>о</w:t>
      </w:r>
      <w:r w:rsidRPr="00455072">
        <w:rPr>
          <w:lang w:eastAsia="bg-BG"/>
        </w:rPr>
        <w:t>т ПЗ</w:t>
      </w:r>
      <w:r w:rsidR="00922902">
        <w:rPr>
          <w:lang w:eastAsia="bg-BG"/>
        </w:rPr>
        <w:t>Р</w:t>
      </w:r>
      <w:r w:rsidRPr="00455072">
        <w:rPr>
          <w:lang w:eastAsia="bg-BG"/>
        </w:rPr>
        <w:t xml:space="preserve"> на ЗКПО в сила от 8.10.2022 г. – ДВ, бр. 99 от 2022 г.). Предвид предоставената в закона възможност, задължените лица могат да правят авансови </w:t>
      </w:r>
      <w:r w:rsidR="00301FBA">
        <w:rPr>
          <w:lang w:eastAsia="bg-BG"/>
        </w:rPr>
        <w:t>плащания</w:t>
      </w:r>
      <w:r w:rsidRPr="00455072">
        <w:rPr>
          <w:lang w:eastAsia="bg-BG"/>
        </w:rPr>
        <w:t xml:space="preserve"> по тази вноска.</w:t>
      </w:r>
    </w:p>
    <w:p w14:paraId="7245CEE5" w14:textId="77777777" w:rsidR="00455072" w:rsidRPr="00455072" w:rsidRDefault="00455072" w:rsidP="00455072">
      <w:pPr>
        <w:numPr>
          <w:ilvl w:val="0"/>
          <w:numId w:val="3"/>
        </w:numPr>
        <w:tabs>
          <w:tab w:val="num" w:pos="720"/>
        </w:tabs>
        <w:spacing w:before="120"/>
        <w:ind w:left="0" w:firstLine="181"/>
        <w:jc w:val="both"/>
        <w:rPr>
          <w:lang w:eastAsia="bg-BG"/>
        </w:rPr>
      </w:pPr>
      <w:r w:rsidRPr="00455072">
        <w:rPr>
          <w:b/>
          <w:bCs/>
          <w:lang w:eastAsia="bg-BG"/>
        </w:rPr>
        <w:t>Неданъчни приходи</w:t>
      </w:r>
    </w:p>
    <w:p w14:paraId="7B1F1901" w14:textId="77777777" w:rsidR="00455072" w:rsidRPr="00455072" w:rsidRDefault="00455072" w:rsidP="00455072">
      <w:pPr>
        <w:tabs>
          <w:tab w:val="left" w:pos="900"/>
        </w:tabs>
        <w:spacing w:before="120" w:after="120"/>
        <w:jc w:val="both"/>
        <w:rPr>
          <w:color w:val="0070C0"/>
          <w:lang w:eastAsia="bg-BG"/>
        </w:rPr>
      </w:pPr>
      <w:r w:rsidRPr="00455072">
        <w:rPr>
          <w:lang w:eastAsia="bg-BG"/>
        </w:rPr>
        <w:t>Отчетените</w:t>
      </w:r>
      <w:r w:rsidRPr="00455072">
        <w:rPr>
          <w:b/>
          <w:bCs/>
          <w:lang w:eastAsia="bg-BG"/>
        </w:rPr>
        <w:t xml:space="preserve"> неданъчни приходи</w:t>
      </w:r>
      <w:r w:rsidRPr="00455072">
        <w:rPr>
          <w:lang w:eastAsia="bg-BG"/>
        </w:rPr>
        <w:t xml:space="preserve"> по държавния бюджет </w:t>
      </w:r>
      <w:r w:rsidRPr="00455072">
        <w:rPr>
          <w:bCs/>
          <w:lang w:eastAsia="bg-BG"/>
        </w:rPr>
        <w:t>към март 2023</w:t>
      </w:r>
      <w:r w:rsidRPr="00455072">
        <w:rPr>
          <w:lang w:eastAsia="bg-BG"/>
        </w:rPr>
        <w:t xml:space="preserve"> г. са в размер на </w:t>
      </w:r>
      <w:r w:rsidRPr="00455072">
        <w:rPr>
          <w:b/>
          <w:lang w:eastAsia="bg-BG"/>
        </w:rPr>
        <w:t>888,0 млн. лв</w:t>
      </w:r>
      <w:r w:rsidRPr="00455072">
        <w:rPr>
          <w:lang w:eastAsia="bg-BG"/>
        </w:rPr>
        <w:t>. и се формират основно от приходи от държавни такси, приходи и доходи от собственост, приходи от концесии и други</w:t>
      </w:r>
      <w:r w:rsidRPr="00455072">
        <w:rPr>
          <w:color w:val="0070C0"/>
          <w:lang w:eastAsia="bg-BG"/>
        </w:rPr>
        <w:t>.</w:t>
      </w:r>
    </w:p>
    <w:p w14:paraId="730F3844" w14:textId="77777777" w:rsidR="00455072" w:rsidRPr="00455072" w:rsidRDefault="00455072" w:rsidP="00455072">
      <w:pPr>
        <w:numPr>
          <w:ilvl w:val="0"/>
          <w:numId w:val="3"/>
        </w:numPr>
        <w:tabs>
          <w:tab w:val="num" w:pos="720"/>
        </w:tabs>
        <w:ind w:left="0" w:firstLine="181"/>
        <w:jc w:val="both"/>
        <w:rPr>
          <w:b/>
          <w:bCs/>
          <w:lang w:eastAsia="bg-BG"/>
        </w:rPr>
      </w:pPr>
      <w:r w:rsidRPr="00455072">
        <w:rPr>
          <w:b/>
          <w:bCs/>
          <w:lang w:eastAsia="bg-BG"/>
        </w:rPr>
        <w:t>Помощи и дарения</w:t>
      </w:r>
    </w:p>
    <w:p w14:paraId="29EE811D" w14:textId="77777777" w:rsidR="00455072" w:rsidRPr="00455072" w:rsidRDefault="00455072" w:rsidP="00455072">
      <w:pPr>
        <w:spacing w:before="120" w:after="120"/>
        <w:jc w:val="both"/>
        <w:rPr>
          <w:lang w:eastAsia="bg-BG"/>
        </w:rPr>
      </w:pPr>
      <w:r w:rsidRPr="00455072">
        <w:rPr>
          <w:lang w:eastAsia="bg-BG"/>
        </w:rPr>
        <w:t xml:space="preserve">Постъпилите </w:t>
      </w:r>
      <w:r w:rsidRPr="00455072">
        <w:rPr>
          <w:b/>
          <w:lang w:eastAsia="bg-BG"/>
        </w:rPr>
        <w:t>помощи</w:t>
      </w:r>
      <w:r w:rsidRPr="00455072">
        <w:rPr>
          <w:lang w:eastAsia="bg-BG"/>
        </w:rPr>
        <w:t xml:space="preserve"> </w:t>
      </w:r>
      <w:r w:rsidRPr="00455072">
        <w:rPr>
          <w:b/>
          <w:lang w:eastAsia="bg-BG"/>
        </w:rPr>
        <w:t>и дарения</w:t>
      </w:r>
      <w:r w:rsidRPr="00455072">
        <w:rPr>
          <w:lang w:eastAsia="bg-BG"/>
        </w:rPr>
        <w:t xml:space="preserve"> по държавния бюджет към март 2023 г. са в размер на </w:t>
      </w:r>
      <w:r w:rsidRPr="00455072">
        <w:rPr>
          <w:b/>
          <w:lang w:eastAsia="bg-BG"/>
        </w:rPr>
        <w:t>1,4 млн. лева.</w:t>
      </w:r>
    </w:p>
    <w:p w14:paraId="44CB6921" w14:textId="77777777" w:rsidR="00222173" w:rsidRPr="00CF7BFA" w:rsidRDefault="00222173" w:rsidP="00222173">
      <w:pPr>
        <w:numPr>
          <w:ilvl w:val="0"/>
          <w:numId w:val="6"/>
        </w:numPr>
        <w:tabs>
          <w:tab w:val="clear" w:pos="7650"/>
          <w:tab w:val="num" w:pos="426"/>
        </w:tabs>
        <w:spacing w:before="240"/>
        <w:ind w:left="0" w:firstLine="0"/>
        <w:jc w:val="both"/>
        <w:rPr>
          <w:b/>
          <w:bCs/>
        </w:rPr>
      </w:pPr>
      <w:r w:rsidRPr="00CF7BFA">
        <w:rPr>
          <w:b/>
          <w:bCs/>
        </w:rPr>
        <w:t>Разходи по държавния бюджет</w:t>
      </w:r>
    </w:p>
    <w:p w14:paraId="4A8CF459" w14:textId="77777777" w:rsidR="00222173" w:rsidRPr="00C15913" w:rsidRDefault="00222173" w:rsidP="00222173">
      <w:pPr>
        <w:jc w:val="both"/>
        <w:rPr>
          <w:b/>
          <w:bCs/>
          <w:color w:val="0070C0"/>
          <w:sz w:val="4"/>
          <w:szCs w:val="4"/>
        </w:rPr>
      </w:pPr>
    </w:p>
    <w:p w14:paraId="1C86E09D" w14:textId="363EF2BB" w:rsidR="00222173" w:rsidRPr="00C15913" w:rsidRDefault="00CF7BFA" w:rsidP="00222173">
      <w:pPr>
        <w:pStyle w:val="BodyTextIndent"/>
        <w:spacing w:after="0"/>
        <w:ind w:left="0"/>
        <w:jc w:val="both"/>
        <w:rPr>
          <w:color w:val="0070C0"/>
        </w:rPr>
      </w:pPr>
      <w:r w:rsidRPr="00417CD1">
        <w:t xml:space="preserve">Общият размер на </w:t>
      </w:r>
      <w:r w:rsidRPr="00417CD1">
        <w:rPr>
          <w:b/>
        </w:rPr>
        <w:t>разходите по държавния бюджет</w:t>
      </w:r>
      <w:r w:rsidRPr="00417CD1">
        <w:t xml:space="preserve"> </w:t>
      </w:r>
      <w:r w:rsidRPr="00417CD1">
        <w:rPr>
          <w:lang w:val="ru-RU"/>
        </w:rPr>
        <w:t xml:space="preserve">(вкл. трансферите за др. бюджети и вноската в бюджета на ЕС) </w:t>
      </w:r>
      <w:r w:rsidRPr="00417CD1">
        <w:rPr>
          <w:bCs/>
        </w:rPr>
        <w:t>към март 2023</w:t>
      </w:r>
      <w:r w:rsidRPr="00417CD1">
        <w:t xml:space="preserve"> г. е </w:t>
      </w:r>
      <w:r w:rsidRPr="00417CD1">
        <w:rPr>
          <w:b/>
        </w:rPr>
        <w:t>9 825,6 млн. лв</w:t>
      </w:r>
      <w:r w:rsidRPr="00417CD1">
        <w:t xml:space="preserve">., като нарастват с 2 018,6 млн. лв. </w:t>
      </w:r>
      <w:r w:rsidRPr="00417CD1">
        <w:rPr>
          <w:lang w:val="ru-RU"/>
        </w:rPr>
        <w:t>(</w:t>
      </w:r>
      <w:r w:rsidRPr="00417CD1">
        <w:t>25,9 %</w:t>
      </w:r>
      <w:r w:rsidRPr="00417CD1">
        <w:rPr>
          <w:lang w:val="ru-RU"/>
        </w:rPr>
        <w:t>)</w:t>
      </w:r>
      <w:r w:rsidRPr="00417CD1">
        <w:t xml:space="preserve"> спрямо отчетените към март 2022 годи</w:t>
      </w:r>
      <w:r w:rsidRPr="00CF7BFA">
        <w:t>на</w:t>
      </w:r>
      <w:r w:rsidR="00222173" w:rsidRPr="00CF7BFA">
        <w:rPr>
          <w:color w:val="0070C0"/>
        </w:rPr>
        <w:t>.</w:t>
      </w:r>
    </w:p>
    <w:p w14:paraId="7D63982F" w14:textId="28333DDB" w:rsidR="00222173" w:rsidRPr="00C15913" w:rsidRDefault="00222173" w:rsidP="00222173">
      <w:pPr>
        <w:pStyle w:val="BodyTextIndent"/>
        <w:spacing w:after="0"/>
        <w:ind w:left="0"/>
        <w:jc w:val="both"/>
        <w:rPr>
          <w:color w:val="0070C0"/>
        </w:rPr>
      </w:pPr>
    </w:p>
    <w:p w14:paraId="3193C1D2" w14:textId="77777777" w:rsidR="00222173" w:rsidRPr="00C15913" w:rsidRDefault="00222173" w:rsidP="00222173">
      <w:pPr>
        <w:pStyle w:val="BodyTextIndent"/>
        <w:spacing w:after="0"/>
        <w:ind w:left="0"/>
        <w:jc w:val="center"/>
        <w:rPr>
          <w:b/>
          <w:color w:val="0070C0"/>
          <w:sz w:val="4"/>
          <w:szCs w:val="4"/>
          <w:u w:val="single"/>
        </w:rPr>
      </w:pPr>
    </w:p>
    <w:p w14:paraId="75F9E798" w14:textId="77777777" w:rsidR="0052674D" w:rsidRPr="00D96013" w:rsidRDefault="0052674D" w:rsidP="0052674D">
      <w:pPr>
        <w:pStyle w:val="BodyTextIndent"/>
        <w:spacing w:after="0"/>
        <w:ind w:left="0"/>
        <w:jc w:val="center"/>
        <w:rPr>
          <w:b/>
          <w:u w:val="single"/>
        </w:rPr>
      </w:pPr>
      <w:r w:rsidRPr="00D96013">
        <w:rPr>
          <w:b/>
          <w:u w:val="single"/>
        </w:rPr>
        <w:t xml:space="preserve">Разходи, трансфери за други бюджети и вноска в бюджета на ЕС </w:t>
      </w:r>
    </w:p>
    <w:p w14:paraId="0F369D4B" w14:textId="77777777" w:rsidR="0052674D" w:rsidRPr="00D96013" w:rsidRDefault="0052674D" w:rsidP="0052674D">
      <w:pPr>
        <w:pStyle w:val="BodyTextIndent"/>
        <w:spacing w:after="0"/>
        <w:ind w:left="0"/>
        <w:jc w:val="center"/>
        <w:rPr>
          <w:b/>
          <w:u w:val="single"/>
        </w:rPr>
      </w:pPr>
      <w:r w:rsidRPr="00D96013">
        <w:rPr>
          <w:b/>
          <w:u w:val="single"/>
        </w:rPr>
        <w:t>към март 2022 г. и 2023 г.</w:t>
      </w:r>
    </w:p>
    <w:p w14:paraId="3D3D0F74" w14:textId="77777777" w:rsidR="0052674D" w:rsidRPr="00802AE6" w:rsidRDefault="0052674D" w:rsidP="0052674D">
      <w:pPr>
        <w:pStyle w:val="BodyTextIndent"/>
        <w:spacing w:after="0"/>
        <w:ind w:left="0"/>
        <w:jc w:val="center"/>
        <w:rPr>
          <w:b/>
          <w:color w:val="0070C0"/>
          <w:u w:val="single"/>
        </w:rPr>
      </w:pPr>
    </w:p>
    <w:p w14:paraId="6A869A5F" w14:textId="77777777" w:rsidR="0052674D" w:rsidRPr="00802AE6" w:rsidRDefault="0052674D" w:rsidP="0052674D">
      <w:pPr>
        <w:pStyle w:val="BodyTextIndent"/>
        <w:spacing w:after="0"/>
        <w:ind w:left="0"/>
        <w:jc w:val="center"/>
        <w:rPr>
          <w:b/>
          <w:color w:val="0070C0"/>
          <w:u w:val="single"/>
        </w:rPr>
      </w:pPr>
      <w:r w:rsidRPr="00802AE6">
        <w:rPr>
          <w:noProof/>
          <w:color w:val="0070C0"/>
          <w:lang w:eastAsia="bg-BG"/>
        </w:rPr>
        <w:drawing>
          <wp:inline distT="0" distB="0" distL="0" distR="0" wp14:anchorId="1EDABDE1" wp14:editId="3390E044">
            <wp:extent cx="5494020" cy="2926080"/>
            <wp:effectExtent l="0" t="0" r="11430" b="7620"/>
            <wp:docPr id="3"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DD286B" w14:textId="77777777" w:rsidR="0052674D" w:rsidRPr="00802AE6" w:rsidRDefault="0052674D" w:rsidP="0052674D">
      <w:pPr>
        <w:pStyle w:val="BodyTextIndent"/>
        <w:spacing w:after="0"/>
        <w:ind w:left="0"/>
        <w:jc w:val="center"/>
        <w:rPr>
          <w:b/>
          <w:color w:val="0070C0"/>
          <w:sz w:val="8"/>
          <w:szCs w:val="8"/>
          <w:u w:val="single"/>
        </w:rPr>
      </w:pPr>
    </w:p>
    <w:p w14:paraId="67647F03" w14:textId="1B7E6E82" w:rsidR="0052674D" w:rsidRDefault="0052674D" w:rsidP="0052674D">
      <w:pPr>
        <w:ind w:firstLine="360"/>
        <w:rPr>
          <w:sz w:val="18"/>
          <w:szCs w:val="18"/>
        </w:rPr>
      </w:pPr>
      <w:bookmarkStart w:id="2" w:name="_MON_1562146415"/>
      <w:bookmarkStart w:id="3" w:name="_MON_1562146493"/>
      <w:bookmarkStart w:id="4" w:name="_MON_1562146700"/>
      <w:bookmarkStart w:id="5" w:name="_MON_1562146782"/>
      <w:bookmarkStart w:id="6" w:name="_MON_1562146967"/>
      <w:bookmarkStart w:id="7" w:name="_MON_1562147372"/>
      <w:bookmarkStart w:id="8" w:name="_MON_1562147473"/>
      <w:bookmarkStart w:id="9" w:name="_MON_1562147677"/>
      <w:bookmarkStart w:id="10" w:name="_MON_1562147743"/>
      <w:bookmarkStart w:id="11" w:name="_MON_1562147867"/>
      <w:bookmarkStart w:id="12" w:name="_MON_1562147934"/>
      <w:bookmarkStart w:id="13" w:name="_MON_1562148056"/>
      <w:bookmarkStart w:id="14" w:name="_MON_1562148171"/>
      <w:bookmarkStart w:id="15" w:name="_MON_1562148229"/>
      <w:bookmarkStart w:id="16" w:name="_MON_1562148307"/>
      <w:bookmarkStart w:id="17" w:name="_MON_1562148447"/>
      <w:bookmarkStart w:id="18" w:name="_MON_1562148558"/>
      <w:bookmarkStart w:id="19" w:name="_MON_1562152805"/>
      <w:bookmarkStart w:id="20" w:name="_MON_1562152984"/>
      <w:bookmarkStart w:id="21" w:name="_MON_1562153459"/>
      <w:bookmarkStart w:id="22" w:name="_MON_1562153503"/>
      <w:bookmarkStart w:id="23" w:name="_MON_1562153559"/>
      <w:bookmarkStart w:id="24" w:name="_MON_1562153646"/>
      <w:bookmarkStart w:id="25" w:name="_MON_1562153939"/>
      <w:bookmarkStart w:id="26" w:name="_MON_1562154053"/>
      <w:bookmarkStart w:id="27" w:name="_MON_1562154282"/>
      <w:bookmarkStart w:id="28" w:name="_MON_1562146286"/>
      <w:bookmarkStart w:id="29" w:name="_MON_1562154881"/>
      <w:bookmarkStart w:id="30" w:name="_MON_1562154973"/>
      <w:bookmarkStart w:id="31" w:name="_MON_1562155194"/>
      <w:bookmarkStart w:id="32" w:name="_MON_1562155231"/>
      <w:bookmarkStart w:id="33" w:name="_MON_1562155321"/>
      <w:bookmarkStart w:id="34" w:name="_MON_15621553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D96013">
        <w:rPr>
          <w:sz w:val="18"/>
          <w:szCs w:val="18"/>
        </w:rPr>
        <w:t>*</w:t>
      </w:r>
      <w:r w:rsidRPr="00D96013">
        <w:t xml:space="preserve"> </w:t>
      </w:r>
      <w:r w:rsidRPr="00D96013">
        <w:rPr>
          <w:sz w:val="18"/>
          <w:szCs w:val="18"/>
        </w:rPr>
        <w:t>Вкл. нетния прираст на държавния резерв</w:t>
      </w:r>
    </w:p>
    <w:p w14:paraId="5C622B4B" w14:textId="77777777" w:rsidR="00635743" w:rsidRPr="00D96013" w:rsidRDefault="00635743" w:rsidP="0052674D">
      <w:pPr>
        <w:ind w:firstLine="360"/>
        <w:rPr>
          <w:sz w:val="18"/>
          <w:szCs w:val="18"/>
        </w:rPr>
      </w:pPr>
    </w:p>
    <w:p w14:paraId="0EC8CC25" w14:textId="77777777" w:rsidR="0052674D" w:rsidRPr="00200A1C" w:rsidRDefault="0052674D" w:rsidP="0052674D">
      <w:pPr>
        <w:pStyle w:val="BodyTextIndent"/>
        <w:numPr>
          <w:ilvl w:val="0"/>
          <w:numId w:val="17"/>
        </w:numPr>
        <w:spacing w:before="120" w:after="0"/>
        <w:jc w:val="both"/>
        <w:rPr>
          <w:b/>
          <w:bCs/>
        </w:rPr>
      </w:pPr>
      <w:r w:rsidRPr="00200A1C">
        <w:rPr>
          <w:b/>
          <w:bCs/>
        </w:rPr>
        <w:t>Нелихвени разходи</w:t>
      </w:r>
    </w:p>
    <w:p w14:paraId="240C7FF6" w14:textId="01B50EFE" w:rsidR="00F7002C" w:rsidRPr="00200A1C" w:rsidRDefault="00F7002C" w:rsidP="00F7002C">
      <w:pPr>
        <w:spacing w:before="120"/>
        <w:jc w:val="both"/>
        <w:rPr>
          <w:bCs/>
        </w:rPr>
      </w:pPr>
      <w:r w:rsidRPr="00200A1C">
        <w:rPr>
          <w:b/>
          <w:bCs/>
        </w:rPr>
        <w:t>Нелихвените разходи</w:t>
      </w:r>
      <w:r w:rsidRPr="00200A1C">
        <w:rPr>
          <w:bCs/>
        </w:rPr>
        <w:t xml:space="preserve"> по държавния бюджет (без трансферите за др. бюджети) към март 2023</w:t>
      </w:r>
      <w:r w:rsidRPr="00200A1C">
        <w:rPr>
          <w:lang w:val="en-US"/>
        </w:rPr>
        <w:t> </w:t>
      </w:r>
      <w:r w:rsidRPr="00200A1C">
        <w:t xml:space="preserve">г. </w:t>
      </w:r>
      <w:r w:rsidRPr="00200A1C">
        <w:rPr>
          <w:bCs/>
        </w:rPr>
        <w:t xml:space="preserve">са в размер на </w:t>
      </w:r>
      <w:r w:rsidRPr="00200A1C">
        <w:rPr>
          <w:b/>
          <w:bCs/>
        </w:rPr>
        <w:t>3 711,</w:t>
      </w:r>
      <w:r w:rsidR="00922902">
        <w:rPr>
          <w:b/>
          <w:bCs/>
        </w:rPr>
        <w:t>7</w:t>
      </w:r>
      <w:r w:rsidRPr="00200A1C">
        <w:rPr>
          <w:b/>
          <w:bCs/>
        </w:rPr>
        <w:t xml:space="preserve"> млн. лв</w:t>
      </w:r>
      <w:r w:rsidRPr="00200A1C">
        <w:rPr>
          <w:bCs/>
        </w:rPr>
        <w:t xml:space="preserve">., като нарастват с 922,4 млн. лв. </w:t>
      </w:r>
      <w:r w:rsidRPr="00200A1C">
        <w:rPr>
          <w:bCs/>
          <w:lang w:val="ru-RU"/>
        </w:rPr>
        <w:t>(33,1</w:t>
      </w:r>
      <w:r w:rsidRPr="00200A1C">
        <w:rPr>
          <w:bCs/>
        </w:rPr>
        <w:t xml:space="preserve"> %</w:t>
      </w:r>
      <w:r w:rsidRPr="00200A1C">
        <w:rPr>
          <w:bCs/>
          <w:lang w:val="ru-RU"/>
        </w:rPr>
        <w:t>)</w:t>
      </w:r>
      <w:r w:rsidRPr="00200A1C">
        <w:rPr>
          <w:bCs/>
        </w:rPr>
        <w:t xml:space="preserve"> в сравнение с отчетените за същия период на предходната година. </w:t>
      </w:r>
    </w:p>
    <w:p w14:paraId="0E95C48E" w14:textId="67A91E2B" w:rsidR="00F7002C" w:rsidRDefault="00F7002C" w:rsidP="00F7002C">
      <w:pPr>
        <w:spacing w:before="120" w:after="120"/>
        <w:jc w:val="both"/>
        <w:rPr>
          <w:bCs/>
        </w:rPr>
      </w:pPr>
      <w:r w:rsidRPr="00FA29DA">
        <w:rPr>
          <w:bCs/>
        </w:rPr>
        <w:t xml:space="preserve">Разходите за персонал (заплати и </w:t>
      </w:r>
      <w:r w:rsidRPr="00FA29DA">
        <w:rPr>
          <w:bCs/>
          <w:noProof/>
        </w:rPr>
        <w:t>възнаграждения</w:t>
      </w:r>
      <w:r w:rsidRPr="00FA29DA">
        <w:rPr>
          <w:bCs/>
        </w:rPr>
        <w:t xml:space="preserve">, други възнаграждения и плащания за персонала и осигурителни вноски) са в общ размер на  1 922,2 млн. лв. или ръст от 322,1 млн. лв. </w:t>
      </w:r>
      <w:r w:rsidRPr="00FA29DA">
        <w:rPr>
          <w:bCs/>
          <w:lang w:val="ru-RU"/>
        </w:rPr>
        <w:t>(</w:t>
      </w:r>
      <w:r w:rsidRPr="00FA29DA">
        <w:rPr>
          <w:bCs/>
        </w:rPr>
        <w:t>20,1 %</w:t>
      </w:r>
      <w:r w:rsidRPr="00FA29DA">
        <w:rPr>
          <w:bCs/>
          <w:lang w:val="ru-RU"/>
        </w:rPr>
        <w:t>)</w:t>
      </w:r>
      <w:r w:rsidRPr="00FA29DA">
        <w:rPr>
          <w:bCs/>
        </w:rPr>
        <w:t xml:space="preserve"> спрямо </w:t>
      </w:r>
      <w:r w:rsidRPr="00A50481">
        <w:rPr>
          <w:bCs/>
        </w:rPr>
        <w:t xml:space="preserve">отчетените към март 2022 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897,2 млн. лв., като нарастват с 534,5 млн. лв. </w:t>
      </w:r>
      <w:r w:rsidRPr="00A50481">
        <w:rPr>
          <w:bCs/>
          <w:lang w:val="ru-RU"/>
        </w:rPr>
        <w:t>(</w:t>
      </w:r>
      <w:r w:rsidRPr="00A50481">
        <w:rPr>
          <w:bCs/>
        </w:rPr>
        <w:t>147,4 %</w:t>
      </w:r>
      <w:r w:rsidRPr="00A50481">
        <w:rPr>
          <w:bCs/>
          <w:lang w:val="ru-RU"/>
        </w:rPr>
        <w:t>)</w:t>
      </w:r>
      <w:r w:rsidRPr="00A50481">
        <w:rPr>
          <w:bCs/>
        </w:rPr>
        <w:t xml:space="preserve"> спрямо отчетените към март 2022 г., което се дължи главно на изплатените чрез бюджета на МРРБ средства за </w:t>
      </w:r>
      <w:r w:rsidRPr="00013304">
        <w:rPr>
          <w:bCs/>
        </w:rPr>
        <w:t>текущ ремонт в размер на 545,3 млн. лв. Социалните разходи (вкл. разходите за стипендии) са в размер на 211,9 млн. лв. Предоставените текущи и капиталови трансфери за чужбина са в размер на 0,9</w:t>
      </w:r>
      <w:r w:rsidRPr="00013304">
        <w:rPr>
          <w:rFonts w:eastAsia="Calibri"/>
          <w:b/>
        </w:rPr>
        <w:t> </w:t>
      </w:r>
      <w:r w:rsidRPr="00013304">
        <w:rPr>
          <w:bCs/>
        </w:rPr>
        <w:t xml:space="preserve">млн. лв. Разходите за субсидии са в размер на 279,0 млн. лв. </w:t>
      </w:r>
      <w:r w:rsidRPr="00013304">
        <w:rPr>
          <w:bCs/>
          <w:lang w:val="ru-RU"/>
        </w:rPr>
        <w:t>(</w:t>
      </w:r>
      <w:r w:rsidRPr="00013304">
        <w:rPr>
          <w:bCs/>
        </w:rPr>
        <w:t>спад с 31,2 млн. лв., 10,1 % спрямо същия период на 2022 г.).</w:t>
      </w:r>
      <w:r w:rsidRPr="00013304">
        <w:rPr>
          <w:bCs/>
          <w:lang w:val="ru-RU"/>
        </w:rPr>
        <w:t xml:space="preserve"> </w:t>
      </w:r>
      <w:r w:rsidRPr="00C6169B">
        <w:rPr>
          <w:bCs/>
        </w:rPr>
        <w:t>От тях 49,0</w:t>
      </w:r>
      <w:r w:rsidRPr="00C6169B">
        <w:t xml:space="preserve"> </w:t>
      </w:r>
      <w:r w:rsidRPr="00C6169B">
        <w:rPr>
          <w:bCs/>
        </w:rPr>
        <w:t xml:space="preserve">млн. лв. са субсидиите за </w:t>
      </w:r>
      <w:r w:rsidRPr="00C6169B">
        <w:t>„БДЖ – Пътнически превози” ЕООД</w:t>
      </w:r>
      <w:r w:rsidRPr="00C6169B">
        <w:rPr>
          <w:bCs/>
        </w:rPr>
        <w:t>; 65,3</w:t>
      </w:r>
      <w:r w:rsidRPr="00C6169B">
        <w:rPr>
          <w:rFonts w:eastAsia="Calibri"/>
          <w:b/>
        </w:rPr>
        <w:t> </w:t>
      </w:r>
      <w:r w:rsidRPr="00C6169B">
        <w:rPr>
          <w:bCs/>
        </w:rPr>
        <w:t xml:space="preserve">млн. лв. са субсидиите за </w:t>
      </w:r>
      <w:r w:rsidRPr="00C6169B">
        <w:t>Национална компания „Железопътна инфраструктура” и 14,6 </w:t>
      </w:r>
      <w:r w:rsidRPr="00C6169B">
        <w:rPr>
          <w:bCs/>
        </w:rPr>
        <w:t>млн. лв. за „Български пощи” ЕАД, в т.ч.  8,7 млн. лв. за извършване на универсална пощенска услуга и 5,9 млн. лв. за разпространение на периодични печатни издания - вестници и списания.</w:t>
      </w:r>
      <w:r w:rsidRPr="00C6169B">
        <w:t xml:space="preserve"> Към края на месец март 2023</w:t>
      </w:r>
      <w:r w:rsidRPr="00C6169B">
        <w:rPr>
          <w:rFonts w:eastAsia="Calibri"/>
          <w:b/>
        </w:rPr>
        <w:t> </w:t>
      </w:r>
      <w:r w:rsidRPr="00C6169B">
        <w:rPr>
          <w:bCs/>
        </w:rPr>
        <w:t xml:space="preserve">г. </w:t>
      </w:r>
      <w:r w:rsidRPr="00A3285D">
        <w:rPr>
          <w:bCs/>
        </w:rPr>
        <w:t xml:space="preserve">ДФ „Земеделие“ e изплатил субсидии в общ размер на </w:t>
      </w:r>
      <w:r w:rsidRPr="00933390">
        <w:rPr>
          <w:bCs/>
          <w:lang w:val="ru-RU"/>
        </w:rPr>
        <w:t>76</w:t>
      </w:r>
      <w:r w:rsidRPr="00A3285D">
        <w:rPr>
          <w:bCs/>
        </w:rPr>
        <w:t>,4 млн. лв., от които</w:t>
      </w:r>
      <w:r w:rsidRPr="00933390">
        <w:rPr>
          <w:bCs/>
          <w:lang w:val="ru-RU"/>
        </w:rPr>
        <w:t>:</w:t>
      </w:r>
      <w:r w:rsidRPr="00A3285D">
        <w:rPr>
          <w:bCs/>
        </w:rPr>
        <w:t xml:space="preserve"> 4,1</w:t>
      </w:r>
      <w:r w:rsidR="00D17AB7">
        <w:rPr>
          <w:bCs/>
        </w:rPr>
        <w:t> </w:t>
      </w:r>
      <w:r w:rsidRPr="00A3285D">
        <w:rPr>
          <w:bCs/>
        </w:rPr>
        <w:t>млн. лв. държавна помощ</w:t>
      </w:r>
      <w:r w:rsidRPr="004B5B57">
        <w:rPr>
          <w:bCs/>
        </w:rPr>
        <w:t xml:space="preserve">; </w:t>
      </w:r>
      <w:r w:rsidRPr="00A3285D">
        <w:rPr>
          <w:bCs/>
        </w:rPr>
        <w:t xml:space="preserve"> </w:t>
      </w:r>
      <w:r w:rsidRPr="00933390">
        <w:rPr>
          <w:bCs/>
          <w:lang w:val="ru-RU"/>
        </w:rPr>
        <w:t>69</w:t>
      </w:r>
      <w:r>
        <w:rPr>
          <w:bCs/>
        </w:rPr>
        <w:t>,2</w:t>
      </w:r>
      <w:r w:rsidRPr="004B5B57">
        <w:rPr>
          <w:bCs/>
        </w:rPr>
        <w:t xml:space="preserve"> млн. лв. преходна национална помощ за тютюн; </w:t>
      </w:r>
      <w:r>
        <w:rPr>
          <w:bCs/>
        </w:rPr>
        <w:t>0,2</w:t>
      </w:r>
      <w:r w:rsidRPr="004B5B57">
        <w:rPr>
          <w:bCs/>
          <w:lang w:val="en-US"/>
        </w:rPr>
        <w:t> </w:t>
      </w:r>
      <w:r w:rsidRPr="004B5B57">
        <w:rPr>
          <w:bCs/>
        </w:rPr>
        <w:t xml:space="preserve">млн. лв. преходна национална помощ за сектор „Животновъдство“ и </w:t>
      </w:r>
      <w:r>
        <w:rPr>
          <w:bCs/>
        </w:rPr>
        <w:t>2,8</w:t>
      </w:r>
      <w:r w:rsidRPr="004B5B57">
        <w:rPr>
          <w:bCs/>
        </w:rPr>
        <w:t xml:space="preserve"> млн. лв. средства за ДДС по схеми „Училищен плод“ и „Училищно мляко“.</w:t>
      </w:r>
    </w:p>
    <w:p w14:paraId="35A53B25" w14:textId="22A23A4E" w:rsidR="0052674D" w:rsidRPr="00802AE6" w:rsidRDefault="00F7002C" w:rsidP="00F7002C">
      <w:pPr>
        <w:spacing w:before="120" w:after="120"/>
        <w:jc w:val="both"/>
        <w:rPr>
          <w:bCs/>
          <w:color w:val="0070C0"/>
        </w:rPr>
      </w:pPr>
      <w:r w:rsidRPr="003F2754">
        <w:rPr>
          <w:bCs/>
        </w:rPr>
        <w:t xml:space="preserve">Капиталовите разходи </w:t>
      </w:r>
      <w:r w:rsidRPr="003F2754">
        <w:t>(вкл. нетния прираст на държавния резерв) по държавния бюджет</w:t>
      </w:r>
      <w:r w:rsidRPr="003F2754">
        <w:rPr>
          <w:bCs/>
        </w:rPr>
        <w:t xml:space="preserve"> </w:t>
      </w:r>
      <w:r w:rsidRPr="00F54814">
        <w:rPr>
          <w:bCs/>
        </w:rPr>
        <w:t xml:space="preserve">възлизат на 400,5 млн. лв., от които 164,7 млн. лв. са капиталови разходи по бюджета на Министерство на отбраната. През януари 2023 г. има възстановени средства </w:t>
      </w:r>
      <w:r w:rsidRPr="00F54814">
        <w:rPr>
          <w:bCs/>
          <w:lang w:val="ru-RU"/>
        </w:rPr>
        <w:t>(</w:t>
      </w:r>
      <w:r w:rsidRPr="00F54814">
        <w:rPr>
          <w:bCs/>
        </w:rPr>
        <w:t>в размер на 8,3 млн. лв.</w:t>
      </w:r>
      <w:r w:rsidRPr="00F54814">
        <w:rPr>
          <w:bCs/>
          <w:lang w:val="ru-RU"/>
        </w:rPr>
        <w:t xml:space="preserve">) </w:t>
      </w:r>
      <w:r w:rsidRPr="00F54814">
        <w:rPr>
          <w:bCs/>
        </w:rPr>
        <w:t>от предоставен капиталов трансфер през 2022 г. на „БДЖ-Пътнически превози“ ЕООД в съответствие с чл. 9 от ПМС № 31/2022 година.</w:t>
      </w:r>
    </w:p>
    <w:p w14:paraId="60575E16" w14:textId="77777777" w:rsidR="00686EF0" w:rsidRPr="00752071" w:rsidRDefault="00686EF0" w:rsidP="00ED2B9A">
      <w:pPr>
        <w:numPr>
          <w:ilvl w:val="1"/>
          <w:numId w:val="12"/>
        </w:numPr>
        <w:tabs>
          <w:tab w:val="num" w:pos="720"/>
          <w:tab w:val="num" w:pos="900"/>
        </w:tabs>
        <w:spacing w:before="240" w:after="120"/>
        <w:ind w:left="714" w:hanging="357"/>
        <w:jc w:val="both"/>
        <w:rPr>
          <w:b/>
          <w:bCs/>
        </w:rPr>
      </w:pPr>
      <w:r w:rsidRPr="00752071">
        <w:rPr>
          <w:b/>
        </w:rPr>
        <w:t>Просрочени задължения</w:t>
      </w:r>
    </w:p>
    <w:p w14:paraId="12C15B0B" w14:textId="70BE0546" w:rsidR="00EB3EAF" w:rsidRPr="00370192" w:rsidRDefault="00EB3EAF" w:rsidP="00EB3EAF">
      <w:pPr>
        <w:spacing w:after="120"/>
        <w:jc w:val="both"/>
      </w:pPr>
      <w:r w:rsidRPr="00370192">
        <w:t xml:space="preserve">Към </w:t>
      </w:r>
      <w:r w:rsidR="00583C3B" w:rsidRPr="00370192">
        <w:t>3</w:t>
      </w:r>
      <w:r w:rsidR="00633965" w:rsidRPr="00AB241B">
        <w:rPr>
          <w:lang w:val="ru-RU"/>
        </w:rPr>
        <w:t>1</w:t>
      </w:r>
      <w:r w:rsidRPr="00370192">
        <w:t>.</w:t>
      </w:r>
      <w:r w:rsidR="007D653F" w:rsidRPr="00370192">
        <w:t>0</w:t>
      </w:r>
      <w:r w:rsidR="00633965" w:rsidRPr="00AB241B">
        <w:rPr>
          <w:lang w:val="ru-RU"/>
        </w:rPr>
        <w:t>3</w:t>
      </w:r>
      <w:r w:rsidRPr="00370192">
        <w:t>.202</w:t>
      </w:r>
      <w:r w:rsidR="00633965" w:rsidRPr="00AB241B">
        <w:rPr>
          <w:lang w:val="ru-RU"/>
        </w:rPr>
        <w:t>3</w:t>
      </w:r>
      <w:r w:rsidRPr="00370192">
        <w:t xml:space="preserve"> г. просрочените задължения на централно и местно правителство са в размер на </w:t>
      </w:r>
      <w:r w:rsidR="00370192" w:rsidRPr="00370192">
        <w:rPr>
          <w:b/>
        </w:rPr>
        <w:t>343</w:t>
      </w:r>
      <w:r w:rsidR="00583C3B" w:rsidRPr="00370192">
        <w:rPr>
          <w:b/>
        </w:rPr>
        <w:t>,</w:t>
      </w:r>
      <w:r w:rsidR="00F94C99">
        <w:rPr>
          <w:b/>
        </w:rPr>
        <w:t>4</w:t>
      </w:r>
      <w:r w:rsidRPr="00370192">
        <w:rPr>
          <w:b/>
        </w:rPr>
        <w:t xml:space="preserve"> млн. лева.</w:t>
      </w:r>
      <w:r w:rsidRPr="00370192">
        <w:t xml:space="preserve"> </w:t>
      </w:r>
    </w:p>
    <w:p w14:paraId="1ECE81CD" w14:textId="4D8857DB" w:rsidR="00EB3EAF" w:rsidRPr="002A2161" w:rsidRDefault="00EB3EAF" w:rsidP="00D822E5">
      <w:pPr>
        <w:spacing w:before="120"/>
        <w:jc w:val="both"/>
        <w:rPr>
          <w:noProof/>
        </w:rPr>
      </w:pPr>
      <w:r w:rsidRPr="00370192">
        <w:t xml:space="preserve">Размерът на просрочените задължения на </w:t>
      </w:r>
      <w:r w:rsidRPr="00370192">
        <w:rPr>
          <w:b/>
        </w:rPr>
        <w:t>централно правителство</w:t>
      </w:r>
      <w:r w:rsidRPr="00370192">
        <w:t xml:space="preserve"> (министерства, ведомства и разпоредителите с бюджет по чл. 13, ал. 3 и ал. 4 на ЗПФ) е</w:t>
      </w:r>
      <w:r w:rsidR="00BD0457" w:rsidRPr="00370192">
        <w:rPr>
          <w:b/>
        </w:rPr>
        <w:t xml:space="preserve"> </w:t>
      </w:r>
      <w:r w:rsidR="00370192" w:rsidRPr="00370192">
        <w:rPr>
          <w:b/>
        </w:rPr>
        <w:t>255</w:t>
      </w:r>
      <w:r w:rsidR="009645CF" w:rsidRPr="00370192">
        <w:rPr>
          <w:b/>
        </w:rPr>
        <w:t>,</w:t>
      </w:r>
      <w:r w:rsidR="00370192" w:rsidRPr="00370192">
        <w:rPr>
          <w:b/>
        </w:rPr>
        <w:t>2</w:t>
      </w:r>
      <w:r w:rsidRPr="00370192">
        <w:rPr>
          <w:b/>
        </w:rPr>
        <w:t xml:space="preserve"> млн. лева. </w:t>
      </w:r>
      <w:r w:rsidRPr="00370192">
        <w:t>Спрямо отчетените в края на 202</w:t>
      </w:r>
      <w:r w:rsidR="00370192" w:rsidRPr="00370192">
        <w:t>2</w:t>
      </w:r>
      <w:r w:rsidRPr="00370192">
        <w:t xml:space="preserve"> г. те намаляват с </w:t>
      </w:r>
      <w:r w:rsidR="009645CF" w:rsidRPr="00370192">
        <w:t>30</w:t>
      </w:r>
      <w:r w:rsidR="00370192" w:rsidRPr="00370192">
        <w:t>3</w:t>
      </w:r>
      <w:r w:rsidR="009645CF" w:rsidRPr="00370192">
        <w:t>,</w:t>
      </w:r>
      <w:r w:rsidR="00F94C99">
        <w:t>0</w:t>
      </w:r>
      <w:r w:rsidRPr="00370192">
        <w:t xml:space="preserve"> млн. лева (основно от намаление на просрочията на МРРБ във връзка с обезпечени със средства </w:t>
      </w:r>
      <w:r w:rsidRPr="00370192">
        <w:rPr>
          <w:noProof/>
        </w:rPr>
        <w:t>договори за текущ ремонт и поддържане на републиканските пътища, вкл. и зимно поддържане</w:t>
      </w:r>
      <w:r w:rsidRPr="00370192">
        <w:t xml:space="preserve">). В обхвата на държавния бюджет по-значими проблеми с наличие на просрочени задължения има </w:t>
      </w:r>
      <w:r w:rsidRPr="00370192">
        <w:rPr>
          <w:bCs/>
        </w:rPr>
        <w:t xml:space="preserve">при </w:t>
      </w:r>
      <w:r w:rsidR="007F052C" w:rsidRPr="00370192">
        <w:rPr>
          <w:bCs/>
        </w:rPr>
        <w:t>следните</w:t>
      </w:r>
      <w:r w:rsidRPr="00370192">
        <w:rPr>
          <w:bCs/>
        </w:rPr>
        <w:t xml:space="preserve"> министерства</w:t>
      </w:r>
      <w:r w:rsidR="007F052C" w:rsidRPr="00370192">
        <w:t>:</w:t>
      </w:r>
      <w:r w:rsidR="007F052C" w:rsidRPr="00C15913">
        <w:rPr>
          <w:color w:val="0070C0"/>
        </w:rPr>
        <w:t xml:space="preserve"> </w:t>
      </w:r>
      <w:r w:rsidRPr="00C15913">
        <w:rPr>
          <w:bCs/>
          <w:color w:val="0070C0"/>
        </w:rPr>
        <w:t xml:space="preserve"> </w:t>
      </w:r>
      <w:r w:rsidR="00370192" w:rsidRPr="00FE1FB4">
        <w:rPr>
          <w:bCs/>
        </w:rPr>
        <w:t xml:space="preserve">Министерство на регионалното развитие и благоустройството – 196,4 млн. лв. </w:t>
      </w:r>
      <w:r w:rsidR="00380210" w:rsidRPr="00380210">
        <w:rPr>
          <w:noProof/>
        </w:rPr>
        <w:t>(намаление с 310,1 млн. лв.</w:t>
      </w:r>
      <w:r w:rsidR="00380210" w:rsidRPr="00380210">
        <w:t xml:space="preserve"> спрямо просрочията в края на 2022 г.)</w:t>
      </w:r>
      <w:r w:rsidR="00380210">
        <w:t>;</w:t>
      </w:r>
      <w:r w:rsidR="00380210">
        <w:rPr>
          <w:noProof/>
          <w:color w:val="0070C0"/>
        </w:rPr>
        <w:t xml:space="preserve"> </w:t>
      </w:r>
      <w:r w:rsidR="00F722BE" w:rsidRPr="00380210">
        <w:rPr>
          <w:noProof/>
        </w:rPr>
        <w:t xml:space="preserve">Министерство на земеделието – </w:t>
      </w:r>
      <w:r w:rsidR="005E42E3" w:rsidRPr="00380210">
        <w:rPr>
          <w:noProof/>
        </w:rPr>
        <w:t>2</w:t>
      </w:r>
      <w:r w:rsidR="00380210" w:rsidRPr="00380210">
        <w:rPr>
          <w:noProof/>
        </w:rPr>
        <w:t>4</w:t>
      </w:r>
      <w:r w:rsidR="005E42E3" w:rsidRPr="00380210">
        <w:rPr>
          <w:noProof/>
        </w:rPr>
        <w:t>,</w:t>
      </w:r>
      <w:r w:rsidR="00380210" w:rsidRPr="00380210">
        <w:rPr>
          <w:noProof/>
        </w:rPr>
        <w:t>7</w:t>
      </w:r>
      <w:r w:rsidR="00F722BE" w:rsidRPr="00380210">
        <w:rPr>
          <w:noProof/>
        </w:rPr>
        <w:t xml:space="preserve"> млн. лв. (увеличение с </w:t>
      </w:r>
      <w:r w:rsidR="00380210" w:rsidRPr="00380210">
        <w:rPr>
          <w:noProof/>
        </w:rPr>
        <w:t>4,2</w:t>
      </w:r>
      <w:r w:rsidR="00F722BE" w:rsidRPr="00380210">
        <w:rPr>
          <w:noProof/>
        </w:rPr>
        <w:t xml:space="preserve"> млн. лв. </w:t>
      </w:r>
      <w:r w:rsidR="00F722BE" w:rsidRPr="00380210">
        <w:t>спрямо просрочията в края на 202</w:t>
      </w:r>
      <w:r w:rsidR="00517CD0" w:rsidRPr="00380210">
        <w:t>2</w:t>
      </w:r>
      <w:r w:rsidR="00F722BE" w:rsidRPr="00380210">
        <w:t> г.</w:t>
      </w:r>
      <w:r w:rsidR="00F722BE" w:rsidRPr="00380210">
        <w:rPr>
          <w:noProof/>
        </w:rPr>
        <w:t xml:space="preserve">); </w:t>
      </w:r>
      <w:r w:rsidR="00380210">
        <w:rPr>
          <w:noProof/>
        </w:rPr>
        <w:t xml:space="preserve">Министерство </w:t>
      </w:r>
      <w:r w:rsidR="007F7CD3">
        <w:rPr>
          <w:noProof/>
        </w:rPr>
        <w:t>на</w:t>
      </w:r>
      <w:r w:rsidR="00380210">
        <w:rPr>
          <w:noProof/>
        </w:rPr>
        <w:t xml:space="preserve"> правосъдието – 3,6 млн. лв. </w:t>
      </w:r>
      <w:r w:rsidR="00380210" w:rsidRPr="00380210">
        <w:rPr>
          <w:noProof/>
        </w:rPr>
        <w:t xml:space="preserve">(увеличение с </w:t>
      </w:r>
      <w:r w:rsidR="00380210">
        <w:rPr>
          <w:noProof/>
        </w:rPr>
        <w:t>2</w:t>
      </w:r>
      <w:r w:rsidR="00380210" w:rsidRPr="00380210">
        <w:rPr>
          <w:noProof/>
        </w:rPr>
        <w:t>,</w:t>
      </w:r>
      <w:r w:rsidR="00380210">
        <w:rPr>
          <w:noProof/>
        </w:rPr>
        <w:t>7</w:t>
      </w:r>
      <w:r w:rsidR="00380210" w:rsidRPr="00380210">
        <w:rPr>
          <w:noProof/>
        </w:rPr>
        <w:t xml:space="preserve"> млн. лв. </w:t>
      </w:r>
      <w:r w:rsidR="00380210" w:rsidRPr="00380210">
        <w:t>спрямо просрочията в края на 2022 г.</w:t>
      </w:r>
      <w:r w:rsidR="00380210" w:rsidRPr="00380210">
        <w:rPr>
          <w:noProof/>
        </w:rPr>
        <w:t>)</w:t>
      </w:r>
      <w:r w:rsidR="00380210">
        <w:rPr>
          <w:noProof/>
        </w:rPr>
        <w:t xml:space="preserve">; </w:t>
      </w:r>
      <w:r w:rsidRPr="00380210">
        <w:t xml:space="preserve">Министерство на околната среда и водите </w:t>
      </w:r>
      <w:r w:rsidRPr="00B712BE">
        <w:t xml:space="preserve">– </w:t>
      </w:r>
      <w:r w:rsidR="00B712BE" w:rsidRPr="00B712BE">
        <w:t>4,6</w:t>
      </w:r>
      <w:r w:rsidRPr="00B712BE">
        <w:t xml:space="preserve"> млн. лв. (</w:t>
      </w:r>
      <w:r w:rsidR="00B712BE" w:rsidRPr="00B712BE">
        <w:t>увеличение с 1,7 млн. лв. спрямо просрочията в края на 2022 г.</w:t>
      </w:r>
      <w:r w:rsidRPr="00B712BE">
        <w:t xml:space="preserve">); </w:t>
      </w:r>
      <w:r w:rsidR="00F001EC" w:rsidRPr="00B712BE">
        <w:rPr>
          <w:noProof/>
        </w:rPr>
        <w:t>Министерство на</w:t>
      </w:r>
      <w:r w:rsidR="00F001EC" w:rsidRPr="00380210">
        <w:rPr>
          <w:noProof/>
        </w:rPr>
        <w:t xml:space="preserve"> отбраната – </w:t>
      </w:r>
      <w:r w:rsidR="004C1F3B" w:rsidRPr="00380210">
        <w:rPr>
          <w:noProof/>
        </w:rPr>
        <w:t>2,</w:t>
      </w:r>
      <w:r w:rsidR="00380210" w:rsidRPr="00380210">
        <w:rPr>
          <w:noProof/>
        </w:rPr>
        <w:t>5</w:t>
      </w:r>
      <w:r w:rsidR="00F001EC" w:rsidRPr="00380210">
        <w:rPr>
          <w:noProof/>
        </w:rPr>
        <w:t xml:space="preserve"> млн. лв. (намаление с </w:t>
      </w:r>
      <w:r w:rsidR="00380210" w:rsidRPr="00380210">
        <w:rPr>
          <w:noProof/>
        </w:rPr>
        <w:t>0</w:t>
      </w:r>
      <w:r w:rsidR="004C1F3B" w:rsidRPr="00380210">
        <w:rPr>
          <w:noProof/>
        </w:rPr>
        <w:t>,</w:t>
      </w:r>
      <w:r w:rsidR="00380210" w:rsidRPr="00380210">
        <w:rPr>
          <w:noProof/>
        </w:rPr>
        <w:t>1</w:t>
      </w:r>
      <w:r w:rsidR="00F001EC" w:rsidRPr="00380210">
        <w:rPr>
          <w:noProof/>
        </w:rPr>
        <w:t xml:space="preserve"> млн. лв. спрямо </w:t>
      </w:r>
      <w:r w:rsidR="00F001EC" w:rsidRPr="00380210">
        <w:t>отчетените в края на 202</w:t>
      </w:r>
      <w:r w:rsidR="00517CD0" w:rsidRPr="00380210">
        <w:t>2</w:t>
      </w:r>
      <w:r w:rsidR="00F001EC" w:rsidRPr="00380210">
        <w:t xml:space="preserve"> г.</w:t>
      </w:r>
      <w:r w:rsidR="00F001EC" w:rsidRPr="00380210">
        <w:rPr>
          <w:noProof/>
        </w:rPr>
        <w:t xml:space="preserve">), в т.ч. </w:t>
      </w:r>
      <w:r w:rsidR="00FA7D36" w:rsidRPr="00380210">
        <w:rPr>
          <w:noProof/>
        </w:rPr>
        <w:t>2,</w:t>
      </w:r>
      <w:r w:rsidR="00380210" w:rsidRPr="00380210">
        <w:rPr>
          <w:noProof/>
        </w:rPr>
        <w:t>4</w:t>
      </w:r>
      <w:r w:rsidR="00F001EC" w:rsidRPr="00380210">
        <w:rPr>
          <w:noProof/>
        </w:rPr>
        <w:t xml:space="preserve"> млн. лв. на ВМА</w:t>
      </w:r>
      <w:r w:rsidR="00BD4A9D" w:rsidRPr="00380210">
        <w:t>;</w:t>
      </w:r>
      <w:r w:rsidR="00F001EC" w:rsidRPr="00380210">
        <w:rPr>
          <w:noProof/>
        </w:rPr>
        <w:t xml:space="preserve"> </w:t>
      </w:r>
      <w:r w:rsidR="00772D55" w:rsidRPr="00380210">
        <w:rPr>
          <w:noProof/>
        </w:rPr>
        <w:t xml:space="preserve">Министерство на вътрешните работи – </w:t>
      </w:r>
      <w:r w:rsidR="00380210" w:rsidRPr="00380210">
        <w:rPr>
          <w:noProof/>
        </w:rPr>
        <w:t>1</w:t>
      </w:r>
      <w:r w:rsidR="00772D55" w:rsidRPr="00380210">
        <w:rPr>
          <w:noProof/>
        </w:rPr>
        <w:t>,</w:t>
      </w:r>
      <w:r w:rsidR="00380210" w:rsidRPr="00380210">
        <w:rPr>
          <w:noProof/>
        </w:rPr>
        <w:t>2</w:t>
      </w:r>
      <w:r w:rsidR="00772D55" w:rsidRPr="00380210">
        <w:rPr>
          <w:noProof/>
        </w:rPr>
        <w:t xml:space="preserve"> млн. лв. (увеличение с </w:t>
      </w:r>
      <w:r w:rsidR="00380210" w:rsidRPr="00380210">
        <w:rPr>
          <w:noProof/>
        </w:rPr>
        <w:t>1</w:t>
      </w:r>
      <w:r w:rsidR="00772D55" w:rsidRPr="00380210">
        <w:rPr>
          <w:noProof/>
        </w:rPr>
        <w:t>,</w:t>
      </w:r>
      <w:r w:rsidR="00380210" w:rsidRPr="00380210">
        <w:rPr>
          <w:noProof/>
        </w:rPr>
        <w:t>2</w:t>
      </w:r>
      <w:r w:rsidR="00772D55" w:rsidRPr="00380210">
        <w:rPr>
          <w:noProof/>
        </w:rPr>
        <w:t xml:space="preserve"> млн. лв. спрямо </w:t>
      </w:r>
      <w:r w:rsidR="00772D55" w:rsidRPr="00380210">
        <w:t>отчетените в края на 202</w:t>
      </w:r>
      <w:r w:rsidR="00517CD0" w:rsidRPr="00380210">
        <w:t>2</w:t>
      </w:r>
      <w:r w:rsidR="00C1715B" w:rsidRPr="00380210">
        <w:rPr>
          <w:lang w:val="en-US"/>
        </w:rPr>
        <w:t> </w:t>
      </w:r>
      <w:r w:rsidR="00772D55" w:rsidRPr="00380210">
        <w:t>г</w:t>
      </w:r>
      <w:r w:rsidR="00380210" w:rsidRPr="00380210">
        <w:t>.</w:t>
      </w:r>
      <w:r w:rsidR="003A7911" w:rsidRPr="00A95BDD">
        <w:rPr>
          <w:lang w:val="ru-RU"/>
        </w:rPr>
        <w:t>)</w:t>
      </w:r>
      <w:r w:rsidR="00380210" w:rsidRPr="00380210">
        <w:t xml:space="preserve"> </w:t>
      </w:r>
      <w:r w:rsidR="00772D55" w:rsidRPr="00380210">
        <w:rPr>
          <w:noProof/>
        </w:rPr>
        <w:t>и други.</w:t>
      </w:r>
      <w:r w:rsidR="00772D55" w:rsidRPr="00C15913">
        <w:rPr>
          <w:noProof/>
          <w:color w:val="0070C0"/>
        </w:rPr>
        <w:t xml:space="preserve"> </w:t>
      </w:r>
      <w:r w:rsidRPr="002A2161">
        <w:rPr>
          <w:noProof/>
        </w:rPr>
        <w:t xml:space="preserve">От разпоредителите с бюджет по чл. 13, ал. 3 на Закона за публичните финанси проблеми с наличието на просрочени задължения има основно при </w:t>
      </w:r>
      <w:r w:rsidR="00380210" w:rsidRPr="002A2161">
        <w:rPr>
          <w:noProof/>
        </w:rPr>
        <w:t>държавните висши училища – 8</w:t>
      </w:r>
      <w:r w:rsidR="00D9744D" w:rsidRPr="002A2161">
        <w:rPr>
          <w:noProof/>
        </w:rPr>
        <w:t>,</w:t>
      </w:r>
      <w:r w:rsidR="00380210" w:rsidRPr="002A2161">
        <w:rPr>
          <w:noProof/>
        </w:rPr>
        <w:t>1</w:t>
      </w:r>
      <w:r w:rsidR="00D9744D" w:rsidRPr="002A2161">
        <w:rPr>
          <w:noProof/>
        </w:rPr>
        <w:t xml:space="preserve"> млн. лв. (увеличение с </w:t>
      </w:r>
      <w:r w:rsidR="00380210" w:rsidRPr="002A2161">
        <w:rPr>
          <w:noProof/>
        </w:rPr>
        <w:t>0</w:t>
      </w:r>
      <w:r w:rsidR="00D9744D" w:rsidRPr="002A2161">
        <w:rPr>
          <w:noProof/>
        </w:rPr>
        <w:t>,</w:t>
      </w:r>
      <w:r w:rsidR="00380210" w:rsidRPr="002A2161">
        <w:rPr>
          <w:noProof/>
        </w:rPr>
        <w:t>9</w:t>
      </w:r>
      <w:r w:rsidR="00D9744D" w:rsidRPr="002A2161">
        <w:rPr>
          <w:noProof/>
        </w:rPr>
        <w:t xml:space="preserve"> млн. лв. </w:t>
      </w:r>
      <w:r w:rsidR="00D9744D" w:rsidRPr="002A2161">
        <w:t>спрямо отчетените в края на 202</w:t>
      </w:r>
      <w:r w:rsidR="00AE11ED" w:rsidRPr="002A2161">
        <w:t>2</w:t>
      </w:r>
      <w:r w:rsidR="00D9744D" w:rsidRPr="002A2161">
        <w:t> г. и включват задължения за внасяне на данъци, вноски, такси  и административни санкции, задължения към доставчици и др.</w:t>
      </w:r>
      <w:r w:rsidR="00D9744D" w:rsidRPr="002A2161">
        <w:rPr>
          <w:noProof/>
        </w:rPr>
        <w:t xml:space="preserve">), </w:t>
      </w:r>
      <w:r w:rsidRPr="002A2161">
        <w:rPr>
          <w:noProof/>
        </w:rPr>
        <w:t xml:space="preserve">Българската национална телевизия – </w:t>
      </w:r>
      <w:r w:rsidR="002A2161" w:rsidRPr="002A2161">
        <w:rPr>
          <w:noProof/>
        </w:rPr>
        <w:t>7</w:t>
      </w:r>
      <w:r w:rsidR="00AA5D97" w:rsidRPr="002A2161">
        <w:rPr>
          <w:noProof/>
        </w:rPr>
        <w:t>,</w:t>
      </w:r>
      <w:r w:rsidR="002A2161" w:rsidRPr="002A2161">
        <w:rPr>
          <w:noProof/>
        </w:rPr>
        <w:t>5</w:t>
      </w:r>
      <w:r w:rsidRPr="002A2161">
        <w:rPr>
          <w:noProof/>
        </w:rPr>
        <w:t xml:space="preserve"> млн. лв. (</w:t>
      </w:r>
      <w:r w:rsidR="002A2161" w:rsidRPr="002A2161">
        <w:rPr>
          <w:noProof/>
        </w:rPr>
        <w:t>увеличение с 0</w:t>
      </w:r>
      <w:r w:rsidR="00AA5D97" w:rsidRPr="002A2161">
        <w:rPr>
          <w:noProof/>
        </w:rPr>
        <w:t>,</w:t>
      </w:r>
      <w:r w:rsidR="002A2161" w:rsidRPr="002A2161">
        <w:rPr>
          <w:noProof/>
        </w:rPr>
        <w:t>2</w:t>
      </w:r>
      <w:r w:rsidRPr="002A2161">
        <w:rPr>
          <w:noProof/>
        </w:rPr>
        <w:t xml:space="preserve"> млн. лв. </w:t>
      </w:r>
      <w:r w:rsidRPr="002A2161">
        <w:t>спрямо отчетените в края на 202</w:t>
      </w:r>
      <w:r w:rsidR="00AE11ED" w:rsidRPr="002A2161">
        <w:t>2</w:t>
      </w:r>
      <w:r w:rsidRPr="002A2161">
        <w:t xml:space="preserve"> г.</w:t>
      </w:r>
      <w:r w:rsidRPr="002A2161">
        <w:rPr>
          <w:noProof/>
        </w:rPr>
        <w:t xml:space="preserve">, като това са основно </w:t>
      </w:r>
      <w:r w:rsidRPr="002A2161">
        <w:t>просрочени задължения към доставчици в страната)</w:t>
      </w:r>
      <w:r w:rsidR="00A80BD2" w:rsidRPr="002A2161">
        <w:t xml:space="preserve"> и </w:t>
      </w:r>
      <w:r w:rsidRPr="002A2161">
        <w:rPr>
          <w:noProof/>
        </w:rPr>
        <w:t>Българското национало радио – 2,</w:t>
      </w:r>
      <w:r w:rsidR="002A2161" w:rsidRPr="002A2161">
        <w:rPr>
          <w:noProof/>
        </w:rPr>
        <w:t>5</w:t>
      </w:r>
      <w:r w:rsidRPr="002A2161">
        <w:rPr>
          <w:noProof/>
        </w:rPr>
        <w:t xml:space="preserve"> млн. лв. (</w:t>
      </w:r>
      <w:r w:rsidR="002A2161" w:rsidRPr="002A2161">
        <w:rPr>
          <w:noProof/>
        </w:rPr>
        <w:t xml:space="preserve">с минимално </w:t>
      </w:r>
      <w:r w:rsidRPr="002A2161">
        <w:rPr>
          <w:noProof/>
        </w:rPr>
        <w:t xml:space="preserve">увеличение </w:t>
      </w:r>
      <w:r w:rsidRPr="002A2161">
        <w:t>спрям</w:t>
      </w:r>
      <w:r w:rsidR="00D9744D" w:rsidRPr="002A2161">
        <w:t>о отчетените в края на 202</w:t>
      </w:r>
      <w:r w:rsidR="00AE11ED" w:rsidRPr="002A2161">
        <w:t>2</w:t>
      </w:r>
      <w:r w:rsidR="00D9744D" w:rsidRPr="002A2161">
        <w:t xml:space="preserve"> г.)</w:t>
      </w:r>
      <w:r w:rsidRPr="002A2161">
        <w:rPr>
          <w:noProof/>
        </w:rPr>
        <w:t>.</w:t>
      </w:r>
      <w:r w:rsidR="00D822E5" w:rsidRPr="002A2161">
        <w:rPr>
          <w:noProof/>
        </w:rPr>
        <w:t xml:space="preserve"> От разпоредителите с бюджет по чл. 13, ал. 4 на Закона за публичните финанси проблеми с наличието на просрочени задължения има при Държавно предприятие „На</w:t>
      </w:r>
      <w:r w:rsidR="002A2161">
        <w:rPr>
          <w:noProof/>
        </w:rPr>
        <w:t>учно-производствен център“ – 1,8</w:t>
      </w:r>
      <w:r w:rsidR="00D822E5" w:rsidRPr="002A2161">
        <w:rPr>
          <w:noProof/>
        </w:rPr>
        <w:t xml:space="preserve"> млн. лв. (увеличение с 0,1 млн. лв. </w:t>
      </w:r>
      <w:r w:rsidR="00D822E5" w:rsidRPr="002A2161">
        <w:t>спрямо отчетените в края на 202</w:t>
      </w:r>
      <w:r w:rsidR="00AE11ED" w:rsidRPr="002A2161">
        <w:t>2</w:t>
      </w:r>
      <w:r w:rsidR="00D822E5" w:rsidRPr="002A2161">
        <w:t xml:space="preserve"> г.</w:t>
      </w:r>
      <w:r w:rsidR="006412EB" w:rsidRPr="002A2161">
        <w:rPr>
          <w:lang w:val="ru-RU"/>
        </w:rPr>
        <w:t>)</w:t>
      </w:r>
      <w:r w:rsidR="006412EB" w:rsidRPr="002A2161">
        <w:t>.</w:t>
      </w:r>
    </w:p>
    <w:p w14:paraId="73564FEA" w14:textId="77777777" w:rsidR="00EB3EAF" w:rsidRPr="00C15913" w:rsidRDefault="00EB3EAF" w:rsidP="00EB3EAF">
      <w:pPr>
        <w:ind w:firstLine="567"/>
        <w:jc w:val="both"/>
        <w:rPr>
          <w:bCs/>
          <w:color w:val="0070C0"/>
          <w:sz w:val="6"/>
          <w:szCs w:val="12"/>
          <w:lang w:val="ru-RU"/>
        </w:rPr>
      </w:pPr>
    </w:p>
    <w:p w14:paraId="5144B7EC" w14:textId="77A6CD84" w:rsidR="00EB3EAF" w:rsidRPr="001B427B" w:rsidRDefault="00EB3EAF" w:rsidP="00EB3EAF">
      <w:pPr>
        <w:spacing w:after="120"/>
        <w:jc w:val="both"/>
        <w:rPr>
          <w:noProof/>
        </w:rPr>
      </w:pPr>
      <w:r w:rsidRPr="002A2161">
        <w:rPr>
          <w:noProof/>
        </w:rPr>
        <w:t xml:space="preserve">Просрочените задължения по </w:t>
      </w:r>
      <w:r w:rsidRPr="002A2161">
        <w:rPr>
          <w:b/>
          <w:noProof/>
        </w:rPr>
        <w:t>бюджетите на общините</w:t>
      </w:r>
      <w:r w:rsidRPr="002A2161">
        <w:rPr>
          <w:noProof/>
        </w:rPr>
        <w:t xml:space="preserve"> към </w:t>
      </w:r>
      <w:r w:rsidR="00005A85" w:rsidRPr="002A2161">
        <w:rPr>
          <w:noProof/>
        </w:rPr>
        <w:t>3</w:t>
      </w:r>
      <w:r w:rsidR="002A2161" w:rsidRPr="002A2161">
        <w:rPr>
          <w:noProof/>
        </w:rPr>
        <w:t>1</w:t>
      </w:r>
      <w:r w:rsidRPr="002A2161">
        <w:rPr>
          <w:noProof/>
        </w:rPr>
        <w:t>.</w:t>
      </w:r>
      <w:r w:rsidR="002A2161" w:rsidRPr="002A2161">
        <w:rPr>
          <w:noProof/>
        </w:rPr>
        <w:t>03</w:t>
      </w:r>
      <w:r w:rsidRPr="002A2161">
        <w:rPr>
          <w:noProof/>
        </w:rPr>
        <w:t>.202</w:t>
      </w:r>
      <w:r w:rsidR="002A2161" w:rsidRPr="002A2161">
        <w:rPr>
          <w:noProof/>
        </w:rPr>
        <w:t>3</w:t>
      </w:r>
      <w:r w:rsidRPr="002A2161">
        <w:rPr>
          <w:noProof/>
        </w:rPr>
        <w:t xml:space="preserve"> г. са в размер на </w:t>
      </w:r>
      <w:r w:rsidR="002A2161" w:rsidRPr="002A2161">
        <w:rPr>
          <w:b/>
          <w:noProof/>
        </w:rPr>
        <w:t>88</w:t>
      </w:r>
      <w:r w:rsidR="00082392" w:rsidRPr="002A2161">
        <w:rPr>
          <w:b/>
          <w:noProof/>
        </w:rPr>
        <w:t>,</w:t>
      </w:r>
      <w:r w:rsidR="002A2161" w:rsidRPr="002A2161">
        <w:rPr>
          <w:b/>
          <w:noProof/>
        </w:rPr>
        <w:t>1</w:t>
      </w:r>
      <w:r w:rsidRPr="002A2161">
        <w:rPr>
          <w:b/>
          <w:noProof/>
        </w:rPr>
        <w:t> млн. лв.,</w:t>
      </w:r>
      <w:r w:rsidRPr="002A2161">
        <w:rPr>
          <w:noProof/>
        </w:rPr>
        <w:t xml:space="preserve"> като спрямо </w:t>
      </w:r>
      <w:r w:rsidRPr="002A2161">
        <w:t>края на 202</w:t>
      </w:r>
      <w:r w:rsidR="00620751" w:rsidRPr="002A2161">
        <w:t>2</w:t>
      </w:r>
      <w:r w:rsidRPr="002A2161">
        <w:t xml:space="preserve"> г. </w:t>
      </w:r>
      <w:r w:rsidRPr="002A2161">
        <w:rPr>
          <w:noProof/>
        </w:rPr>
        <w:t xml:space="preserve">се отчита </w:t>
      </w:r>
      <w:r w:rsidR="00005A85" w:rsidRPr="002A2161">
        <w:rPr>
          <w:noProof/>
        </w:rPr>
        <w:t>намаление</w:t>
      </w:r>
      <w:r w:rsidRPr="002A2161">
        <w:rPr>
          <w:noProof/>
        </w:rPr>
        <w:t xml:space="preserve"> с </w:t>
      </w:r>
      <w:r w:rsidR="00082392" w:rsidRPr="002A2161">
        <w:rPr>
          <w:noProof/>
        </w:rPr>
        <w:t>2,</w:t>
      </w:r>
      <w:r w:rsidR="002A2161" w:rsidRPr="002A2161">
        <w:rPr>
          <w:noProof/>
        </w:rPr>
        <w:t>9</w:t>
      </w:r>
      <w:r w:rsidRPr="002A2161">
        <w:rPr>
          <w:noProof/>
        </w:rPr>
        <w:t xml:space="preserve"> млн. лева. С най-голям относителен дял в просрочените задължения по бюджетите на общините към края на месец </w:t>
      </w:r>
      <w:r w:rsidR="002A2161" w:rsidRPr="002A2161">
        <w:rPr>
          <w:noProof/>
        </w:rPr>
        <w:t>март</w:t>
      </w:r>
      <w:r w:rsidR="00B30909" w:rsidRPr="002A2161">
        <w:rPr>
          <w:noProof/>
        </w:rPr>
        <w:t xml:space="preserve"> </w:t>
      </w:r>
      <w:r w:rsidRPr="002A2161">
        <w:rPr>
          <w:noProof/>
        </w:rPr>
        <w:t>202</w:t>
      </w:r>
      <w:r w:rsidR="002A2161" w:rsidRPr="002A2161">
        <w:rPr>
          <w:noProof/>
        </w:rPr>
        <w:t>3</w:t>
      </w:r>
      <w:r w:rsidRPr="002A2161">
        <w:rPr>
          <w:noProof/>
        </w:rPr>
        <w:t xml:space="preserve"> г. са просрочените задължения</w:t>
      </w:r>
      <w:r w:rsidRPr="00C15913">
        <w:rPr>
          <w:noProof/>
          <w:color w:val="0070C0"/>
        </w:rPr>
        <w:t xml:space="preserve"> </w:t>
      </w:r>
      <w:r w:rsidRPr="001B427B">
        <w:rPr>
          <w:noProof/>
        </w:rPr>
        <w:t xml:space="preserve">към доставчици, които са в размер на </w:t>
      </w:r>
      <w:r w:rsidR="001B427B" w:rsidRPr="001B427B">
        <w:rPr>
          <w:noProof/>
        </w:rPr>
        <w:t>69</w:t>
      </w:r>
      <w:r w:rsidR="00EE0456" w:rsidRPr="001B427B">
        <w:rPr>
          <w:noProof/>
        </w:rPr>
        <w:t>,</w:t>
      </w:r>
      <w:r w:rsidR="001B427B" w:rsidRPr="001B427B">
        <w:rPr>
          <w:noProof/>
        </w:rPr>
        <w:t>2</w:t>
      </w:r>
      <w:r w:rsidRPr="001B427B">
        <w:rPr>
          <w:noProof/>
        </w:rPr>
        <w:t xml:space="preserve"> млн. лева. В делегираните от държавата дейности просрочените задължения са в размер на </w:t>
      </w:r>
      <w:r w:rsidR="001B427B" w:rsidRPr="001B427B">
        <w:rPr>
          <w:noProof/>
        </w:rPr>
        <w:t>1,2</w:t>
      </w:r>
      <w:r w:rsidRPr="001B427B">
        <w:rPr>
          <w:noProof/>
        </w:rPr>
        <w:t xml:space="preserve"> млн. лева.</w:t>
      </w:r>
    </w:p>
    <w:p w14:paraId="0B52FCCB" w14:textId="5932B103" w:rsidR="00C45F7B" w:rsidRPr="00C15913" w:rsidRDefault="00C45F7B" w:rsidP="00C45F7B">
      <w:pPr>
        <w:spacing w:after="120"/>
        <w:jc w:val="both"/>
        <w:rPr>
          <w:color w:val="0070C0"/>
          <w:lang w:val="en-US"/>
        </w:rPr>
      </w:pPr>
      <w:r w:rsidRPr="003204FD">
        <w:rPr>
          <w:noProof/>
        </w:rPr>
        <w:t xml:space="preserve">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търговски дружества). </w:t>
      </w:r>
      <w:r w:rsidR="00B30BDE" w:rsidRPr="00B30BDE">
        <w:rPr>
          <w:noProof/>
        </w:rPr>
        <w:t xml:space="preserve">Към 31.03.2023 г. размерът на просрочените задължения е </w:t>
      </w:r>
      <w:r w:rsidR="00B30BDE" w:rsidRPr="00A95BDD">
        <w:rPr>
          <w:noProof/>
          <w:lang w:val="ru-RU"/>
        </w:rPr>
        <w:t>76</w:t>
      </w:r>
      <w:r w:rsidR="00B30BDE">
        <w:rPr>
          <w:noProof/>
        </w:rPr>
        <w:t>,</w:t>
      </w:r>
      <w:r w:rsidR="00B30BDE" w:rsidRPr="00A95BDD">
        <w:rPr>
          <w:noProof/>
          <w:lang w:val="ru-RU"/>
        </w:rPr>
        <w:t>8</w:t>
      </w:r>
      <w:r w:rsidR="00B30BDE" w:rsidRPr="00B30BDE">
        <w:rPr>
          <w:noProof/>
        </w:rPr>
        <w:t xml:space="preserve"> млн. лв., от които </w:t>
      </w:r>
      <w:r w:rsidR="00B30BDE" w:rsidRPr="00A95BDD">
        <w:rPr>
          <w:noProof/>
          <w:lang w:val="ru-RU"/>
        </w:rPr>
        <w:t>58</w:t>
      </w:r>
      <w:r w:rsidR="00B30BDE">
        <w:rPr>
          <w:noProof/>
        </w:rPr>
        <w:t>,</w:t>
      </w:r>
      <w:r w:rsidR="00B30BDE" w:rsidRPr="00A95BDD">
        <w:rPr>
          <w:noProof/>
          <w:lang w:val="ru-RU"/>
        </w:rPr>
        <w:t>2</w:t>
      </w:r>
      <w:r w:rsidR="00B30BDE" w:rsidRPr="00B30BDE">
        <w:rPr>
          <w:noProof/>
        </w:rPr>
        <w:t xml:space="preserve"> млн. лв. са на държавните болници и </w:t>
      </w:r>
      <w:r w:rsidR="00B30BDE" w:rsidRPr="00A95BDD">
        <w:rPr>
          <w:noProof/>
          <w:lang w:val="ru-RU"/>
        </w:rPr>
        <w:t>18</w:t>
      </w:r>
      <w:r w:rsidR="002A70B7">
        <w:rPr>
          <w:noProof/>
        </w:rPr>
        <w:t>,</w:t>
      </w:r>
      <w:r w:rsidR="00B30BDE" w:rsidRPr="00A95BDD">
        <w:rPr>
          <w:noProof/>
          <w:lang w:val="ru-RU"/>
        </w:rPr>
        <w:t>6</w:t>
      </w:r>
      <w:r w:rsidR="00B30BDE" w:rsidRPr="00B30BDE">
        <w:rPr>
          <w:noProof/>
        </w:rPr>
        <w:t xml:space="preserve"> млн. лв. са на общинските болници. Спрямо отчетените просрочени задължения към 31.12.2022 г. се отчита намаление  с 18,0 млн. лв. (с 19  на сто)</w:t>
      </w:r>
      <w:r w:rsidRPr="00B30BDE">
        <w:rPr>
          <w:color w:val="0070C0"/>
        </w:rPr>
        <w:t>.</w:t>
      </w:r>
    </w:p>
    <w:p w14:paraId="1A6C9079" w14:textId="77777777" w:rsidR="00BB059C" w:rsidRPr="00C15913" w:rsidRDefault="00BB059C" w:rsidP="00BB059C">
      <w:pPr>
        <w:ind w:firstLine="567"/>
        <w:jc w:val="both"/>
        <w:rPr>
          <w:noProof/>
          <w:color w:val="0070C0"/>
          <w:sz w:val="2"/>
          <w:szCs w:val="12"/>
          <w:lang w:val="en-US"/>
        </w:rPr>
      </w:pPr>
    </w:p>
    <w:p w14:paraId="51EF3DB5" w14:textId="77777777" w:rsidR="009C2594" w:rsidRPr="00FF50D5" w:rsidRDefault="009C2594" w:rsidP="00ED2B9A">
      <w:pPr>
        <w:pStyle w:val="BodyTextIndent"/>
        <w:numPr>
          <w:ilvl w:val="1"/>
          <w:numId w:val="12"/>
        </w:numPr>
        <w:tabs>
          <w:tab w:val="clear" w:pos="2160"/>
          <w:tab w:val="num" w:pos="720"/>
          <w:tab w:val="num" w:pos="900"/>
        </w:tabs>
        <w:spacing w:before="120" w:after="0"/>
        <w:ind w:left="720"/>
        <w:jc w:val="both"/>
        <w:rPr>
          <w:b/>
          <w:bCs/>
        </w:rPr>
      </w:pPr>
      <w:r w:rsidRPr="00FF50D5">
        <w:rPr>
          <w:b/>
          <w:bCs/>
        </w:rPr>
        <w:t xml:space="preserve">Разходи по </w:t>
      </w:r>
      <w:r w:rsidR="00850FB1" w:rsidRPr="00FF50D5">
        <w:rPr>
          <w:b/>
          <w:bCs/>
        </w:rPr>
        <w:t>централн</w:t>
      </w:r>
      <w:r w:rsidRPr="00FF50D5">
        <w:rPr>
          <w:b/>
          <w:bCs/>
          <w:szCs w:val="26"/>
        </w:rPr>
        <w:t xml:space="preserve">ия бюджет </w:t>
      </w:r>
      <w:r w:rsidRPr="00FF50D5">
        <w:rPr>
          <w:b/>
          <w:bCs/>
        </w:rPr>
        <w:t>за субсидии</w:t>
      </w:r>
      <w:r w:rsidR="00F202DD" w:rsidRPr="00FF50D5">
        <w:rPr>
          <w:b/>
          <w:bCs/>
        </w:rPr>
        <w:t>,</w:t>
      </w:r>
      <w:r w:rsidR="0091667E" w:rsidRPr="00FF50D5">
        <w:rPr>
          <w:b/>
          <w:bCs/>
        </w:rPr>
        <w:t xml:space="preserve"> </w:t>
      </w:r>
      <w:r w:rsidR="00F202DD" w:rsidRPr="00FF50D5">
        <w:rPr>
          <w:b/>
          <w:bCs/>
        </w:rPr>
        <w:t xml:space="preserve">капиталови </w:t>
      </w:r>
      <w:r w:rsidR="00AF1CA0" w:rsidRPr="00FF50D5">
        <w:rPr>
          <w:b/>
          <w:bCs/>
        </w:rPr>
        <w:t>трансфери</w:t>
      </w:r>
      <w:r w:rsidR="00AF1CA0" w:rsidRPr="00FF50D5">
        <w:rPr>
          <w:bCs/>
        </w:rPr>
        <w:t xml:space="preserve"> </w:t>
      </w:r>
      <w:r w:rsidRPr="00FF50D5">
        <w:rPr>
          <w:b/>
          <w:bCs/>
        </w:rPr>
        <w:t xml:space="preserve">и други разходи, свързани с дейността на реалния сектор </w:t>
      </w:r>
    </w:p>
    <w:p w14:paraId="621F3B18" w14:textId="77777777" w:rsidR="009C2594" w:rsidRPr="00C15913" w:rsidRDefault="009C2594" w:rsidP="009C2594">
      <w:pPr>
        <w:pStyle w:val="Header"/>
        <w:jc w:val="both"/>
        <w:rPr>
          <w:color w:val="0070C0"/>
          <w:sz w:val="8"/>
          <w:szCs w:val="8"/>
        </w:rPr>
      </w:pPr>
    </w:p>
    <w:p w14:paraId="002A3078" w14:textId="77777777" w:rsidR="00411FD7" w:rsidRPr="00C15913" w:rsidRDefault="00411FD7" w:rsidP="00411FD7">
      <w:pPr>
        <w:pStyle w:val="Header"/>
        <w:ind w:firstLine="567"/>
        <w:jc w:val="both"/>
        <w:rPr>
          <w:color w:val="0070C0"/>
          <w:sz w:val="4"/>
          <w:szCs w:val="4"/>
        </w:rPr>
      </w:pPr>
    </w:p>
    <w:p w14:paraId="6D921ADF" w14:textId="5F0E7A77" w:rsidR="00411FD7" w:rsidRPr="00FF50D5" w:rsidRDefault="00411FD7" w:rsidP="00411FD7">
      <w:pPr>
        <w:pStyle w:val="BodyText2"/>
        <w:spacing w:after="0" w:line="240" w:lineRule="auto"/>
        <w:ind w:firstLine="567"/>
        <w:jc w:val="both"/>
      </w:pPr>
      <w:r w:rsidRPr="00FF50D5">
        <w:t xml:space="preserve">Средствата за </w:t>
      </w:r>
      <w:r w:rsidRPr="00FF50D5">
        <w:rPr>
          <w:bCs/>
        </w:rPr>
        <w:t>субсидии</w:t>
      </w:r>
      <w:r w:rsidRPr="00FF50D5">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w:t>
      </w:r>
      <w:r w:rsidR="00FF50D5" w:rsidRPr="00FF50D5">
        <w:t>рта в планински и други райони</w:t>
      </w:r>
      <w:r w:rsidRPr="00FF50D5">
        <w:t>.</w:t>
      </w:r>
      <w:r w:rsidR="00FF50D5" w:rsidRPr="00FF50D5">
        <w:t xml:space="preserve">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p>
    <w:p w14:paraId="20B4E9D5" w14:textId="5D2182F9" w:rsidR="00FF50D5" w:rsidRPr="00FF50D5" w:rsidRDefault="00FF50D5" w:rsidP="00FF50D5">
      <w:pPr>
        <w:pStyle w:val="BodyTextIndent2"/>
        <w:spacing w:after="0" w:line="240" w:lineRule="auto"/>
        <w:ind w:left="0" w:firstLine="567"/>
        <w:jc w:val="both"/>
      </w:pPr>
      <w:r w:rsidRPr="00FF50D5">
        <w:t xml:space="preserve">През първото тримесечие на 2023 г. предоставените </w:t>
      </w:r>
      <w:r>
        <w:t xml:space="preserve">за тази цел </w:t>
      </w:r>
      <w:r w:rsidRPr="00FF50D5">
        <w:t xml:space="preserve">средства са в размер на 39,5 млн. лв., в т.ч. за Столична община - в размер на 22,3 млн. лв. Средствата се разпределят по общини от Министерство на транспорта и съобщенията, с изключение на тези за Столична община. </w:t>
      </w:r>
    </w:p>
    <w:p w14:paraId="5F9A42C4" w14:textId="577B4E7E" w:rsidR="00411FD7" w:rsidRPr="00FF50D5" w:rsidRDefault="00FF50D5" w:rsidP="00FF50D5">
      <w:pPr>
        <w:pStyle w:val="BodyTextIndent2"/>
        <w:spacing w:line="240" w:lineRule="auto"/>
        <w:ind w:left="0" w:firstLine="357"/>
        <w:jc w:val="both"/>
        <w:rPr>
          <w:noProof/>
        </w:rPr>
      </w:pPr>
      <w:r w:rsidRPr="00FF50D5">
        <w:t>С ПМС № 11/2023 г. са одобрени 27 млн. лв. за извършване на плащания за прилагане на политиката по чл. 1, ал. 5, т. 13.4 от Закона за държавния бюджет на Република България за 2022 г. чрез трансфери за други целеви разходи на общините за субсидиране на превоз на пътниците по междуселищни автобусни линии извън тези по § 4, ал. 1 и 2 от Заключителните разпоредби на Закона за автомобилните превози. Средствата са усвоени изцяло</w:t>
      </w:r>
      <w:r w:rsidR="00411FD7" w:rsidRPr="00FF50D5">
        <w:rPr>
          <w:noProof/>
        </w:rPr>
        <w:t>.</w:t>
      </w:r>
    </w:p>
    <w:p w14:paraId="08F65B60" w14:textId="4F23EC84" w:rsidR="00F2147E" w:rsidRPr="00AC49A6" w:rsidRDefault="00F2147E" w:rsidP="00AC49A6">
      <w:pPr>
        <w:spacing w:after="120"/>
        <w:ind w:firstLine="567"/>
        <w:jc w:val="both"/>
      </w:pPr>
      <w:r w:rsidRPr="00AC49A6">
        <w:rPr>
          <w:b/>
          <w:i/>
        </w:rPr>
        <w:t>Капиталовите трансфери</w:t>
      </w:r>
      <w:r w:rsidRPr="00AC49A6">
        <w:t xml:space="preserve"> по централния бюджет към 3</w:t>
      </w:r>
      <w:r w:rsidR="00FF50D5" w:rsidRPr="00AC49A6">
        <w:t>1</w:t>
      </w:r>
      <w:r w:rsidRPr="00AC49A6">
        <w:t>.0</w:t>
      </w:r>
      <w:r w:rsidR="00FF50D5" w:rsidRPr="00AC49A6">
        <w:t>3</w:t>
      </w:r>
      <w:r w:rsidRPr="00AC49A6">
        <w:t>.202</w:t>
      </w:r>
      <w:r w:rsidR="00FF50D5" w:rsidRPr="00AC49A6">
        <w:t>3</w:t>
      </w:r>
      <w:r w:rsidRPr="00AC49A6">
        <w:t xml:space="preserve"> г. </w:t>
      </w:r>
      <w:r w:rsidR="00FF50D5" w:rsidRPr="00AC49A6">
        <w:t>са в размер на 0</w:t>
      </w:r>
      <w:r w:rsidRPr="00AC49A6">
        <w:t>,</w:t>
      </w:r>
      <w:r w:rsidR="00FF50D5" w:rsidRPr="00AC49A6">
        <w:t>1</w:t>
      </w:r>
      <w:r w:rsidR="00231057">
        <w:rPr>
          <w:lang w:val="en-US"/>
        </w:rPr>
        <w:t> </w:t>
      </w:r>
      <w:r w:rsidRPr="00AC49A6">
        <w:t>млн.</w:t>
      </w:r>
      <w:r w:rsidR="00FF50D5" w:rsidRPr="00AC49A6">
        <w:t> </w:t>
      </w:r>
      <w:r w:rsidRPr="00AC49A6">
        <w:t>лв</w:t>
      </w:r>
      <w:r w:rsidR="00FF50D5" w:rsidRPr="00AC49A6">
        <w:t>. и са изразходени в</w:t>
      </w:r>
      <w:r w:rsidRPr="00AC49A6">
        <w:t xml:space="preserve"> изпълнение на Програмите за отстраняване на нанесени щети </w:t>
      </w:r>
      <w:r w:rsidRPr="00AC49A6">
        <w:rPr>
          <w:noProof/>
        </w:rPr>
        <w:t>върху околната среда</w:t>
      </w:r>
      <w:r w:rsidRPr="00AC49A6">
        <w:t xml:space="preserve">, настъпили от минали действия или бездействия, при приватизация. </w:t>
      </w:r>
    </w:p>
    <w:p w14:paraId="48368F44" w14:textId="77777777" w:rsidR="00B14EA1" w:rsidRPr="002346FD" w:rsidRDefault="00B14EA1" w:rsidP="00B14EA1">
      <w:pPr>
        <w:spacing w:after="120"/>
        <w:ind w:firstLine="567"/>
        <w:jc w:val="both"/>
      </w:pPr>
      <w:r w:rsidRPr="002346FD">
        <w:rPr>
          <w:bCs/>
        </w:rPr>
        <w:t xml:space="preserve">По централния бюджет са предвидени и </w:t>
      </w:r>
      <w:r w:rsidRPr="002346FD">
        <w:rPr>
          <w:b/>
          <w:bCs/>
        </w:rPr>
        <w:t>други разходи</w:t>
      </w:r>
      <w:r w:rsidRPr="002346FD">
        <w:rPr>
          <w:bCs/>
        </w:rPr>
        <w:t xml:space="preserve">, свързани с </w:t>
      </w:r>
      <w:r w:rsidRPr="00EC15F9">
        <w:rPr>
          <w:bCs/>
        </w:rPr>
        <w:t>к</w:t>
      </w:r>
      <w:r w:rsidRPr="00E61F1F">
        <w:t xml:space="preserve">омпенсиране </w:t>
      </w:r>
      <w:r w:rsidRPr="00AE1973">
        <w:t>със средства от държавния бюджет</w:t>
      </w:r>
      <w:r w:rsidRPr="00951626">
        <w:t xml:space="preserve"> </w:t>
      </w:r>
      <w:r w:rsidRPr="00E61F1F">
        <w:t xml:space="preserve">на </w:t>
      </w:r>
      <w:r w:rsidRPr="00E61F1F">
        <w:rPr>
          <w:bCs/>
        </w:rPr>
        <w:t>намалените приходи от прилагането на цени за пътуване, предвидени в нормативни актове за определени категории пътници</w:t>
      </w:r>
      <w:r w:rsidRPr="00E61F1F">
        <w:t xml:space="preserve"> по железопътния и автомобилния транспорт</w:t>
      </w:r>
      <w:r>
        <w:t xml:space="preserve">. Средствата </w:t>
      </w:r>
      <w:r w:rsidRPr="002346FD">
        <w:rPr>
          <w:bCs/>
        </w:rPr>
        <w:t xml:space="preserve">се предоставят </w:t>
      </w:r>
      <w:r>
        <w:rPr>
          <w:bCs/>
        </w:rPr>
        <w:t>на „БДЖ-Пътнически превози“ ЕООД за</w:t>
      </w:r>
      <w:r w:rsidRPr="002346FD">
        <w:rPr>
          <w:bCs/>
        </w:rPr>
        <w:t xml:space="preserve"> </w:t>
      </w:r>
      <w:r w:rsidRPr="005D03AA">
        <w:rPr>
          <w:bCs/>
        </w:rPr>
        <w:t>компенсации за пътувания с железопътния транспорт</w:t>
      </w:r>
      <w:r>
        <w:rPr>
          <w:bCs/>
        </w:rPr>
        <w:t xml:space="preserve"> и </w:t>
      </w:r>
      <w:r w:rsidRPr="002346FD">
        <w:rPr>
          <w:bCs/>
        </w:rPr>
        <w:t>под формата на целеви трансфер на общините</w:t>
      </w:r>
      <w:r>
        <w:rPr>
          <w:bCs/>
        </w:rPr>
        <w:t xml:space="preserve"> - </w:t>
      </w:r>
      <w:r w:rsidRPr="002346FD">
        <w:t>за</w:t>
      </w:r>
      <w:r>
        <w:t xml:space="preserve"> автомобилния транспорт.</w:t>
      </w:r>
      <w:r w:rsidRPr="002346FD">
        <w:t xml:space="preserve"> </w:t>
      </w:r>
    </w:p>
    <w:p w14:paraId="70230F00" w14:textId="77777777" w:rsidR="00B14EA1" w:rsidRPr="002346FD" w:rsidRDefault="00B14EA1" w:rsidP="00B14EA1">
      <w:pPr>
        <w:tabs>
          <w:tab w:val="left" w:pos="851"/>
        </w:tabs>
        <w:ind w:firstLine="567"/>
        <w:jc w:val="both"/>
        <w:rPr>
          <w:sz w:val="8"/>
          <w:szCs w:val="8"/>
        </w:rPr>
      </w:pPr>
      <w:r w:rsidRPr="002346FD">
        <w:t xml:space="preserve"> Предоставените средства за първо тримесечие на 2023 г. са общо в размер на 38,9 млн. лв., в т.ч. за вътрешноградския транспорт, междуселищния автомобилен транспорт и железопътния транспорт. </w:t>
      </w:r>
    </w:p>
    <w:p w14:paraId="09CA2F91" w14:textId="4B160CA9" w:rsidR="002346FD" w:rsidRPr="002346FD" w:rsidRDefault="002346FD" w:rsidP="002346FD">
      <w:pPr>
        <w:tabs>
          <w:tab w:val="left" w:pos="851"/>
        </w:tabs>
        <w:ind w:firstLine="567"/>
        <w:jc w:val="both"/>
      </w:pPr>
      <w:r w:rsidRPr="002346FD">
        <w:t>Допълнително, с ПМС № 10/2023 г. са одобрени средства в размер 73 млн. лв. за изпълнението на § 2 и 3 от същото постановление, представляващи средства за пътувания с вътрешноградския транспорт и междуселищния автомобилен транспорт. Усвоените средства за първото тримесечие на 2023 г. са в размер на 18,3 млн. лв. С това общият размер на усвоените средства за компенсиране на намалените приходи от прилагането на цени за пътува</w:t>
      </w:r>
      <w:r w:rsidR="00385328">
        <w:t>не</w:t>
      </w:r>
      <w:r w:rsidRPr="002346FD">
        <w:t>, предвидени в нормативни актове за определени категории пътници, е увеличен на 57,1 млн. лв. за първото тримесечие на 2023 г</w:t>
      </w:r>
      <w:r>
        <w:t>одина.</w:t>
      </w:r>
    </w:p>
    <w:p w14:paraId="562E9C38" w14:textId="024925BD" w:rsidR="00F2147E" w:rsidRPr="002346FD" w:rsidRDefault="00F2147E" w:rsidP="00F2147E">
      <w:pPr>
        <w:tabs>
          <w:tab w:val="left" w:pos="851"/>
        </w:tabs>
        <w:ind w:firstLine="567"/>
        <w:jc w:val="both"/>
      </w:pPr>
      <w:r w:rsidRPr="002346FD">
        <w:t>Предоставените средства към 3</w:t>
      </w:r>
      <w:r w:rsidR="002346FD" w:rsidRPr="002346FD">
        <w:t>1</w:t>
      </w:r>
      <w:r w:rsidRPr="002346FD">
        <w:t>.0</w:t>
      </w:r>
      <w:r w:rsidR="002346FD" w:rsidRPr="002346FD">
        <w:t>3</w:t>
      </w:r>
      <w:r w:rsidRPr="002346FD">
        <w:t>.202</w:t>
      </w:r>
      <w:r w:rsidR="002346FD" w:rsidRPr="002346FD">
        <w:t>3</w:t>
      </w:r>
      <w:r w:rsidRPr="002346FD">
        <w:t xml:space="preserve">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2346FD">
        <w:rPr>
          <w:noProof/>
        </w:rPr>
        <w:t xml:space="preserve">вътрешноградски транспорт и междуселищен </w:t>
      </w:r>
      <w:r w:rsidRPr="002346FD">
        <w:t>автомобилен транспорт или железопътен транспорт</w:t>
      </w:r>
      <w:r w:rsidR="002346FD" w:rsidRPr="002346FD">
        <w:t xml:space="preserve"> </w:t>
      </w:r>
      <w:r w:rsidRPr="002346FD">
        <w:t>са както следва:</w:t>
      </w:r>
    </w:p>
    <w:p w14:paraId="552BF2B9" w14:textId="538BE5F6" w:rsidR="00F2147E" w:rsidRPr="002346FD" w:rsidRDefault="00F2147E" w:rsidP="00F2147E">
      <w:pPr>
        <w:ind w:firstLine="567"/>
        <w:jc w:val="both"/>
      </w:pPr>
      <w:r w:rsidRPr="002346FD">
        <w:t xml:space="preserve">- компенсации за пътувания с железопътния транспорт в размер на </w:t>
      </w:r>
      <w:r w:rsidR="002346FD" w:rsidRPr="002346FD">
        <w:t>1</w:t>
      </w:r>
      <w:r w:rsidRPr="002346FD">
        <w:t xml:space="preserve">,4 млн. лв.; </w:t>
      </w:r>
    </w:p>
    <w:p w14:paraId="120B9002" w14:textId="6147BC18" w:rsidR="00F2147E" w:rsidRPr="002346FD" w:rsidRDefault="00F2147E" w:rsidP="00F2147E">
      <w:pPr>
        <w:tabs>
          <w:tab w:val="left" w:pos="540"/>
          <w:tab w:val="left" w:pos="709"/>
        </w:tabs>
        <w:ind w:firstLine="567"/>
        <w:jc w:val="both"/>
        <w:rPr>
          <w:noProof/>
        </w:rPr>
      </w:pPr>
      <w:r w:rsidRPr="002346FD">
        <w:rPr>
          <w:noProof/>
        </w:rPr>
        <w:t>- компенсации за пътувания с вътрешноградски транспорт и междуселищния автомобилен транспорт в страната, предоставени чрез Системата за еле</w:t>
      </w:r>
      <w:r w:rsidR="002346FD" w:rsidRPr="002346FD">
        <w:rPr>
          <w:noProof/>
        </w:rPr>
        <w:t>ктронни бюджетни разплащания – 55</w:t>
      </w:r>
      <w:r w:rsidRPr="002346FD">
        <w:rPr>
          <w:noProof/>
        </w:rPr>
        <w:t>,</w:t>
      </w:r>
      <w:r w:rsidR="002346FD" w:rsidRPr="002346FD">
        <w:rPr>
          <w:noProof/>
        </w:rPr>
        <w:t>7</w:t>
      </w:r>
      <w:r w:rsidRPr="002346FD">
        <w:rPr>
          <w:noProof/>
        </w:rPr>
        <w:t xml:space="preserve"> млн. лв. </w:t>
      </w:r>
    </w:p>
    <w:p w14:paraId="60A0464F" w14:textId="5C0EF939" w:rsidR="00F2147E" w:rsidRPr="00B56995" w:rsidRDefault="00F2147E" w:rsidP="00F2147E">
      <w:pPr>
        <w:ind w:firstLine="567"/>
        <w:jc w:val="both"/>
        <w:rPr>
          <w:noProof/>
        </w:rPr>
      </w:pPr>
      <w:r w:rsidRPr="00B56995">
        <w:rPr>
          <w:noProof/>
        </w:rPr>
        <w:t xml:space="preserve">Предоставените средства за </w:t>
      </w:r>
      <w:r w:rsidRPr="00B56995">
        <w:t>компенсиране на намалените приходи от прилагането на цени за пътуване, предвидени в нормативни актове за определени категории пътници,</w:t>
      </w:r>
      <w:r w:rsidRPr="00B56995">
        <w:rPr>
          <w:noProof/>
        </w:rPr>
        <w:t xml:space="preserve"> по вътрешноградския транспорт и междуселищния автомобилен транспорт за </w:t>
      </w:r>
      <w:r w:rsidR="002346FD" w:rsidRPr="00B56995">
        <w:rPr>
          <w:noProof/>
        </w:rPr>
        <w:t>първо тримесечие</w:t>
      </w:r>
      <w:r w:rsidRPr="00B56995">
        <w:rPr>
          <w:noProof/>
        </w:rPr>
        <w:t xml:space="preserve"> на 202</w:t>
      </w:r>
      <w:r w:rsidR="002346FD" w:rsidRPr="00B56995">
        <w:rPr>
          <w:noProof/>
        </w:rPr>
        <w:t>3</w:t>
      </w:r>
      <w:r w:rsidRPr="00B56995">
        <w:rPr>
          <w:noProof/>
        </w:rPr>
        <w:t xml:space="preserve"> г., диференцирани по групи правоимащи лица и размер на намалението спрямо редовната цена, са както следва:</w:t>
      </w:r>
    </w:p>
    <w:p w14:paraId="7FB63DA1" w14:textId="5038E71A" w:rsidR="00F2147E" w:rsidRPr="00B56995" w:rsidRDefault="00F2147E" w:rsidP="00F2147E">
      <w:pPr>
        <w:pStyle w:val="BodyTextIndent"/>
        <w:spacing w:after="0"/>
        <w:ind w:left="0" w:firstLine="567"/>
        <w:jc w:val="both"/>
      </w:pPr>
      <w:r w:rsidRPr="00B56995">
        <w:t xml:space="preserve">- </w:t>
      </w:r>
      <w:r w:rsidR="002346FD" w:rsidRPr="00B56995">
        <w:t>17</w:t>
      </w:r>
      <w:r w:rsidRPr="00B56995">
        <w:t>,</w:t>
      </w:r>
      <w:r w:rsidR="002346FD" w:rsidRPr="00B56995">
        <w:t>3</w:t>
      </w:r>
      <w:r w:rsidRPr="00B56995">
        <w:t xml:space="preserve"> млн. лв. за транспорт на деца и ученици; </w:t>
      </w:r>
    </w:p>
    <w:p w14:paraId="0D675023" w14:textId="7110CB10" w:rsidR="00F2147E" w:rsidRPr="00B56995" w:rsidRDefault="00F2147E" w:rsidP="00F2147E">
      <w:pPr>
        <w:pStyle w:val="BodyTextIndent"/>
        <w:tabs>
          <w:tab w:val="left" w:pos="1026"/>
        </w:tabs>
        <w:spacing w:after="0"/>
        <w:ind w:left="0" w:firstLine="567"/>
        <w:jc w:val="both"/>
      </w:pPr>
      <w:r w:rsidRPr="00B56995">
        <w:t xml:space="preserve">- </w:t>
      </w:r>
      <w:r w:rsidR="002346FD" w:rsidRPr="00B56995">
        <w:t>38</w:t>
      </w:r>
      <w:r w:rsidRPr="00B56995">
        <w:t>,</w:t>
      </w:r>
      <w:r w:rsidR="002346FD" w:rsidRPr="00B56995">
        <w:t>4</w:t>
      </w:r>
      <w:r w:rsidRPr="00B56995">
        <w:t xml:space="preserve"> млн. лв. за безплатни и по на</w:t>
      </w:r>
      <w:r w:rsidR="00B56995" w:rsidRPr="00B56995">
        <w:t>малени цени пътувания по общини, в това число</w:t>
      </w:r>
      <w:r w:rsidRPr="00B56995">
        <w:t>:</w:t>
      </w:r>
    </w:p>
    <w:p w14:paraId="4F7A11ED" w14:textId="7CFF15B3" w:rsidR="00F2147E" w:rsidRPr="00B56995" w:rsidRDefault="00B56995" w:rsidP="00754B16">
      <w:pPr>
        <w:numPr>
          <w:ilvl w:val="0"/>
          <w:numId w:val="30"/>
        </w:numPr>
        <w:tabs>
          <w:tab w:val="left" w:pos="993"/>
        </w:tabs>
        <w:jc w:val="both"/>
      </w:pPr>
      <w:r w:rsidRPr="00B56995">
        <w:t>16</w:t>
      </w:r>
      <w:r w:rsidR="00F2147E" w:rsidRPr="00B56995">
        <w:t>,</w:t>
      </w:r>
      <w:r w:rsidRPr="00B56995">
        <w:t>0</w:t>
      </w:r>
      <w:r w:rsidR="00F2147E" w:rsidRPr="00B56995">
        <w:t xml:space="preserve">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w:t>
      </w:r>
    </w:p>
    <w:p w14:paraId="190E8851" w14:textId="6721678E" w:rsidR="00F2147E" w:rsidRPr="00B56995" w:rsidRDefault="00B56995" w:rsidP="00754B16">
      <w:pPr>
        <w:numPr>
          <w:ilvl w:val="0"/>
          <w:numId w:val="30"/>
        </w:numPr>
        <w:tabs>
          <w:tab w:val="left" w:pos="993"/>
        </w:tabs>
        <w:jc w:val="both"/>
      </w:pPr>
      <w:r w:rsidRPr="00B56995">
        <w:t>4</w:t>
      </w:r>
      <w:r w:rsidR="00F2147E" w:rsidRPr="00B56995">
        <w:t>,</w:t>
      </w:r>
      <w:r w:rsidRPr="00B56995">
        <w:t>1</w:t>
      </w:r>
      <w:r w:rsidR="00F2147E" w:rsidRPr="00B56995">
        <w:t xml:space="preserve"> млн. лв. за превоз на служители, ползващи право на безплатно пътуване при изпълнение на служебните си задължения</w:t>
      </w:r>
      <w:r w:rsidRPr="00B56995">
        <w:t>;</w:t>
      </w:r>
    </w:p>
    <w:p w14:paraId="078E90A0" w14:textId="110BBFB2" w:rsidR="00B56995" w:rsidRPr="00B56995" w:rsidRDefault="00B56995" w:rsidP="00B56995">
      <w:pPr>
        <w:numPr>
          <w:ilvl w:val="0"/>
          <w:numId w:val="30"/>
        </w:numPr>
        <w:tabs>
          <w:tab w:val="left" w:pos="993"/>
        </w:tabs>
        <w:jc w:val="both"/>
      </w:pPr>
      <w:r w:rsidRPr="00B56995">
        <w:t>18,3 млн. лв. за пътувания с вътрешноградския транспорт и междуселищния автомобилен транспорт в съответствие с ПМС № 10/2023 г.</w:t>
      </w:r>
    </w:p>
    <w:p w14:paraId="5F9884CB" w14:textId="77777777" w:rsidR="00333B5E" w:rsidRPr="00C15913" w:rsidRDefault="00333B5E" w:rsidP="00333B5E">
      <w:pPr>
        <w:jc w:val="both"/>
        <w:rPr>
          <w:color w:val="0070C0"/>
          <w:sz w:val="12"/>
          <w:szCs w:val="12"/>
        </w:rPr>
      </w:pPr>
    </w:p>
    <w:p w14:paraId="1044F767" w14:textId="77777777" w:rsidR="00772EF8" w:rsidRPr="00642159" w:rsidRDefault="00772EF8" w:rsidP="00772EF8">
      <w:pPr>
        <w:numPr>
          <w:ilvl w:val="0"/>
          <w:numId w:val="7"/>
        </w:numPr>
        <w:spacing w:after="120"/>
        <w:ind w:left="0" w:firstLine="360"/>
        <w:jc w:val="both"/>
        <w:rPr>
          <w:b/>
        </w:rPr>
      </w:pPr>
      <w:r w:rsidRPr="00642159">
        <w:rPr>
          <w:b/>
        </w:rPr>
        <w:t xml:space="preserve">Разходи за лихви </w:t>
      </w:r>
    </w:p>
    <w:p w14:paraId="40D3E34A" w14:textId="77777777" w:rsidR="00772EF8" w:rsidRPr="00642159" w:rsidRDefault="00772EF8" w:rsidP="00772EF8">
      <w:pPr>
        <w:spacing w:after="60"/>
        <w:jc w:val="both"/>
      </w:pPr>
      <w:r w:rsidRPr="00642159">
        <w:rPr>
          <w:b/>
        </w:rPr>
        <w:t xml:space="preserve">Лихвените плащания </w:t>
      </w:r>
      <w:r w:rsidRPr="00642159">
        <w:t xml:space="preserve">по държавния бюджет към </w:t>
      </w:r>
      <w:r w:rsidRPr="00642159">
        <w:rPr>
          <w:lang w:val="ru-RU"/>
        </w:rPr>
        <w:t>31.03.2023</w:t>
      </w:r>
      <w:r w:rsidRPr="00642159">
        <w:t xml:space="preserve"> г. са в общ размер на </w:t>
      </w:r>
      <w:r w:rsidRPr="00642159">
        <w:rPr>
          <w:b/>
        </w:rPr>
        <w:t>293,5 млн. лева</w:t>
      </w:r>
      <w:r w:rsidRPr="00642159">
        <w:t xml:space="preserve">. </w:t>
      </w:r>
    </w:p>
    <w:p w14:paraId="1BC3628E" w14:textId="77777777" w:rsidR="00772EF8" w:rsidRPr="00802AE6" w:rsidRDefault="00772EF8" w:rsidP="00772EF8">
      <w:pPr>
        <w:spacing w:after="120"/>
        <w:jc w:val="both"/>
        <w:rPr>
          <w:color w:val="0070C0"/>
        </w:rPr>
      </w:pPr>
      <w:r w:rsidRPr="00C621DF">
        <w:t xml:space="preserve">Разходите за </w:t>
      </w:r>
      <w:r w:rsidRPr="00C621DF">
        <w:rPr>
          <w:b/>
        </w:rPr>
        <w:t>лихви по външни заеми</w:t>
      </w:r>
      <w:r w:rsidRPr="00C621DF">
        <w:t xml:space="preserve"> са в размер на </w:t>
      </w:r>
      <w:r w:rsidRPr="00AB241B">
        <w:rPr>
          <w:lang w:val="ru-RU"/>
        </w:rPr>
        <w:t>245</w:t>
      </w:r>
      <w:r w:rsidRPr="00C621DF">
        <w:t>,7 млн. лв., в т.ч. 239,5 млн. лв. по централния бюджет</w:t>
      </w:r>
      <w:r w:rsidRPr="004751C3">
        <w:t>. Разходите за лихви по ДИЗ, управлявани от министерства и ведомства, са в размер на 6,2 млн. лв. По заемите с краен бенефициент – търговско дружество няма извършени плащания.</w:t>
      </w:r>
    </w:p>
    <w:p w14:paraId="31A89ECE" w14:textId="77777777" w:rsidR="00772EF8" w:rsidRPr="00893E94" w:rsidRDefault="00772EF8" w:rsidP="00772EF8">
      <w:pPr>
        <w:spacing w:after="120"/>
        <w:jc w:val="both"/>
        <w:rPr>
          <w:b/>
        </w:rPr>
      </w:pPr>
      <w:r w:rsidRPr="00893E94">
        <w:t>През отчетния период не са използвани средства за покриване на риска от активиране на държавни гаранции.</w:t>
      </w:r>
      <w:r w:rsidRPr="00893E94">
        <w:rPr>
          <w:b/>
        </w:rPr>
        <w:t xml:space="preserve"> </w:t>
      </w:r>
    </w:p>
    <w:p w14:paraId="2CE107AC" w14:textId="77777777" w:rsidR="00772EF8" w:rsidRPr="00802AE6" w:rsidRDefault="00772EF8" w:rsidP="00772EF8">
      <w:pPr>
        <w:spacing w:after="60"/>
        <w:jc w:val="both"/>
        <w:rPr>
          <w:color w:val="0070C0"/>
        </w:rPr>
      </w:pPr>
      <w:r w:rsidRPr="00E90EFF">
        <w:rPr>
          <w:b/>
        </w:rPr>
        <w:t>Лихвите по вътрешни заеми</w:t>
      </w:r>
      <w:r w:rsidRPr="00E90EFF">
        <w:t xml:space="preserve"> по държавния бюджет </w:t>
      </w:r>
      <w:r w:rsidRPr="00E90EFF">
        <w:rPr>
          <w:bCs/>
        </w:rPr>
        <w:t>към март 2023</w:t>
      </w:r>
      <w:r w:rsidRPr="00E90EFF">
        <w:t xml:space="preserve"> г. са в размер на </w:t>
      </w:r>
      <w:r w:rsidRPr="00AB241B">
        <w:rPr>
          <w:b/>
          <w:lang w:val="ru-RU"/>
        </w:rPr>
        <w:t>47</w:t>
      </w:r>
      <w:r w:rsidRPr="00E90EFF">
        <w:rPr>
          <w:b/>
        </w:rPr>
        <w:t>,8 млн. </w:t>
      </w:r>
      <w:r w:rsidRPr="00440D5B">
        <w:rPr>
          <w:b/>
        </w:rPr>
        <w:t>лв.</w:t>
      </w:r>
      <w:r w:rsidRPr="00440D5B">
        <w:t xml:space="preserve"> и представляват лихви по емисии на ДЦК на вътрешния пазар. </w:t>
      </w:r>
    </w:p>
    <w:p w14:paraId="4FF02C39" w14:textId="77777777" w:rsidR="00772EF8" w:rsidRPr="00772EF8" w:rsidRDefault="00772EF8" w:rsidP="00772EF8">
      <w:pPr>
        <w:pStyle w:val="ListParagraph"/>
        <w:numPr>
          <w:ilvl w:val="0"/>
          <w:numId w:val="22"/>
        </w:numPr>
        <w:tabs>
          <w:tab w:val="left" w:pos="426"/>
        </w:tabs>
        <w:spacing w:before="120" w:after="60" w:line="240" w:lineRule="auto"/>
        <w:ind w:left="0" w:firstLine="0"/>
        <w:contextualSpacing w:val="0"/>
        <w:rPr>
          <w:rFonts w:ascii="Times New Roman" w:hAnsi="Times New Roman"/>
          <w:b/>
          <w:bCs/>
        </w:rPr>
      </w:pPr>
      <w:r w:rsidRPr="00772EF8">
        <w:rPr>
          <w:rFonts w:ascii="Times New Roman" w:hAnsi="Times New Roman"/>
          <w:b/>
          <w:bCs/>
        </w:rPr>
        <w:t>Нетният размер на трансферите по държавния бюджет</w:t>
      </w:r>
      <w:r w:rsidRPr="00772EF8">
        <w:rPr>
          <w:rFonts w:ascii="Times New Roman" w:hAnsi="Times New Roman"/>
          <w:bCs/>
        </w:rPr>
        <w:t xml:space="preserve">  към март 2023</w:t>
      </w:r>
      <w:r w:rsidRPr="00772EF8">
        <w:rPr>
          <w:rFonts w:ascii="Times New Roman" w:hAnsi="Times New Roman"/>
        </w:rPr>
        <w:t xml:space="preserve"> г.</w:t>
      </w:r>
      <w:r w:rsidRPr="00772EF8">
        <w:rPr>
          <w:rFonts w:ascii="Times New Roman" w:hAnsi="Times New Roman"/>
          <w:bCs/>
        </w:rPr>
        <w:t xml:space="preserve"> е</w:t>
      </w:r>
      <w:r w:rsidRPr="00772EF8">
        <w:rPr>
          <w:rFonts w:ascii="Times New Roman" w:hAnsi="Times New Roman"/>
          <w:b/>
          <w:bCs/>
        </w:rPr>
        <w:t xml:space="preserve"> 5 365,2</w:t>
      </w:r>
      <w:r w:rsidRPr="00772EF8">
        <w:rPr>
          <w:rFonts w:ascii="Times New Roman" w:eastAsia="Calibri" w:hAnsi="Times New Roman"/>
          <w:b/>
        </w:rPr>
        <w:t> </w:t>
      </w:r>
      <w:r w:rsidRPr="00772EF8">
        <w:rPr>
          <w:rFonts w:ascii="Times New Roman" w:hAnsi="Times New Roman"/>
          <w:b/>
          <w:bCs/>
        </w:rPr>
        <w:t xml:space="preserve">млн. лв.,  </w:t>
      </w:r>
      <w:r w:rsidRPr="00772EF8">
        <w:rPr>
          <w:rFonts w:ascii="Times New Roman" w:hAnsi="Times New Roman"/>
          <w:bCs/>
        </w:rPr>
        <w:t>в т.ч.:</w:t>
      </w:r>
      <w:r w:rsidRPr="00772EF8">
        <w:rPr>
          <w:rFonts w:ascii="Times New Roman" w:hAnsi="Times New Roman"/>
          <w:b/>
          <w:bCs/>
        </w:rPr>
        <w:t xml:space="preserve"> </w:t>
      </w:r>
    </w:p>
    <w:p w14:paraId="4BDD5F46" w14:textId="77777777" w:rsidR="00772EF8" w:rsidRPr="00802AE6" w:rsidRDefault="00772EF8" w:rsidP="00772EF8">
      <w:pPr>
        <w:numPr>
          <w:ilvl w:val="0"/>
          <w:numId w:val="18"/>
        </w:numPr>
        <w:tabs>
          <w:tab w:val="clear" w:pos="700"/>
          <w:tab w:val="left" w:pos="180"/>
          <w:tab w:val="num" w:pos="540"/>
          <w:tab w:val="num" w:pos="1495"/>
          <w:tab w:val="num" w:pos="9858"/>
        </w:tabs>
        <w:ind w:left="538" w:hanging="357"/>
        <w:jc w:val="both"/>
        <w:rPr>
          <w:color w:val="0070C0"/>
        </w:rPr>
      </w:pPr>
      <w:r w:rsidRPr="00772EF8">
        <w:t>бюджетните  взаимоотношения  с  общините  включват  нето трансфери  и временни</w:t>
      </w:r>
      <w:r w:rsidRPr="00DF25FA">
        <w:t xml:space="preserve"> безлихвени заеми в  размер  на 2 090,4 млн. лв.,</w:t>
      </w:r>
      <w:r w:rsidRPr="00DF25FA">
        <w:rPr>
          <w:lang w:val="ru-RU"/>
        </w:rPr>
        <w:t xml:space="preserve"> </w:t>
      </w:r>
      <w:r w:rsidRPr="00DF25FA">
        <w:t>от които субсидии от централния бюджет в размер на 1 824,9 млн. лв., други целеви трансфери от централния бюджет в размер на 110,3 млн. лв., нетни трансфери от/за други бюджети в размер на 162,9 млн. лв. и възстановени трансфери от предходни години в централния бюджет – 7,8 млн. лева;</w:t>
      </w:r>
    </w:p>
    <w:p w14:paraId="069CCEBC" w14:textId="35EE3A4E" w:rsidR="00772EF8" w:rsidRPr="00FE531D" w:rsidRDefault="00772EF8" w:rsidP="001F200A">
      <w:pPr>
        <w:numPr>
          <w:ilvl w:val="0"/>
          <w:numId w:val="18"/>
        </w:numPr>
        <w:tabs>
          <w:tab w:val="left" w:pos="180"/>
          <w:tab w:val="num" w:pos="1495"/>
          <w:tab w:val="num" w:pos="9858"/>
        </w:tabs>
        <w:jc w:val="both"/>
      </w:pPr>
      <w:r w:rsidRPr="00FE531D">
        <w:t xml:space="preserve">на социалноосигурителните фондове (нето) – 2 946,2 млн. </w:t>
      </w:r>
      <w:r w:rsidR="001F200A" w:rsidRPr="001F200A">
        <w:t>лева</w:t>
      </w:r>
      <w:r w:rsidRPr="00FE531D">
        <w:t>;</w:t>
      </w:r>
    </w:p>
    <w:p w14:paraId="48B3AEA7" w14:textId="2A74A665" w:rsidR="00772EF8" w:rsidRPr="00FE531D" w:rsidRDefault="00772EF8" w:rsidP="001F200A">
      <w:pPr>
        <w:numPr>
          <w:ilvl w:val="0"/>
          <w:numId w:val="18"/>
        </w:numPr>
        <w:tabs>
          <w:tab w:val="left" w:pos="180"/>
          <w:tab w:val="num" w:pos="1495"/>
          <w:tab w:val="num" w:pos="9858"/>
        </w:tabs>
        <w:jc w:val="both"/>
      </w:pPr>
      <w:r w:rsidRPr="00FE531D">
        <w:t xml:space="preserve">на други автономни бюджети (ДВУ, БАН, ССА, БНТ, БНР и БТА) – 247,7 млн. </w:t>
      </w:r>
      <w:r w:rsidR="001F200A" w:rsidRPr="001F200A">
        <w:t>лева</w:t>
      </w:r>
      <w:r w:rsidRPr="00FE531D">
        <w:t>.</w:t>
      </w:r>
    </w:p>
    <w:p w14:paraId="30402AE4" w14:textId="77777777" w:rsidR="00772EF8" w:rsidRPr="00B350B5" w:rsidRDefault="00772EF8" w:rsidP="00772EF8">
      <w:pPr>
        <w:numPr>
          <w:ilvl w:val="0"/>
          <w:numId w:val="6"/>
        </w:numPr>
        <w:tabs>
          <w:tab w:val="clear" w:pos="7650"/>
          <w:tab w:val="left" w:pos="426"/>
        </w:tabs>
        <w:spacing w:before="120"/>
        <w:ind w:left="0" w:firstLine="0"/>
        <w:jc w:val="both"/>
        <w:rPr>
          <w:bCs/>
        </w:rPr>
      </w:pPr>
      <w:r w:rsidRPr="00FE531D">
        <w:t>Частта от</w:t>
      </w:r>
      <w:r w:rsidRPr="00FE531D">
        <w:rPr>
          <w:b/>
        </w:rPr>
        <w:t xml:space="preserve"> вноската на Република България в общия бюджет на ЕС, </w:t>
      </w:r>
      <w:r w:rsidRPr="00FE531D">
        <w:t xml:space="preserve">изплатена </w:t>
      </w:r>
      <w:r w:rsidRPr="00B350B5">
        <w:t>към 31.03.2023 г. от централния бюджет, възлиза на</w:t>
      </w:r>
      <w:r w:rsidRPr="00B350B5">
        <w:rPr>
          <w:b/>
        </w:rPr>
        <w:t xml:space="preserve"> 455,2 млн. лева.</w:t>
      </w:r>
      <w:r w:rsidRPr="00B350B5">
        <w:t xml:space="preserve"> </w:t>
      </w:r>
    </w:p>
    <w:p w14:paraId="28BA27B9" w14:textId="77777777" w:rsidR="00772EF8" w:rsidRPr="00C81118" w:rsidRDefault="00772EF8" w:rsidP="00772EF8">
      <w:pPr>
        <w:numPr>
          <w:ilvl w:val="0"/>
          <w:numId w:val="6"/>
        </w:numPr>
        <w:tabs>
          <w:tab w:val="clear" w:pos="7650"/>
          <w:tab w:val="num" w:pos="426"/>
        </w:tabs>
        <w:spacing w:before="240" w:after="240"/>
        <w:ind w:left="0" w:firstLine="0"/>
        <w:jc w:val="both"/>
        <w:rPr>
          <w:sz w:val="16"/>
          <w:szCs w:val="16"/>
        </w:rPr>
      </w:pPr>
      <w:r w:rsidRPr="00C81118">
        <w:rPr>
          <w:b/>
        </w:rPr>
        <w:t>Бюджетното салдо по държавния бюджет</w:t>
      </w:r>
      <w:r w:rsidRPr="00C81118">
        <w:t xml:space="preserve"> към </w:t>
      </w:r>
      <w:r w:rsidRPr="00C81118">
        <w:rPr>
          <w:lang w:val="ru-RU"/>
        </w:rPr>
        <w:t>31.03.2023</w:t>
      </w:r>
      <w:r w:rsidRPr="00C81118">
        <w:t xml:space="preserve"> г. </w:t>
      </w:r>
      <w:r w:rsidRPr="00C81118">
        <w:rPr>
          <w:b/>
        </w:rPr>
        <w:t>е отрицателно</w:t>
      </w:r>
      <w:r w:rsidRPr="00C81118">
        <w:t xml:space="preserve"> в размер на </w:t>
      </w:r>
      <w:r w:rsidRPr="00A931F5">
        <w:rPr>
          <w:b/>
        </w:rPr>
        <w:t>1 691,7 млн. лева</w:t>
      </w:r>
      <w:r w:rsidRPr="00C81118">
        <w:t xml:space="preserve">. </w:t>
      </w:r>
    </w:p>
    <w:p w14:paraId="0892B535" w14:textId="77777777" w:rsidR="00772EF8" w:rsidRPr="009B687C" w:rsidRDefault="00772EF8" w:rsidP="00772EF8">
      <w:pPr>
        <w:numPr>
          <w:ilvl w:val="0"/>
          <w:numId w:val="6"/>
        </w:numPr>
        <w:tabs>
          <w:tab w:val="clear" w:pos="7650"/>
          <w:tab w:val="num" w:pos="426"/>
        </w:tabs>
        <w:spacing w:before="240" w:after="240"/>
        <w:ind w:left="0" w:firstLine="0"/>
        <w:jc w:val="both"/>
        <w:rPr>
          <w:b/>
        </w:rPr>
      </w:pPr>
      <w:r w:rsidRPr="009B687C">
        <w:rPr>
          <w:b/>
        </w:rPr>
        <w:t>Финансиране на бюджета чрез операции по дълга</w:t>
      </w:r>
    </w:p>
    <w:p w14:paraId="7F3E734A" w14:textId="77777777" w:rsidR="00772EF8" w:rsidRPr="009A3EC4" w:rsidRDefault="00772EF8" w:rsidP="00772EF8">
      <w:pPr>
        <w:spacing w:after="120"/>
        <w:jc w:val="both"/>
      </w:pPr>
      <w:r w:rsidRPr="000F36C2">
        <w:t>Към 31.03.2023 г. е отчетено положително нетно външно финансиране по централния бюджет в размер на 672,6 млн. лева.</w:t>
      </w:r>
    </w:p>
    <w:p w14:paraId="19D9D133" w14:textId="77777777" w:rsidR="00772EF8" w:rsidRPr="00DE6271" w:rsidRDefault="00772EF8" w:rsidP="00772EF8">
      <w:pPr>
        <w:spacing w:after="120"/>
        <w:jc w:val="both"/>
      </w:pPr>
      <w:r w:rsidRPr="00474FAB">
        <w:rPr>
          <w:b/>
        </w:rPr>
        <w:t>Постъпленията по централния бюджет</w:t>
      </w:r>
      <w:r w:rsidRPr="00474FAB">
        <w:t xml:space="preserve"> възлизат на 2 869,6 млн. лв. - на 23.01.2023 г. постъпиха средствата от емитирания единичен транш - 10-годишни еврови облигации по Средносрочната глобална програма за емитиране на дълг в размер от 1,5 млрд. евро </w:t>
      </w:r>
      <w:r w:rsidRPr="00DE6271">
        <w:t>номинална стойност, при лихвен купон 4,5 % и доходност 4,78</w:t>
      </w:r>
      <w:r w:rsidRPr="00DE6271">
        <w:rPr>
          <w:lang w:val="ru-RU"/>
        </w:rPr>
        <w:t xml:space="preserve"> %</w:t>
      </w:r>
      <w:r w:rsidRPr="00DE6271">
        <w:t>.</w:t>
      </w:r>
    </w:p>
    <w:p w14:paraId="543B59FB" w14:textId="77777777" w:rsidR="00772EF8" w:rsidRDefault="00772EF8" w:rsidP="00772EF8">
      <w:pPr>
        <w:spacing w:after="120"/>
        <w:jc w:val="both"/>
      </w:pPr>
      <w:r w:rsidRPr="00DE6271">
        <w:rPr>
          <w:b/>
        </w:rPr>
        <w:t>Извършените погашения от централен бюджет възлизат на</w:t>
      </w:r>
      <w:r w:rsidRPr="00DE6271">
        <w:t xml:space="preserve"> </w:t>
      </w:r>
      <w:r w:rsidRPr="00DE6271">
        <w:rPr>
          <w:b/>
        </w:rPr>
        <w:t>2 197,0 млн. лв.</w:t>
      </w:r>
      <w:r>
        <w:rPr>
          <w:b/>
        </w:rPr>
        <w:t xml:space="preserve"> </w:t>
      </w:r>
      <w:r w:rsidRPr="00BD64C7">
        <w:t>(главница),</w:t>
      </w:r>
      <w:r w:rsidRPr="00BD64C7">
        <w:rPr>
          <w:b/>
        </w:rPr>
        <w:t xml:space="preserve"> </w:t>
      </w:r>
      <w:r w:rsidRPr="00BD64C7">
        <w:t>като на 21 март са изплатени 1 144 млн. евро номинална стойност в полза на държателите на седемгодишни еврооблигации на Република България, които са част от емитираните през март 2016 г. на международните капиталови пазари два транша облигации по средносрочната програма за емитиране на дълг на външните пазари</w:t>
      </w:r>
      <w:r>
        <w:t>.</w:t>
      </w:r>
    </w:p>
    <w:p w14:paraId="03F7E4D4" w14:textId="77777777" w:rsidR="00772EF8" w:rsidRPr="003F575F" w:rsidRDefault="00772EF8" w:rsidP="00772EF8">
      <w:pPr>
        <w:spacing w:before="120" w:after="120"/>
        <w:jc w:val="both"/>
      </w:pPr>
      <w:r w:rsidRPr="003F575F">
        <w:t xml:space="preserve">По </w:t>
      </w:r>
      <w:r w:rsidRPr="003F575F">
        <w:rPr>
          <w:b/>
        </w:rPr>
        <w:t xml:space="preserve">държавните инвестиционни заеми </w:t>
      </w:r>
      <w:r w:rsidRPr="003F575F">
        <w:t xml:space="preserve">(ДИЗ), управлявани от министерства и ведомства, през отчетния период няма </w:t>
      </w:r>
      <w:r w:rsidRPr="003F575F">
        <w:rPr>
          <w:b/>
          <w:i/>
        </w:rPr>
        <w:t>усвоени</w:t>
      </w:r>
      <w:r w:rsidRPr="003F575F">
        <w:t xml:space="preserve"> средства. </w:t>
      </w:r>
    </w:p>
    <w:p w14:paraId="5812490B" w14:textId="77777777" w:rsidR="00772EF8" w:rsidRPr="006F622B" w:rsidRDefault="00772EF8" w:rsidP="00772EF8">
      <w:pPr>
        <w:spacing w:after="120"/>
        <w:jc w:val="both"/>
      </w:pPr>
      <w:r w:rsidRPr="00D57BFF">
        <w:rPr>
          <w:b/>
          <w:i/>
        </w:rPr>
        <w:t>Изплатените погашения</w:t>
      </w:r>
      <w:r w:rsidRPr="00D57BFF">
        <w:t xml:space="preserve"> по ДИЗ, управлявани от министерства и ведомства, са в размер на </w:t>
      </w:r>
      <w:r w:rsidRPr="00D57BFF">
        <w:rPr>
          <w:lang w:val="ru-RU"/>
        </w:rPr>
        <w:t>15,6</w:t>
      </w:r>
      <w:r w:rsidRPr="00D57BFF">
        <w:t xml:space="preserve"> млн. лв. По заемите с краен бенефициент търговско дружество извършените погашения </w:t>
      </w:r>
      <w:r w:rsidRPr="006F622B">
        <w:t xml:space="preserve">са в размер на 0,3 млн. лева. </w:t>
      </w:r>
    </w:p>
    <w:p w14:paraId="50891565" w14:textId="77777777" w:rsidR="00772EF8" w:rsidRPr="006F622B" w:rsidRDefault="00772EF8" w:rsidP="00772EF8">
      <w:pPr>
        <w:spacing w:after="120"/>
        <w:jc w:val="both"/>
      </w:pPr>
      <w:r w:rsidRPr="006F622B">
        <w:t>Не са използвани средства, предвидени за покриване на риска от активиране на държавни гаранции.</w:t>
      </w:r>
    </w:p>
    <w:p w14:paraId="36069AD5" w14:textId="77777777" w:rsidR="00772EF8" w:rsidRPr="00B57E46" w:rsidRDefault="00772EF8" w:rsidP="00772EF8">
      <w:pPr>
        <w:spacing w:after="60"/>
        <w:jc w:val="both"/>
      </w:pPr>
      <w:r w:rsidRPr="00B57E46">
        <w:t xml:space="preserve">Операции с </w:t>
      </w:r>
      <w:r w:rsidRPr="00B57E46">
        <w:rPr>
          <w:b/>
        </w:rPr>
        <w:t xml:space="preserve">държавни ценни книжа </w:t>
      </w:r>
      <w:r w:rsidRPr="00B57E46">
        <w:t xml:space="preserve">по централния бюджет </w:t>
      </w:r>
      <w:r w:rsidRPr="00B57E46">
        <w:rPr>
          <w:b/>
        </w:rPr>
        <w:t>(позиция във вътрешното финансиране):</w:t>
      </w:r>
      <w:r w:rsidRPr="00B57E46">
        <w:t xml:space="preserve"> </w:t>
      </w:r>
      <w:r w:rsidRPr="00F71A01">
        <w:t>Към 31 март 2023 г. не са провеждани аукциони на емисии ДЦК за финансиране на бюджета, както и няма извършени погашения по вътрешния дълг.</w:t>
      </w:r>
    </w:p>
    <w:p w14:paraId="68DF9049" w14:textId="77777777" w:rsidR="0004753C" w:rsidRPr="00F94C99" w:rsidRDefault="0004753C" w:rsidP="00ED2B9A">
      <w:pPr>
        <w:pStyle w:val="Heading1"/>
        <w:numPr>
          <w:ilvl w:val="1"/>
          <w:numId w:val="9"/>
        </w:numPr>
        <w:spacing w:before="240" w:after="120"/>
        <w:ind w:right="-108" w:hanging="357"/>
        <w:jc w:val="both"/>
        <w:rPr>
          <w:sz w:val="24"/>
        </w:rPr>
      </w:pPr>
      <w:r w:rsidRPr="00F94C99">
        <w:rPr>
          <w:sz w:val="24"/>
        </w:rPr>
        <w:t>Бюджет на съдебната власт</w:t>
      </w:r>
    </w:p>
    <w:p w14:paraId="63AF3BED" w14:textId="49B9F4F0" w:rsidR="002763DB" w:rsidRPr="00337851" w:rsidRDefault="002763DB" w:rsidP="00B5493B">
      <w:pPr>
        <w:jc w:val="both"/>
      </w:pPr>
      <w:r w:rsidRPr="00337851">
        <w:t xml:space="preserve">За </w:t>
      </w:r>
      <w:r w:rsidR="00337851" w:rsidRPr="00337851">
        <w:t xml:space="preserve">първо тримесечие </w:t>
      </w:r>
      <w:r w:rsidRPr="00337851">
        <w:t>на 202</w:t>
      </w:r>
      <w:r w:rsidR="00337851" w:rsidRPr="00337851">
        <w:t>3</w:t>
      </w:r>
      <w:r w:rsidRPr="00337851">
        <w:t xml:space="preserve"> г.</w:t>
      </w:r>
      <w:r w:rsidR="00337851" w:rsidRPr="00337851">
        <w:t xml:space="preserve"> по бюджета на съдебната власт</w:t>
      </w:r>
      <w:r w:rsidRPr="00337851">
        <w:t xml:space="preserve"> са отчетени </w:t>
      </w:r>
      <w:r w:rsidRPr="00823B36">
        <w:rPr>
          <w:b/>
        </w:rPr>
        <w:t>приходи</w:t>
      </w:r>
      <w:r w:rsidRPr="00337851">
        <w:t xml:space="preserve"> в размер на </w:t>
      </w:r>
      <w:r w:rsidR="00337851" w:rsidRPr="00337851">
        <w:t>22</w:t>
      </w:r>
      <w:r w:rsidR="00690B2B" w:rsidRPr="00337851">
        <w:t>,</w:t>
      </w:r>
      <w:r w:rsidR="00337851" w:rsidRPr="00337851">
        <w:t>2</w:t>
      </w:r>
      <w:r w:rsidRPr="00337851">
        <w:t xml:space="preserve"> млн</w:t>
      </w:r>
      <w:r w:rsidR="00337851" w:rsidRPr="00337851">
        <w:t>. лв.</w:t>
      </w:r>
      <w:r w:rsidRPr="00337851">
        <w:t xml:space="preserve">, от които </w:t>
      </w:r>
      <w:r w:rsidR="00337851" w:rsidRPr="00337851">
        <w:t>18</w:t>
      </w:r>
      <w:r w:rsidR="00690B2B" w:rsidRPr="00337851">
        <w:t>,</w:t>
      </w:r>
      <w:r w:rsidR="00337851" w:rsidRPr="00337851">
        <w:t>2</w:t>
      </w:r>
      <w:r w:rsidR="00074744" w:rsidRPr="00337851">
        <w:t> </w:t>
      </w:r>
      <w:r w:rsidRPr="00337851">
        <w:t xml:space="preserve">млн. лв. - приходи от съдебни такси. За сравнение, към </w:t>
      </w:r>
      <w:r w:rsidR="00074744" w:rsidRPr="00337851">
        <w:t>3</w:t>
      </w:r>
      <w:r w:rsidR="00337851" w:rsidRPr="00337851">
        <w:t>1</w:t>
      </w:r>
      <w:r w:rsidRPr="00337851">
        <w:t>.</w:t>
      </w:r>
      <w:r w:rsidR="00074744" w:rsidRPr="00337851">
        <w:t>0</w:t>
      </w:r>
      <w:r w:rsidR="00337851" w:rsidRPr="00337851">
        <w:t>3</w:t>
      </w:r>
      <w:r w:rsidRPr="00337851">
        <w:t>.202</w:t>
      </w:r>
      <w:r w:rsidR="00337851" w:rsidRPr="00337851">
        <w:t>2</w:t>
      </w:r>
      <w:r w:rsidR="00337851">
        <w:t> </w:t>
      </w:r>
      <w:r w:rsidRPr="00337851">
        <w:t xml:space="preserve">г. са отчетени общо приходи в размер на </w:t>
      </w:r>
      <w:r w:rsidR="00337851" w:rsidRPr="00337851">
        <w:t>25</w:t>
      </w:r>
      <w:r w:rsidR="00690B2B" w:rsidRPr="00337851">
        <w:t>,</w:t>
      </w:r>
      <w:r w:rsidR="00337851" w:rsidRPr="00337851">
        <w:t>1 млн. лв.</w:t>
      </w:r>
      <w:r w:rsidRPr="00337851">
        <w:t xml:space="preserve">, от които </w:t>
      </w:r>
      <w:r w:rsidR="00337851" w:rsidRPr="00337851">
        <w:t>21</w:t>
      </w:r>
      <w:r w:rsidR="00690B2B" w:rsidRPr="00337851">
        <w:t>,</w:t>
      </w:r>
      <w:r w:rsidR="00337851" w:rsidRPr="00337851">
        <w:t>4</w:t>
      </w:r>
      <w:r w:rsidRPr="00337851">
        <w:t xml:space="preserve"> млн. лв. - приходи от съдебни такси.</w:t>
      </w:r>
    </w:p>
    <w:p w14:paraId="549AD328" w14:textId="423A9FBD" w:rsidR="002763DB" w:rsidRPr="00D7249D" w:rsidRDefault="002763DB" w:rsidP="00B5493B">
      <w:pPr>
        <w:tabs>
          <w:tab w:val="left" w:pos="90"/>
        </w:tabs>
        <w:spacing w:before="120"/>
        <w:jc w:val="both"/>
      </w:pPr>
      <w:r w:rsidRPr="00D7249D">
        <w:rPr>
          <w:b/>
        </w:rPr>
        <w:t xml:space="preserve">Разходите </w:t>
      </w:r>
      <w:r w:rsidRPr="00D7249D">
        <w:t>по бюджета на съдебната власт</w:t>
      </w:r>
      <w:r w:rsidRPr="00D7249D">
        <w:rPr>
          <w:b/>
        </w:rPr>
        <w:t xml:space="preserve"> </w:t>
      </w:r>
      <w:r w:rsidRPr="00D7249D">
        <w:t xml:space="preserve">към </w:t>
      </w:r>
      <w:r w:rsidR="00074744" w:rsidRPr="00D7249D">
        <w:t>3</w:t>
      </w:r>
      <w:r w:rsidR="00337851" w:rsidRPr="00D7249D">
        <w:t>1</w:t>
      </w:r>
      <w:r w:rsidRPr="00D7249D">
        <w:t>.</w:t>
      </w:r>
      <w:r w:rsidR="00074744" w:rsidRPr="00D7249D">
        <w:t>0</w:t>
      </w:r>
      <w:r w:rsidR="00337851" w:rsidRPr="00D7249D">
        <w:t>3</w:t>
      </w:r>
      <w:r w:rsidRPr="00D7249D">
        <w:t>.202</w:t>
      </w:r>
      <w:r w:rsidR="00337851" w:rsidRPr="00D7249D">
        <w:t>3</w:t>
      </w:r>
      <w:r w:rsidRPr="00D7249D">
        <w:t xml:space="preserve"> г.</w:t>
      </w:r>
      <w:r w:rsidRPr="00D7249D">
        <w:rPr>
          <w:b/>
        </w:rPr>
        <w:t xml:space="preserve"> </w:t>
      </w:r>
      <w:r w:rsidRPr="00D7249D">
        <w:t xml:space="preserve">са в размер на </w:t>
      </w:r>
      <w:r w:rsidR="00337851" w:rsidRPr="00D7249D">
        <w:t>249</w:t>
      </w:r>
      <w:r w:rsidR="00B369D3" w:rsidRPr="00D7249D">
        <w:t>,</w:t>
      </w:r>
      <w:r w:rsidR="00337851" w:rsidRPr="00D7249D">
        <w:t>1</w:t>
      </w:r>
      <w:r w:rsidRPr="00D7249D">
        <w:t xml:space="preserve"> млн. лв.</w:t>
      </w:r>
      <w:r w:rsidR="00337851" w:rsidRPr="00D7249D">
        <w:t>,</w:t>
      </w:r>
      <w:r w:rsidRPr="00D7249D">
        <w:t xml:space="preserve"> </w:t>
      </w:r>
      <w:r w:rsidR="00337851" w:rsidRPr="00D7249D">
        <w:t xml:space="preserve">като с най-голям относителен дял от отчетените разходи са тези за персонал – 92,8 % (231,0 млн. лв.). </w:t>
      </w:r>
      <w:r w:rsidRPr="00D7249D">
        <w:t>За сравнение, през същия период на 202</w:t>
      </w:r>
      <w:r w:rsidR="00337851" w:rsidRPr="00D7249D">
        <w:t>2</w:t>
      </w:r>
      <w:r w:rsidRPr="00D7249D">
        <w:t xml:space="preserve"> г. са отчетени разходи в размер </w:t>
      </w:r>
      <w:r w:rsidR="00D7249D" w:rsidRPr="00D7249D">
        <w:t>182</w:t>
      </w:r>
      <w:r w:rsidR="00C57040" w:rsidRPr="00D7249D">
        <w:t>,</w:t>
      </w:r>
      <w:r w:rsidR="00D7249D" w:rsidRPr="00D7249D">
        <w:t>3</w:t>
      </w:r>
      <w:r w:rsidRPr="00D7249D">
        <w:t xml:space="preserve"> млн. л</w:t>
      </w:r>
      <w:r w:rsidR="00D7249D" w:rsidRPr="00D7249D">
        <w:t>е</w:t>
      </w:r>
      <w:r w:rsidRPr="00D7249D">
        <w:t>в</w:t>
      </w:r>
      <w:r w:rsidR="00D7249D" w:rsidRPr="00D7249D">
        <w:t>а</w:t>
      </w:r>
      <w:r w:rsidRPr="00D7249D">
        <w:t>.</w:t>
      </w:r>
    </w:p>
    <w:p w14:paraId="52A37A20" w14:textId="56BF7158" w:rsidR="00F521AA" w:rsidRPr="00AB241B" w:rsidRDefault="00F521AA" w:rsidP="00ED2B9A">
      <w:pPr>
        <w:pStyle w:val="Heading1"/>
        <w:numPr>
          <w:ilvl w:val="0"/>
          <w:numId w:val="9"/>
        </w:numPr>
        <w:tabs>
          <w:tab w:val="left" w:pos="90"/>
          <w:tab w:val="left" w:pos="993"/>
        </w:tabs>
        <w:spacing w:before="240" w:after="120"/>
        <w:ind w:left="0" w:right="-108" w:firstLine="567"/>
        <w:jc w:val="both"/>
        <w:rPr>
          <w:sz w:val="24"/>
        </w:rPr>
      </w:pPr>
      <w:r w:rsidRPr="00AB241B">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14:paraId="6490FA3C" w14:textId="2862E6CF" w:rsidR="00F521AA" w:rsidRPr="00AB241B" w:rsidRDefault="00F521AA" w:rsidP="00ED2B9A">
      <w:pPr>
        <w:pStyle w:val="Heading1"/>
        <w:numPr>
          <w:ilvl w:val="1"/>
          <w:numId w:val="9"/>
        </w:numPr>
        <w:tabs>
          <w:tab w:val="left" w:pos="90"/>
          <w:tab w:val="left" w:pos="993"/>
        </w:tabs>
        <w:spacing w:after="120"/>
        <w:ind w:left="0" w:right="-108" w:firstLine="567"/>
        <w:jc w:val="both"/>
        <w:rPr>
          <w:sz w:val="24"/>
        </w:rPr>
      </w:pPr>
      <w:r w:rsidRPr="00AB241B">
        <w:rPr>
          <w:sz w:val="24"/>
        </w:rPr>
        <w:t xml:space="preserve"> Сметка за Европейски средства на Разплащателна агенция </w:t>
      </w:r>
      <w:r w:rsidR="00924745" w:rsidRPr="00AB241B">
        <w:rPr>
          <w:sz w:val="24"/>
        </w:rPr>
        <w:t xml:space="preserve">ДФ „Земеделие“ </w:t>
      </w:r>
      <w:r w:rsidRPr="00AB241B">
        <w:rPr>
          <w:sz w:val="24"/>
        </w:rPr>
        <w:t xml:space="preserve"> </w:t>
      </w:r>
    </w:p>
    <w:p w14:paraId="37500243" w14:textId="77777777" w:rsidR="00063CF1" w:rsidRPr="00AB241B" w:rsidRDefault="00063CF1" w:rsidP="00ED2B9A">
      <w:pPr>
        <w:numPr>
          <w:ilvl w:val="0"/>
          <w:numId w:val="20"/>
        </w:numPr>
        <w:tabs>
          <w:tab w:val="left" w:pos="90"/>
          <w:tab w:val="num" w:pos="540"/>
        </w:tabs>
        <w:spacing w:before="120" w:after="120" w:line="276" w:lineRule="auto"/>
        <w:ind w:left="0" w:firstLine="567"/>
        <w:contextualSpacing/>
        <w:jc w:val="both"/>
        <w:rPr>
          <w:b/>
          <w:lang w:eastAsia="bg-BG"/>
        </w:rPr>
      </w:pPr>
      <w:r w:rsidRPr="00AB241B">
        <w:rPr>
          <w:b/>
          <w:lang w:eastAsia="bg-BG"/>
        </w:rPr>
        <w:t>Приходи</w:t>
      </w:r>
    </w:p>
    <w:p w14:paraId="331CB4D8" w14:textId="77777777" w:rsidR="00AB241B" w:rsidRPr="004C4397" w:rsidRDefault="00AB241B" w:rsidP="00AB241B">
      <w:pPr>
        <w:tabs>
          <w:tab w:val="left" w:pos="90"/>
        </w:tabs>
        <w:ind w:firstLine="567"/>
        <w:jc w:val="both"/>
      </w:pPr>
      <w:r w:rsidRPr="004C4397">
        <w:t xml:space="preserve">Към 31.03.2023 г. постъпленията по сметката за средства от ЕС на РА към ДФЗ са в размер на 94,2 млн. лева. </w:t>
      </w:r>
      <w:r w:rsidRPr="004C4397">
        <w:rPr>
          <w:rFonts w:eastAsiaTheme="minorHAnsi"/>
        </w:rPr>
        <w:t>Приходната част е формирана от помощи и дарения от чужбина, приходи от наказателни лихви и коректив на касови постъпления, разпределени както следва:</w:t>
      </w:r>
    </w:p>
    <w:p w14:paraId="6F5281DC" w14:textId="77777777" w:rsidR="00AB241B" w:rsidRPr="004C4397" w:rsidRDefault="00AB241B" w:rsidP="00AB241B">
      <w:pPr>
        <w:numPr>
          <w:ilvl w:val="0"/>
          <w:numId w:val="19"/>
        </w:numPr>
        <w:tabs>
          <w:tab w:val="left" w:pos="90"/>
          <w:tab w:val="left" w:pos="993"/>
        </w:tabs>
        <w:spacing w:before="120" w:after="120" w:line="276" w:lineRule="auto"/>
        <w:ind w:left="0" w:firstLine="567"/>
        <w:jc w:val="both"/>
        <w:rPr>
          <w:b/>
          <w:i/>
        </w:rPr>
      </w:pPr>
      <w:r w:rsidRPr="004C4397">
        <w:rPr>
          <w:b/>
          <w:i/>
        </w:rPr>
        <w:t>Текущи помощи и дарения от Европейския съюз</w:t>
      </w:r>
    </w:p>
    <w:p w14:paraId="4B4CB907" w14:textId="77777777" w:rsidR="00AB241B" w:rsidRPr="004C4397" w:rsidRDefault="00AB241B" w:rsidP="00AB241B">
      <w:pPr>
        <w:ind w:firstLine="567"/>
        <w:jc w:val="both"/>
      </w:pPr>
      <w:r w:rsidRPr="004C4397">
        <w:t xml:space="preserve">Общият размер на получените приходи, отчетени в „Текущи помощи и дарения от Европейския съюз“ към 31.03.2023 г. е 24,6 млн. лева. </w:t>
      </w:r>
    </w:p>
    <w:p w14:paraId="59630ECB" w14:textId="77777777" w:rsidR="00AB241B" w:rsidRPr="00296E13" w:rsidRDefault="00AB241B" w:rsidP="00AB241B">
      <w:pPr>
        <w:ind w:firstLine="567"/>
        <w:jc w:val="both"/>
      </w:pPr>
      <w:r w:rsidRPr="00296E13">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w:t>
      </w:r>
      <w:r w:rsidRPr="00296E13">
        <w:rPr>
          <w:lang w:val="ru-RU"/>
        </w:rPr>
        <w:t>1</w:t>
      </w:r>
      <w:r w:rsidRPr="00296E13">
        <w:t>.0</w:t>
      </w:r>
      <w:r w:rsidRPr="00296E13">
        <w:rPr>
          <w:lang w:val="ru-RU"/>
        </w:rPr>
        <w:t>3</w:t>
      </w:r>
      <w:r w:rsidRPr="00296E13">
        <w:t>.202</w:t>
      </w:r>
      <w:r w:rsidRPr="00296E13">
        <w:rPr>
          <w:lang w:val="ru-RU"/>
        </w:rPr>
        <w:t>3</w:t>
      </w:r>
      <w:r w:rsidRPr="00296E13">
        <w:t xml:space="preserve"> г. възлизат на </w:t>
      </w:r>
      <w:r w:rsidRPr="00296E13">
        <w:rPr>
          <w:lang w:val="ru-RU"/>
        </w:rPr>
        <w:t>21</w:t>
      </w:r>
      <w:r w:rsidRPr="00296E13">
        <w:t>,7 млн. лева.</w:t>
      </w:r>
    </w:p>
    <w:p w14:paraId="483B6600" w14:textId="77777777" w:rsidR="00AB241B" w:rsidRPr="00296E13" w:rsidRDefault="00AB241B" w:rsidP="00AB241B">
      <w:pPr>
        <w:ind w:firstLine="567"/>
        <w:jc w:val="both"/>
      </w:pPr>
      <w:r w:rsidRPr="00296E13">
        <w:t xml:space="preserve">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31.03.2023 г. са 1,5 млн. лева. </w:t>
      </w:r>
    </w:p>
    <w:p w14:paraId="29C4E930" w14:textId="77777777" w:rsidR="00AB241B" w:rsidRPr="00296E13" w:rsidRDefault="00AB241B" w:rsidP="00AB241B">
      <w:pPr>
        <w:ind w:firstLine="567"/>
        <w:jc w:val="both"/>
      </w:pPr>
      <w:r w:rsidRPr="00296E13">
        <w:t>През първото тримесечие на 2023 г. са получени 1,4 млн. лв. текущи приходи от възстановяване от Европейския фонд за морско дело и рибарство (ЕФМДР</w:t>
      </w:r>
      <w:r w:rsidRPr="00296E13">
        <w:rPr>
          <w:lang w:val="ru-RU"/>
        </w:rPr>
        <w:t>).</w:t>
      </w:r>
      <w:r w:rsidRPr="00296E13">
        <w:t xml:space="preserve"> </w:t>
      </w:r>
    </w:p>
    <w:p w14:paraId="0232B274" w14:textId="77777777" w:rsidR="00AB241B" w:rsidRPr="00296E13" w:rsidRDefault="00AB241B" w:rsidP="00AB241B">
      <w:pPr>
        <w:numPr>
          <w:ilvl w:val="0"/>
          <w:numId w:val="19"/>
        </w:numPr>
        <w:tabs>
          <w:tab w:val="left" w:pos="90"/>
          <w:tab w:val="left" w:pos="993"/>
        </w:tabs>
        <w:spacing w:before="120" w:after="120" w:line="276" w:lineRule="auto"/>
        <w:ind w:left="0" w:firstLine="567"/>
        <w:jc w:val="both"/>
        <w:rPr>
          <w:b/>
          <w:i/>
        </w:rPr>
      </w:pPr>
      <w:r w:rsidRPr="00296E13">
        <w:rPr>
          <w:b/>
          <w:i/>
        </w:rPr>
        <w:t>Капиталови помощи и дарения от Европейския съюз</w:t>
      </w:r>
    </w:p>
    <w:p w14:paraId="6DF4C1B6" w14:textId="77777777" w:rsidR="00AB241B" w:rsidRPr="006569F6" w:rsidRDefault="00AB241B" w:rsidP="00AB241B">
      <w:pPr>
        <w:ind w:firstLine="567"/>
        <w:jc w:val="both"/>
      </w:pPr>
      <w:r w:rsidRPr="006569F6">
        <w:t>Общият размер на получените приходи, отчетени в „Капиталови помощи и дарения от Европейския съюз“ към 31.03.2023 г. е 71,2 млн. лева.</w:t>
      </w:r>
    </w:p>
    <w:p w14:paraId="61B85E73" w14:textId="77777777" w:rsidR="00AB241B" w:rsidRPr="006569F6" w:rsidRDefault="00AB241B" w:rsidP="00AB241B">
      <w:pPr>
        <w:ind w:firstLine="567"/>
        <w:jc w:val="both"/>
      </w:pPr>
      <w:r w:rsidRPr="006569F6">
        <w:t>Получените капиталови приходи от ЕЗФРСР по линия на ПРСР без директни плащания към 31.03.2023 г. са 69,1 млн. лв., а от фонд Е</w:t>
      </w:r>
      <w:r w:rsidRPr="006569F6">
        <w:rPr>
          <w:rFonts w:eastAsiaTheme="minorHAnsi"/>
        </w:rPr>
        <w:t>ФМДР – 2,1 млн. лева.</w:t>
      </w:r>
    </w:p>
    <w:p w14:paraId="790C51F1" w14:textId="77777777" w:rsidR="00AB241B" w:rsidRPr="00DA1C77" w:rsidRDefault="00AB241B" w:rsidP="00AB241B">
      <w:pPr>
        <w:numPr>
          <w:ilvl w:val="0"/>
          <w:numId w:val="19"/>
        </w:numPr>
        <w:tabs>
          <w:tab w:val="left" w:pos="90"/>
          <w:tab w:val="left" w:pos="993"/>
        </w:tabs>
        <w:spacing w:before="120" w:after="120" w:line="276" w:lineRule="auto"/>
        <w:ind w:left="0" w:firstLine="567"/>
        <w:jc w:val="both"/>
        <w:rPr>
          <w:b/>
          <w:i/>
        </w:rPr>
      </w:pPr>
      <w:r w:rsidRPr="00DA1C77">
        <w:rPr>
          <w:b/>
          <w:i/>
        </w:rPr>
        <w:t>Приходи от наказателни лихви</w:t>
      </w:r>
    </w:p>
    <w:p w14:paraId="68B08787" w14:textId="77777777" w:rsidR="00AB241B" w:rsidRDefault="00AB241B" w:rsidP="00AB241B">
      <w:pPr>
        <w:tabs>
          <w:tab w:val="left" w:pos="993"/>
        </w:tabs>
        <w:spacing w:before="120" w:after="120"/>
        <w:ind w:firstLine="567"/>
        <w:jc w:val="both"/>
      </w:pPr>
      <w:r w:rsidRPr="00DA1C77">
        <w:t xml:space="preserve">През </w:t>
      </w:r>
      <w:r>
        <w:t>първото тримесечие</w:t>
      </w:r>
      <w:r w:rsidRPr="00DA1C77">
        <w:t xml:space="preserve"> на 202</w:t>
      </w:r>
      <w:r>
        <w:t>3</w:t>
      </w:r>
      <w:r w:rsidRPr="00DA1C77">
        <w:t xml:space="preserve"> г. са отчетени приходи от получени наказателни лихви, свързани с вземания за възстановяване на средства от ЕК в размер на 0,</w:t>
      </w:r>
      <w:r>
        <w:t>1</w:t>
      </w:r>
      <w:r w:rsidRPr="00DA1C77">
        <w:t xml:space="preserve"> млн. лева.</w:t>
      </w:r>
    </w:p>
    <w:p w14:paraId="574C4558" w14:textId="77777777" w:rsidR="00AB241B" w:rsidRPr="00DB743A" w:rsidRDefault="00AB241B" w:rsidP="00AB241B">
      <w:pPr>
        <w:numPr>
          <w:ilvl w:val="0"/>
          <w:numId w:val="19"/>
        </w:numPr>
        <w:tabs>
          <w:tab w:val="left" w:pos="90"/>
          <w:tab w:val="left" w:pos="993"/>
        </w:tabs>
        <w:spacing w:before="120" w:after="120" w:line="276" w:lineRule="auto"/>
        <w:ind w:left="0" w:firstLine="567"/>
        <w:jc w:val="both"/>
        <w:rPr>
          <w:b/>
          <w:i/>
        </w:rPr>
      </w:pPr>
      <w:r w:rsidRPr="00DB743A">
        <w:rPr>
          <w:b/>
          <w:i/>
        </w:rPr>
        <w:t xml:space="preserve">Коректив на касови постъпления </w:t>
      </w:r>
    </w:p>
    <w:p w14:paraId="240D321D" w14:textId="68281923" w:rsidR="00AB241B" w:rsidRPr="00DB743A" w:rsidRDefault="00AB241B" w:rsidP="00AB241B">
      <w:pPr>
        <w:jc w:val="both"/>
        <w:rPr>
          <w:bCs/>
          <w:iCs/>
        </w:rPr>
      </w:pPr>
      <w:r w:rsidRPr="00DB743A">
        <w:rPr>
          <w:bCs/>
          <w:iCs/>
        </w:rPr>
        <w:tab/>
        <w:t>Към 31.03.2023</w:t>
      </w:r>
      <w:r>
        <w:rPr>
          <w:bCs/>
          <w:iCs/>
        </w:rPr>
        <w:t xml:space="preserve"> </w:t>
      </w:r>
      <w:r w:rsidRPr="00DB743A">
        <w:rPr>
          <w:bCs/>
          <w:iCs/>
        </w:rPr>
        <w:t xml:space="preserve">г. отчетеният коректив на касови постъпления е </w:t>
      </w:r>
      <w:r>
        <w:rPr>
          <w:bCs/>
          <w:iCs/>
        </w:rPr>
        <w:t>в размер на</w:t>
      </w:r>
      <w:r w:rsidR="0092503F">
        <w:rPr>
          <w:bCs/>
          <w:iCs/>
        </w:rPr>
        <w:t xml:space="preserve">                              </w:t>
      </w:r>
      <w:r>
        <w:rPr>
          <w:bCs/>
          <w:iCs/>
        </w:rPr>
        <w:t xml:space="preserve"> </w:t>
      </w:r>
      <w:r w:rsidR="0092503F">
        <w:rPr>
          <w:bCs/>
          <w:iCs/>
        </w:rPr>
        <w:t>-</w:t>
      </w:r>
      <w:r w:rsidRPr="00DB743A">
        <w:rPr>
          <w:bCs/>
          <w:iCs/>
        </w:rPr>
        <w:t>1,7</w:t>
      </w:r>
      <w:r w:rsidR="003823D5">
        <w:rPr>
          <w:bCs/>
          <w:iCs/>
        </w:rPr>
        <w:t> </w:t>
      </w:r>
      <w:r w:rsidRPr="00DB743A">
        <w:rPr>
          <w:bCs/>
          <w:iCs/>
        </w:rPr>
        <w:t>млн.</w:t>
      </w:r>
      <w:r>
        <w:rPr>
          <w:bCs/>
          <w:iCs/>
        </w:rPr>
        <w:t> </w:t>
      </w:r>
      <w:r w:rsidRPr="00DB743A">
        <w:rPr>
          <w:bCs/>
          <w:iCs/>
        </w:rPr>
        <w:t>л</w:t>
      </w:r>
      <w:r>
        <w:rPr>
          <w:bCs/>
          <w:iCs/>
        </w:rPr>
        <w:t>е</w:t>
      </w:r>
      <w:r w:rsidRPr="00DB743A">
        <w:rPr>
          <w:bCs/>
          <w:iCs/>
        </w:rPr>
        <w:t>в</w:t>
      </w:r>
      <w:r>
        <w:rPr>
          <w:bCs/>
          <w:iCs/>
        </w:rPr>
        <w:t>а</w:t>
      </w:r>
      <w:r w:rsidRPr="00DB743A">
        <w:rPr>
          <w:bCs/>
          <w:iCs/>
        </w:rPr>
        <w:t>. Той е формиран от размера на принудително събрани суми от НАП, за които не е извършен превод на средства по сметката на ДФЗ-РА.</w:t>
      </w:r>
    </w:p>
    <w:p w14:paraId="294840A7" w14:textId="77777777" w:rsidR="00AB241B" w:rsidRPr="00C15913" w:rsidRDefault="00AB241B" w:rsidP="00AB241B">
      <w:pPr>
        <w:ind w:firstLine="567"/>
        <w:jc w:val="both"/>
        <w:rPr>
          <w:color w:val="0070C0"/>
          <w:sz w:val="10"/>
        </w:rPr>
      </w:pPr>
    </w:p>
    <w:p w14:paraId="53E51066" w14:textId="77777777" w:rsidR="00AB241B" w:rsidRPr="006D674C" w:rsidRDefault="00AB241B" w:rsidP="00AB241B">
      <w:pPr>
        <w:numPr>
          <w:ilvl w:val="0"/>
          <w:numId w:val="20"/>
        </w:numPr>
        <w:tabs>
          <w:tab w:val="num" w:pos="540"/>
        </w:tabs>
        <w:spacing w:before="120" w:after="120" w:line="276" w:lineRule="auto"/>
        <w:contextualSpacing/>
        <w:jc w:val="both"/>
        <w:rPr>
          <w:b/>
          <w:lang w:eastAsia="bg-BG"/>
        </w:rPr>
      </w:pPr>
      <w:r w:rsidRPr="006D674C">
        <w:rPr>
          <w:b/>
          <w:lang w:eastAsia="bg-BG"/>
        </w:rPr>
        <w:t xml:space="preserve">Разходи </w:t>
      </w:r>
    </w:p>
    <w:p w14:paraId="15B2E8B5" w14:textId="77777777" w:rsidR="00AB241B" w:rsidRPr="006D674C" w:rsidRDefault="00AB241B" w:rsidP="00AB241B">
      <w:pPr>
        <w:ind w:firstLine="567"/>
        <w:jc w:val="both"/>
      </w:pPr>
      <w:r w:rsidRPr="006D674C">
        <w:t>Към 31.03.2023 г. отчетените разходи на ДФЗ-РА възлизат на 68,9 млн. лв. и са разпределени, както следва:</w:t>
      </w:r>
    </w:p>
    <w:p w14:paraId="0B961E75" w14:textId="77777777" w:rsidR="00AB241B" w:rsidRPr="006D674C" w:rsidRDefault="00AB241B" w:rsidP="00AB241B">
      <w:pPr>
        <w:numPr>
          <w:ilvl w:val="0"/>
          <w:numId w:val="19"/>
        </w:numPr>
        <w:tabs>
          <w:tab w:val="left" w:pos="90"/>
          <w:tab w:val="left" w:pos="993"/>
        </w:tabs>
        <w:spacing w:before="120" w:after="120" w:line="276" w:lineRule="auto"/>
        <w:ind w:left="0" w:firstLine="567"/>
        <w:jc w:val="both"/>
        <w:rPr>
          <w:b/>
          <w:i/>
        </w:rPr>
      </w:pPr>
      <w:r w:rsidRPr="006D674C">
        <w:rPr>
          <w:b/>
          <w:i/>
        </w:rPr>
        <w:t>Субсидии и други текущи трансфери за нефинансови предприятия</w:t>
      </w:r>
    </w:p>
    <w:p w14:paraId="191B128C" w14:textId="77777777" w:rsidR="00AB241B" w:rsidRPr="0065420F" w:rsidRDefault="00AB241B" w:rsidP="00AB241B">
      <w:pPr>
        <w:ind w:firstLine="567"/>
        <w:jc w:val="both"/>
      </w:pPr>
      <w:r w:rsidRPr="0065420F">
        <w:t xml:space="preserve">Отчетените към 31.03.2023 г. средства са в размер на 44,8 млн. лева. </w:t>
      </w:r>
    </w:p>
    <w:p w14:paraId="3EA3467F" w14:textId="77777777" w:rsidR="00AB241B" w:rsidRPr="008F00AD" w:rsidRDefault="00AB241B" w:rsidP="00AB241B">
      <w:pPr>
        <w:ind w:firstLine="567"/>
        <w:jc w:val="both"/>
      </w:pPr>
      <w:r w:rsidRPr="008F00AD">
        <w:t>Изпълнението по дейности е както следва:</w:t>
      </w:r>
    </w:p>
    <w:p w14:paraId="18D45479" w14:textId="77777777" w:rsidR="00AB241B" w:rsidRPr="008F00AD" w:rsidRDefault="00AB241B" w:rsidP="00AB241B">
      <w:pPr>
        <w:ind w:firstLine="567"/>
        <w:contextualSpacing/>
        <w:jc w:val="both"/>
      </w:pPr>
      <w:r w:rsidRPr="008F00AD">
        <w:t>-  национално съфинансиране към ЕЗФРСР за директни плащания – 8,0 млн. лева;</w:t>
      </w:r>
    </w:p>
    <w:p w14:paraId="24B973BC" w14:textId="77777777" w:rsidR="00AB241B" w:rsidRPr="008F00AD" w:rsidRDefault="00AB241B" w:rsidP="00AB241B">
      <w:pPr>
        <w:ind w:firstLine="567"/>
        <w:contextualSpacing/>
        <w:jc w:val="both"/>
      </w:pPr>
      <w:r w:rsidRPr="008F00AD">
        <w:t>-  текущи субсидии по Програмата за развитие на селските райони – 22,3 млн. лева;</w:t>
      </w:r>
    </w:p>
    <w:p w14:paraId="7999BB99" w14:textId="77777777" w:rsidR="00AB241B" w:rsidRPr="008F00AD" w:rsidRDefault="00AB241B" w:rsidP="00AB241B">
      <w:pPr>
        <w:tabs>
          <w:tab w:val="left" w:pos="851"/>
          <w:tab w:val="left" w:pos="1134"/>
        </w:tabs>
        <w:ind w:firstLine="567"/>
        <w:contextualSpacing/>
        <w:jc w:val="both"/>
      </w:pPr>
      <w:r w:rsidRPr="008F00AD">
        <w:t>- текущи субсидии за пазарни мерки – 14,5 млн. лева.</w:t>
      </w:r>
    </w:p>
    <w:p w14:paraId="19BEE7A7" w14:textId="77777777" w:rsidR="00AB241B" w:rsidRPr="008F111D" w:rsidRDefault="00AB241B" w:rsidP="00AB241B">
      <w:pPr>
        <w:numPr>
          <w:ilvl w:val="0"/>
          <w:numId w:val="19"/>
        </w:numPr>
        <w:tabs>
          <w:tab w:val="left" w:pos="90"/>
          <w:tab w:val="left" w:pos="993"/>
        </w:tabs>
        <w:spacing w:before="120" w:after="120" w:line="276" w:lineRule="auto"/>
        <w:ind w:left="0" w:firstLine="567"/>
        <w:jc w:val="both"/>
        <w:rPr>
          <w:b/>
          <w:i/>
        </w:rPr>
      </w:pPr>
      <w:r w:rsidRPr="008F111D">
        <w:rPr>
          <w:b/>
          <w:i/>
        </w:rPr>
        <w:t>Субсидии и други текущи трансфери за юридически лица с нестопанска цел</w:t>
      </w:r>
    </w:p>
    <w:p w14:paraId="4BC9A9F0" w14:textId="77777777" w:rsidR="00AB241B" w:rsidRPr="000242EE" w:rsidRDefault="00AB241B" w:rsidP="00AB241B">
      <w:pPr>
        <w:ind w:firstLine="567"/>
        <w:contextualSpacing/>
        <w:jc w:val="both"/>
      </w:pPr>
      <w:r w:rsidRPr="000242EE">
        <w:t>Към края на първото тримесечие на 2023 г. са отчетени разходи в размер на 1,9 млн. лв., разпределени по дейности, както следва:</w:t>
      </w:r>
    </w:p>
    <w:p w14:paraId="128945D7" w14:textId="77777777" w:rsidR="00AB241B" w:rsidRPr="000242EE" w:rsidRDefault="00AB241B" w:rsidP="00AB241B">
      <w:pPr>
        <w:ind w:firstLine="567"/>
        <w:contextualSpacing/>
        <w:jc w:val="both"/>
      </w:pPr>
      <w:r w:rsidRPr="000242EE">
        <w:t>- текущи субсидии по ПМДР – 0,7 млн. лева;</w:t>
      </w:r>
    </w:p>
    <w:p w14:paraId="374900EE" w14:textId="77777777" w:rsidR="00AB241B" w:rsidRPr="000242EE" w:rsidRDefault="00AB241B" w:rsidP="00AB241B">
      <w:pPr>
        <w:ind w:firstLine="567"/>
        <w:contextualSpacing/>
        <w:jc w:val="both"/>
      </w:pPr>
      <w:r w:rsidRPr="000242EE">
        <w:t>- текущи субсидии по Програмата за развитие на селските райони – 1,2 млн. лева.</w:t>
      </w:r>
    </w:p>
    <w:p w14:paraId="06B56A4E" w14:textId="77777777" w:rsidR="00AB241B" w:rsidRPr="00A016AE" w:rsidRDefault="00AB241B" w:rsidP="00AB241B">
      <w:pPr>
        <w:numPr>
          <w:ilvl w:val="0"/>
          <w:numId w:val="19"/>
        </w:numPr>
        <w:tabs>
          <w:tab w:val="left" w:pos="90"/>
          <w:tab w:val="left" w:pos="993"/>
        </w:tabs>
        <w:spacing w:before="120" w:after="120" w:line="276" w:lineRule="auto"/>
        <w:ind w:left="0" w:firstLine="567"/>
        <w:jc w:val="both"/>
        <w:rPr>
          <w:b/>
          <w:i/>
        </w:rPr>
      </w:pPr>
      <w:r w:rsidRPr="00A016AE">
        <w:rPr>
          <w:b/>
          <w:i/>
        </w:rPr>
        <w:t xml:space="preserve"> Капиталови трансфери за нефинансови предприятия</w:t>
      </w:r>
    </w:p>
    <w:p w14:paraId="78BBDC84" w14:textId="77777777" w:rsidR="00AB241B" w:rsidRPr="00D442BB" w:rsidRDefault="00AB241B" w:rsidP="00AB241B">
      <w:pPr>
        <w:ind w:firstLine="562"/>
        <w:jc w:val="both"/>
      </w:pPr>
      <w:r w:rsidRPr="00D442BB">
        <w:t xml:space="preserve">Към 31.03.2023 г. са отчетени </w:t>
      </w:r>
      <w:r>
        <w:t>20,7</w:t>
      </w:r>
      <w:r w:rsidRPr="00D442BB">
        <w:t xml:space="preserve"> млн. лв. като разпределението по дейности е както следва:</w:t>
      </w:r>
    </w:p>
    <w:p w14:paraId="5A07BE45" w14:textId="77777777" w:rsidR="00AB241B" w:rsidRPr="00F83BEF" w:rsidRDefault="00AB241B" w:rsidP="00AB241B">
      <w:pPr>
        <w:ind w:firstLine="562"/>
        <w:contextualSpacing/>
        <w:jc w:val="both"/>
      </w:pPr>
      <w:r w:rsidRPr="00F83BEF">
        <w:t>-  капиталови трансфери по Програмата за морско дело и рибарство (ПМДР) – 0,2 млн. лева;</w:t>
      </w:r>
    </w:p>
    <w:p w14:paraId="761B42E4" w14:textId="77777777" w:rsidR="00AB241B" w:rsidRPr="00F83BEF" w:rsidRDefault="00AB241B" w:rsidP="00AB241B">
      <w:pPr>
        <w:ind w:firstLine="562"/>
        <w:contextualSpacing/>
        <w:jc w:val="both"/>
      </w:pPr>
      <w:r w:rsidRPr="00F83BEF">
        <w:t>-  капиталови трансфери по ПРСР – 20,5 млн. лева.</w:t>
      </w:r>
    </w:p>
    <w:p w14:paraId="0EE21F44" w14:textId="77777777" w:rsidR="00AB241B" w:rsidRPr="00F83BEF" w:rsidRDefault="00AB241B" w:rsidP="00AB241B">
      <w:pPr>
        <w:numPr>
          <w:ilvl w:val="0"/>
          <w:numId w:val="19"/>
        </w:numPr>
        <w:tabs>
          <w:tab w:val="left" w:pos="90"/>
          <w:tab w:val="left" w:pos="993"/>
        </w:tabs>
        <w:spacing w:before="120" w:after="120" w:line="276" w:lineRule="auto"/>
        <w:ind w:left="0" w:firstLine="567"/>
        <w:jc w:val="both"/>
        <w:rPr>
          <w:b/>
          <w:i/>
        </w:rPr>
      </w:pPr>
      <w:r w:rsidRPr="00F83BEF">
        <w:rPr>
          <w:b/>
          <w:i/>
        </w:rPr>
        <w:t xml:space="preserve"> Капиталови трансфери за организации с нестопанска цел</w:t>
      </w:r>
    </w:p>
    <w:p w14:paraId="13D61FB0" w14:textId="77777777" w:rsidR="00AB241B" w:rsidRPr="00CC4EE3" w:rsidRDefault="00AB241B" w:rsidP="00AB241B">
      <w:pPr>
        <w:ind w:firstLine="567"/>
        <w:jc w:val="both"/>
      </w:pPr>
      <w:r w:rsidRPr="00CC4EE3">
        <w:t>Към 31.03.2023 г. са отчетени капиталови трансфери по ПРСР в размер на 1,5 млн. лева.</w:t>
      </w:r>
    </w:p>
    <w:p w14:paraId="188A6E51" w14:textId="77777777" w:rsidR="00AB241B" w:rsidRPr="00C15913" w:rsidRDefault="00AB241B" w:rsidP="00AB241B">
      <w:pPr>
        <w:ind w:firstLine="567"/>
        <w:jc w:val="both"/>
        <w:rPr>
          <w:b/>
          <w:color w:val="0070C0"/>
          <w:sz w:val="12"/>
          <w:u w:val="single"/>
        </w:rPr>
      </w:pPr>
    </w:p>
    <w:p w14:paraId="11B6E8EE" w14:textId="77777777" w:rsidR="00AB241B" w:rsidRPr="00CC4EE3" w:rsidRDefault="00AB241B" w:rsidP="00AB241B">
      <w:pPr>
        <w:numPr>
          <w:ilvl w:val="0"/>
          <w:numId w:val="20"/>
        </w:numPr>
        <w:tabs>
          <w:tab w:val="num" w:pos="540"/>
        </w:tabs>
        <w:spacing w:before="120" w:after="120" w:line="276" w:lineRule="auto"/>
        <w:contextualSpacing/>
        <w:jc w:val="both"/>
        <w:rPr>
          <w:b/>
          <w:lang w:eastAsia="bg-BG"/>
        </w:rPr>
      </w:pPr>
      <w:r w:rsidRPr="00CC4EE3">
        <w:rPr>
          <w:b/>
          <w:lang w:eastAsia="bg-BG"/>
        </w:rPr>
        <w:t xml:space="preserve">Трансфери </w:t>
      </w:r>
    </w:p>
    <w:p w14:paraId="31129B39" w14:textId="77777777" w:rsidR="00AB241B" w:rsidRPr="00CC4EE3" w:rsidRDefault="00AB241B" w:rsidP="00AB241B">
      <w:pPr>
        <w:ind w:firstLine="567"/>
        <w:jc w:val="both"/>
      </w:pPr>
      <w:r w:rsidRPr="00CC4EE3">
        <w:t>В частта на трансферите, в касовия отчет на ДФЗ-РА към 31.03.2023 г. са отразени следните касови потоци:</w:t>
      </w:r>
    </w:p>
    <w:p w14:paraId="31D9AC5B" w14:textId="77777777" w:rsidR="00AB241B" w:rsidRPr="00CC4EE3" w:rsidRDefault="00AB241B" w:rsidP="00AB241B">
      <w:pPr>
        <w:numPr>
          <w:ilvl w:val="0"/>
          <w:numId w:val="19"/>
        </w:numPr>
        <w:tabs>
          <w:tab w:val="left" w:pos="90"/>
          <w:tab w:val="left" w:pos="993"/>
        </w:tabs>
        <w:spacing w:before="120" w:after="120" w:line="276" w:lineRule="auto"/>
        <w:ind w:left="0" w:firstLine="567"/>
        <w:jc w:val="both"/>
        <w:rPr>
          <w:b/>
          <w:i/>
        </w:rPr>
      </w:pPr>
      <w:r w:rsidRPr="00CC4EE3">
        <w:rPr>
          <w:b/>
          <w:i/>
        </w:rPr>
        <w:t xml:space="preserve">Трансфери между бюджети и сметки за средства от Европейския съюз </w:t>
      </w:r>
    </w:p>
    <w:p w14:paraId="06B5DFF3" w14:textId="77777777" w:rsidR="00AB241B" w:rsidRPr="00CC4EE3" w:rsidRDefault="00AB241B" w:rsidP="00AB241B">
      <w:pPr>
        <w:ind w:firstLine="567"/>
        <w:jc w:val="both"/>
      </w:pPr>
      <w:r w:rsidRPr="00CC4EE3">
        <w:t xml:space="preserve">Получените трансфери от бюджетни сметки на бюджетни организации и общини са формирани при възстановяване на суми по вземания по ПРСР и директни плащания. Към 31.03.2023 г. техният размер е 0,3 млн. лева. </w:t>
      </w:r>
    </w:p>
    <w:p w14:paraId="0A5D2C4C" w14:textId="77777777" w:rsidR="00AB241B" w:rsidRPr="00CC4EE3" w:rsidRDefault="00AB241B" w:rsidP="00AB241B">
      <w:pPr>
        <w:ind w:firstLine="567"/>
        <w:jc w:val="both"/>
      </w:pPr>
      <w:r w:rsidRPr="00CC4EE3">
        <w:tab/>
        <w:t>Предоставените за периода трансфери във връзка с чл.14 от Закона за подпомагане на земеделските производители възлизат на 0,5 млн. лева.</w:t>
      </w:r>
    </w:p>
    <w:p w14:paraId="337909DF" w14:textId="77777777" w:rsidR="00AB241B" w:rsidRPr="000328B1" w:rsidRDefault="00AB241B" w:rsidP="00AB241B">
      <w:pPr>
        <w:numPr>
          <w:ilvl w:val="0"/>
          <w:numId w:val="19"/>
        </w:numPr>
        <w:tabs>
          <w:tab w:val="left" w:pos="90"/>
          <w:tab w:val="left" w:pos="993"/>
        </w:tabs>
        <w:spacing w:before="120" w:after="120" w:line="276" w:lineRule="auto"/>
        <w:ind w:left="0" w:firstLine="567"/>
        <w:jc w:val="both"/>
        <w:rPr>
          <w:b/>
          <w:i/>
        </w:rPr>
      </w:pPr>
      <w:r w:rsidRPr="000328B1">
        <w:rPr>
          <w:b/>
          <w:i/>
        </w:rPr>
        <w:t>Трансфери между сметки за средства от Европейския съюз:</w:t>
      </w:r>
    </w:p>
    <w:p w14:paraId="457C7492" w14:textId="77777777" w:rsidR="00AB241B" w:rsidRPr="000328B1" w:rsidRDefault="00AB241B" w:rsidP="00AB241B">
      <w:pPr>
        <w:ind w:firstLine="567"/>
        <w:jc w:val="both"/>
      </w:pPr>
      <w:r w:rsidRPr="000328B1">
        <w:t>Предоставените трансфери са формирани от изплатените субсидии на публични бенефициенти и възстановените от тях суми. Към края на първото тримесечие са отчетени 11,5 млн. лв., в т.ч.:</w:t>
      </w:r>
    </w:p>
    <w:p w14:paraId="5290E698" w14:textId="77777777" w:rsidR="00AB241B" w:rsidRPr="000328B1" w:rsidRDefault="00AB241B" w:rsidP="00AB241B">
      <w:pPr>
        <w:pStyle w:val="ListParagraph"/>
        <w:numPr>
          <w:ilvl w:val="0"/>
          <w:numId w:val="18"/>
        </w:numPr>
        <w:tabs>
          <w:tab w:val="left" w:pos="993"/>
        </w:tabs>
        <w:spacing w:line="240" w:lineRule="auto"/>
        <w:ind w:left="706" w:firstLine="14"/>
        <w:rPr>
          <w:rFonts w:ascii="Times New Roman" w:hAnsi="Times New Roman"/>
        </w:rPr>
      </w:pPr>
      <w:r w:rsidRPr="000328B1">
        <w:rPr>
          <w:rFonts w:ascii="Times New Roman" w:hAnsi="Times New Roman"/>
        </w:rPr>
        <w:t>по Програмата за развитие на селските райони – 10,8 млн. лв.;</w:t>
      </w:r>
    </w:p>
    <w:p w14:paraId="1BEB4218" w14:textId="77777777" w:rsidR="00AB241B" w:rsidRPr="000328B1" w:rsidRDefault="00AB241B" w:rsidP="00AB241B">
      <w:pPr>
        <w:pStyle w:val="ListParagraph"/>
        <w:numPr>
          <w:ilvl w:val="0"/>
          <w:numId w:val="18"/>
        </w:numPr>
        <w:tabs>
          <w:tab w:val="left" w:pos="993"/>
        </w:tabs>
        <w:spacing w:line="240" w:lineRule="auto"/>
        <w:ind w:left="706" w:firstLine="14"/>
        <w:rPr>
          <w:rFonts w:ascii="Times New Roman" w:hAnsi="Times New Roman"/>
        </w:rPr>
      </w:pPr>
      <w:r w:rsidRPr="000328B1">
        <w:rPr>
          <w:rFonts w:ascii="Times New Roman" w:hAnsi="Times New Roman"/>
        </w:rPr>
        <w:t>национално съфинансиране към директни плащания – 0,1 млн. лв.;</w:t>
      </w:r>
    </w:p>
    <w:p w14:paraId="2B534346" w14:textId="77777777" w:rsidR="00AB241B" w:rsidRPr="000328B1" w:rsidRDefault="00AB241B" w:rsidP="00AB241B">
      <w:pPr>
        <w:pStyle w:val="ListParagraph"/>
        <w:numPr>
          <w:ilvl w:val="0"/>
          <w:numId w:val="18"/>
        </w:numPr>
        <w:tabs>
          <w:tab w:val="left" w:pos="993"/>
        </w:tabs>
        <w:spacing w:line="240" w:lineRule="auto"/>
        <w:ind w:left="706" w:firstLine="14"/>
      </w:pPr>
      <w:r w:rsidRPr="000328B1">
        <w:rPr>
          <w:rFonts w:ascii="Times New Roman" w:hAnsi="Times New Roman"/>
        </w:rPr>
        <w:t>по Програмата за морско дело и рибарство – 0,6 млн. лева.</w:t>
      </w:r>
      <w:r w:rsidRPr="000328B1">
        <w:rPr>
          <w:lang w:eastAsia="bg-BG"/>
        </w:rPr>
        <w:tab/>
      </w:r>
    </w:p>
    <w:p w14:paraId="3448A2E1" w14:textId="77777777" w:rsidR="00AB241B" w:rsidRPr="000328B1" w:rsidRDefault="00AB241B" w:rsidP="00AB241B">
      <w:pPr>
        <w:numPr>
          <w:ilvl w:val="0"/>
          <w:numId w:val="20"/>
        </w:numPr>
        <w:tabs>
          <w:tab w:val="num" w:pos="540"/>
        </w:tabs>
        <w:spacing w:before="120" w:after="120" w:line="276" w:lineRule="auto"/>
        <w:contextualSpacing/>
        <w:jc w:val="both"/>
        <w:rPr>
          <w:b/>
          <w:lang w:eastAsia="bg-BG"/>
        </w:rPr>
      </w:pPr>
      <w:r w:rsidRPr="000328B1">
        <w:rPr>
          <w:b/>
          <w:lang w:eastAsia="bg-BG"/>
        </w:rPr>
        <w:t>Финансиране</w:t>
      </w:r>
    </w:p>
    <w:p w14:paraId="619D7265" w14:textId="77777777" w:rsidR="00AB241B" w:rsidRPr="000B7A0E" w:rsidRDefault="00AB241B" w:rsidP="00AB241B">
      <w:pPr>
        <w:numPr>
          <w:ilvl w:val="0"/>
          <w:numId w:val="19"/>
        </w:numPr>
        <w:tabs>
          <w:tab w:val="left" w:pos="90"/>
          <w:tab w:val="left" w:pos="993"/>
        </w:tabs>
        <w:spacing w:before="120" w:after="120" w:line="276" w:lineRule="auto"/>
        <w:ind w:left="0" w:firstLine="567"/>
        <w:jc w:val="both"/>
        <w:rPr>
          <w:b/>
          <w:i/>
        </w:rPr>
      </w:pPr>
      <w:r w:rsidRPr="000B7A0E">
        <w:rPr>
          <w:b/>
          <w:i/>
        </w:rPr>
        <w:t>Суми по разчети за поети осигурителни вноски и данъци</w:t>
      </w:r>
    </w:p>
    <w:p w14:paraId="703A72AB" w14:textId="77777777" w:rsidR="00AB241B" w:rsidRPr="000B7A0E" w:rsidRDefault="00AB241B" w:rsidP="00AB241B">
      <w:pPr>
        <w:ind w:firstLine="851"/>
        <w:jc w:val="both"/>
        <w:rPr>
          <w:lang w:eastAsia="bg-BG"/>
        </w:rPr>
      </w:pPr>
      <w:r w:rsidRPr="000B7A0E">
        <w:rPr>
          <w:lang w:eastAsia="bg-BG"/>
        </w:rPr>
        <w:t>Към края на първото тримесечие на 202</w:t>
      </w:r>
      <w:r w:rsidRPr="000B7A0E">
        <w:rPr>
          <w:lang w:val="ru-RU" w:eastAsia="bg-BG"/>
        </w:rPr>
        <w:t>3</w:t>
      </w:r>
      <w:r w:rsidRPr="000B7A0E">
        <w:rPr>
          <w:lang w:eastAsia="bg-BG"/>
        </w:rPr>
        <w:t xml:space="preserve"> г. сумата по разчети за поети данъци, формирани от удържан и внесен окончателен данък на физически лица, съгл. чл. 65, ал. 14 от ЗДДФЛ възлиза нето на 0,1 млн. лева.</w:t>
      </w:r>
    </w:p>
    <w:p w14:paraId="0D4DEC21" w14:textId="77777777" w:rsidR="00AB241B" w:rsidRPr="000B7A0E" w:rsidRDefault="00AB241B" w:rsidP="00AB241B">
      <w:pPr>
        <w:numPr>
          <w:ilvl w:val="0"/>
          <w:numId w:val="19"/>
        </w:numPr>
        <w:tabs>
          <w:tab w:val="left" w:pos="90"/>
          <w:tab w:val="left" w:pos="993"/>
        </w:tabs>
        <w:spacing w:before="120" w:after="120" w:line="276" w:lineRule="auto"/>
        <w:ind w:left="0" w:firstLine="567"/>
        <w:jc w:val="both"/>
        <w:rPr>
          <w:b/>
          <w:i/>
        </w:rPr>
      </w:pPr>
      <w:r w:rsidRPr="000B7A0E">
        <w:rPr>
          <w:b/>
          <w:i/>
        </w:rPr>
        <w:t>Друго финансиране</w:t>
      </w:r>
    </w:p>
    <w:p w14:paraId="016877F2" w14:textId="62352344" w:rsidR="00AB241B" w:rsidRPr="000B7A0E" w:rsidRDefault="00AB241B" w:rsidP="00AB241B">
      <w:pPr>
        <w:ind w:firstLine="567"/>
        <w:jc w:val="both"/>
      </w:pPr>
      <w:r w:rsidRPr="000B7A0E">
        <w:t>Към 3</w:t>
      </w:r>
      <w:r w:rsidR="0092503F">
        <w:t>1</w:t>
      </w:r>
      <w:r w:rsidRPr="000B7A0E">
        <w:t>.0</w:t>
      </w:r>
      <w:r w:rsidR="0092503F">
        <w:t>3</w:t>
      </w:r>
      <w:r w:rsidRPr="000B7A0E">
        <w:t>.202</w:t>
      </w:r>
      <w:r w:rsidR="0092503F">
        <w:t>3</w:t>
      </w:r>
      <w:r w:rsidRPr="000B7A0E">
        <w:t xml:space="preserve"> г. извършените плащания, възстановените суми, разчетът с централния бюджет и операциите с чужди средства, включени в отчетността в „Друго финансиране“ са в размер на -13,6 млн. лева.</w:t>
      </w:r>
    </w:p>
    <w:p w14:paraId="1FCE3D1B" w14:textId="77777777" w:rsidR="00AB241B" w:rsidRPr="000B7A0E" w:rsidRDefault="00AB241B" w:rsidP="00AB241B">
      <w:pPr>
        <w:ind w:firstLine="567"/>
        <w:jc w:val="both"/>
        <w:rPr>
          <w:lang w:eastAsia="bg-BG"/>
        </w:rPr>
      </w:pPr>
      <w:r w:rsidRPr="000B7A0E">
        <w:rPr>
          <w:lang w:eastAsia="bg-BG"/>
        </w:rPr>
        <w:t>Към 31.03.2023 г. са отчетени плащания в общ размер на 218,4 млн. лв., отчетени по следните направления:</w:t>
      </w:r>
    </w:p>
    <w:p w14:paraId="460B0582" w14:textId="77777777" w:rsidR="00AB241B" w:rsidRPr="00943DCF" w:rsidRDefault="00AB241B" w:rsidP="00AB241B">
      <w:pPr>
        <w:numPr>
          <w:ilvl w:val="0"/>
          <w:numId w:val="21"/>
        </w:numPr>
        <w:tabs>
          <w:tab w:val="left" w:pos="851"/>
        </w:tabs>
        <w:ind w:left="0" w:firstLine="562"/>
        <w:contextualSpacing/>
        <w:jc w:val="both"/>
        <w:rPr>
          <w:szCs w:val="20"/>
        </w:rPr>
      </w:pPr>
      <w:r w:rsidRPr="00943DCF">
        <w:rPr>
          <w:szCs w:val="20"/>
        </w:rPr>
        <w:t>185,9 млн. лв. за директни плащания за сметка на ЕФГЗ;</w:t>
      </w:r>
    </w:p>
    <w:p w14:paraId="2FDF2342" w14:textId="77777777" w:rsidR="00AB241B" w:rsidRPr="00943DCF" w:rsidRDefault="00AB241B" w:rsidP="00AB241B">
      <w:pPr>
        <w:numPr>
          <w:ilvl w:val="0"/>
          <w:numId w:val="21"/>
        </w:numPr>
        <w:tabs>
          <w:tab w:val="left" w:pos="851"/>
        </w:tabs>
        <w:ind w:left="0" w:firstLine="562"/>
        <w:contextualSpacing/>
        <w:jc w:val="both"/>
        <w:rPr>
          <w:szCs w:val="20"/>
        </w:rPr>
      </w:pPr>
      <w:r w:rsidRPr="00943DCF">
        <w:rPr>
          <w:szCs w:val="20"/>
        </w:rPr>
        <w:t>28,9 млн. лв. средства от ЕЗФРСР, прехвърлени към директни плащания;</w:t>
      </w:r>
    </w:p>
    <w:p w14:paraId="1E5860AA" w14:textId="77777777" w:rsidR="00AB241B" w:rsidRPr="00943DCF" w:rsidRDefault="00AB241B" w:rsidP="00AB241B">
      <w:pPr>
        <w:numPr>
          <w:ilvl w:val="0"/>
          <w:numId w:val="21"/>
        </w:numPr>
        <w:tabs>
          <w:tab w:val="left" w:pos="851"/>
        </w:tabs>
        <w:ind w:left="0" w:firstLine="562"/>
        <w:contextualSpacing/>
        <w:jc w:val="both"/>
        <w:rPr>
          <w:szCs w:val="20"/>
        </w:rPr>
      </w:pPr>
      <w:r w:rsidRPr="00943DCF">
        <w:rPr>
          <w:szCs w:val="20"/>
        </w:rPr>
        <w:t>2,6 млн. лв. за пазарни мерки;</w:t>
      </w:r>
    </w:p>
    <w:p w14:paraId="3F810A63" w14:textId="77777777" w:rsidR="00AB241B" w:rsidRPr="00943DCF" w:rsidRDefault="00AB241B" w:rsidP="00AB241B">
      <w:pPr>
        <w:numPr>
          <w:ilvl w:val="0"/>
          <w:numId w:val="21"/>
        </w:numPr>
        <w:tabs>
          <w:tab w:val="left" w:pos="851"/>
        </w:tabs>
        <w:ind w:left="0" w:firstLine="562"/>
        <w:contextualSpacing/>
        <w:jc w:val="both"/>
        <w:rPr>
          <w:szCs w:val="20"/>
        </w:rPr>
      </w:pPr>
      <w:r w:rsidRPr="00943DCF">
        <w:rPr>
          <w:szCs w:val="20"/>
        </w:rPr>
        <w:t>1,0 млн. лв. суми за преструктуриране.</w:t>
      </w:r>
    </w:p>
    <w:p w14:paraId="54784D62" w14:textId="77777777" w:rsidR="00AB241B" w:rsidRPr="00E50E19" w:rsidRDefault="00AB241B" w:rsidP="00AB241B">
      <w:pPr>
        <w:tabs>
          <w:tab w:val="left" w:pos="851"/>
        </w:tabs>
        <w:ind w:firstLine="567"/>
        <w:jc w:val="both"/>
        <w:rPr>
          <w:sz w:val="12"/>
          <w:szCs w:val="12"/>
          <w:lang w:eastAsia="bg-BG"/>
        </w:rPr>
      </w:pPr>
    </w:p>
    <w:p w14:paraId="263D8524" w14:textId="77777777" w:rsidR="00AB241B" w:rsidRPr="00E50E19" w:rsidRDefault="00AB241B" w:rsidP="00AB241B">
      <w:pPr>
        <w:tabs>
          <w:tab w:val="left" w:pos="851"/>
        </w:tabs>
        <w:ind w:firstLine="567"/>
        <w:jc w:val="both"/>
        <w:rPr>
          <w:lang w:eastAsia="bg-BG"/>
        </w:rPr>
      </w:pPr>
      <w:r w:rsidRPr="00E50E19">
        <w:rPr>
          <w:lang w:eastAsia="bg-BG"/>
        </w:rPr>
        <w:t>Възстановените суми от Европейския съюз към 31.03.2023 г. възлизат общо на 935,9 млн. лв. по следните направления:</w:t>
      </w:r>
    </w:p>
    <w:p w14:paraId="21297612" w14:textId="77777777" w:rsidR="00AB241B" w:rsidRPr="00AC2329" w:rsidRDefault="00AB241B" w:rsidP="00AB241B">
      <w:pPr>
        <w:numPr>
          <w:ilvl w:val="0"/>
          <w:numId w:val="21"/>
        </w:numPr>
        <w:tabs>
          <w:tab w:val="left" w:pos="851"/>
        </w:tabs>
        <w:ind w:left="0" w:firstLine="562"/>
        <w:contextualSpacing/>
        <w:jc w:val="both"/>
        <w:rPr>
          <w:szCs w:val="20"/>
        </w:rPr>
      </w:pPr>
      <w:r w:rsidRPr="00AC2329">
        <w:rPr>
          <w:szCs w:val="20"/>
        </w:rPr>
        <w:t>778,2 млн. лв. за директни плащания от ЕФГЗ;</w:t>
      </w:r>
    </w:p>
    <w:p w14:paraId="4EA348A9" w14:textId="77777777" w:rsidR="00AB241B" w:rsidRPr="00AC2329" w:rsidRDefault="00AB241B" w:rsidP="00AB241B">
      <w:pPr>
        <w:numPr>
          <w:ilvl w:val="0"/>
          <w:numId w:val="21"/>
        </w:numPr>
        <w:tabs>
          <w:tab w:val="left" w:pos="851"/>
        </w:tabs>
        <w:ind w:left="0" w:firstLine="562"/>
        <w:contextualSpacing/>
        <w:jc w:val="both"/>
        <w:rPr>
          <w:szCs w:val="20"/>
        </w:rPr>
      </w:pPr>
      <w:r w:rsidRPr="00AC2329">
        <w:rPr>
          <w:szCs w:val="20"/>
        </w:rPr>
        <w:t xml:space="preserve">155,0 млн. лв. от ЕЗФРСР, прехвърлени към директни плащания; </w:t>
      </w:r>
    </w:p>
    <w:p w14:paraId="6927571B" w14:textId="77777777" w:rsidR="00AB241B" w:rsidRPr="00AC2329" w:rsidRDefault="00AB241B" w:rsidP="00AB241B">
      <w:pPr>
        <w:numPr>
          <w:ilvl w:val="0"/>
          <w:numId w:val="21"/>
        </w:numPr>
        <w:tabs>
          <w:tab w:val="left" w:pos="851"/>
        </w:tabs>
        <w:ind w:left="0" w:firstLine="562"/>
        <w:contextualSpacing/>
        <w:jc w:val="both"/>
        <w:rPr>
          <w:szCs w:val="20"/>
        </w:rPr>
      </w:pPr>
      <w:r w:rsidRPr="00AC2329">
        <w:rPr>
          <w:szCs w:val="20"/>
        </w:rPr>
        <w:t>1,9 млн. лв. за пазарни мерки от ЕФГЗ;</w:t>
      </w:r>
    </w:p>
    <w:p w14:paraId="25458D3D" w14:textId="77777777" w:rsidR="00AB241B" w:rsidRPr="00AC2329" w:rsidRDefault="00AB241B" w:rsidP="00AB241B">
      <w:pPr>
        <w:numPr>
          <w:ilvl w:val="0"/>
          <w:numId w:val="21"/>
        </w:numPr>
        <w:tabs>
          <w:tab w:val="left" w:pos="851"/>
        </w:tabs>
        <w:ind w:left="0" w:firstLine="562"/>
        <w:contextualSpacing/>
        <w:jc w:val="both"/>
      </w:pPr>
      <w:r w:rsidRPr="00AC2329">
        <w:rPr>
          <w:szCs w:val="20"/>
        </w:rPr>
        <w:t>0,7 млн. лв. суми за преструктуриране от ЕФГЗ.</w:t>
      </w:r>
    </w:p>
    <w:p w14:paraId="78481C3F" w14:textId="3E1382B1" w:rsidR="00AB241B" w:rsidRPr="00AC2329" w:rsidRDefault="00AB241B" w:rsidP="00AB241B">
      <w:pPr>
        <w:spacing w:before="120"/>
        <w:ind w:firstLine="567"/>
        <w:jc w:val="both"/>
      </w:pPr>
      <w:r w:rsidRPr="00AC2329">
        <w:t>П</w:t>
      </w:r>
      <w:r w:rsidR="004B0B98">
        <w:t>олучените</w:t>
      </w:r>
      <w:r w:rsidRPr="00AC2329">
        <w:t xml:space="preserve"> суми (нето) по разчети с ЦБ за финансиране на плащания при недостиг на средства по сметки възлизат на -731,1 млн. лева. </w:t>
      </w:r>
    </w:p>
    <w:p w14:paraId="74F03B3F" w14:textId="77777777" w:rsidR="00063CF1" w:rsidRPr="00C15913" w:rsidRDefault="00477886" w:rsidP="004C7DEF">
      <w:pPr>
        <w:tabs>
          <w:tab w:val="left" w:pos="540"/>
        </w:tabs>
        <w:spacing w:before="120"/>
        <w:ind w:firstLine="567"/>
        <w:jc w:val="both"/>
        <w:rPr>
          <w:color w:val="0070C0"/>
        </w:rPr>
      </w:pPr>
      <w:r w:rsidRPr="00C15913">
        <w:rPr>
          <w:color w:val="0070C0"/>
          <w:lang w:eastAsia="bg-BG"/>
        </w:rPr>
        <w:tab/>
      </w:r>
    </w:p>
    <w:p w14:paraId="3F1DDD51" w14:textId="77777777" w:rsidR="002744A6" w:rsidRPr="00E45835" w:rsidRDefault="002744A6" w:rsidP="00ED2B9A">
      <w:pPr>
        <w:pStyle w:val="Heading1"/>
        <w:numPr>
          <w:ilvl w:val="1"/>
          <w:numId w:val="9"/>
        </w:numPr>
        <w:spacing w:after="120"/>
        <w:ind w:left="792" w:right="-115" w:hanging="432"/>
        <w:jc w:val="both"/>
        <w:rPr>
          <w:sz w:val="24"/>
        </w:rPr>
      </w:pPr>
      <w:bookmarkStart w:id="35" w:name="_Toc83045529"/>
      <w:r w:rsidRPr="00E45835">
        <w:rPr>
          <w:sz w:val="24"/>
        </w:rPr>
        <w:t>Сметка за средствата от Европейския съюз на Национален фонд към Министерство на финансите</w:t>
      </w:r>
      <w:bookmarkEnd w:id="35"/>
    </w:p>
    <w:p w14:paraId="056C0927" w14:textId="217656D6" w:rsidR="00F73702" w:rsidRPr="00824C97" w:rsidRDefault="00F73702" w:rsidP="00F73702">
      <w:pPr>
        <w:ind w:firstLine="686"/>
        <w:jc w:val="both"/>
        <w:rPr>
          <w:bCs/>
          <w:color w:val="00B0F0"/>
        </w:rPr>
      </w:pPr>
      <w:r w:rsidRPr="00C61C07">
        <w:rPr>
          <w:bCs/>
        </w:rPr>
        <w:t>По сметките на НФ към 3</w:t>
      </w:r>
      <w:r w:rsidRPr="00C61C07">
        <w:rPr>
          <w:bCs/>
          <w:lang w:val="ru-RU"/>
        </w:rPr>
        <w:t>1</w:t>
      </w:r>
      <w:r w:rsidRPr="00C61C07">
        <w:rPr>
          <w:bCs/>
        </w:rPr>
        <w:t>.</w:t>
      </w:r>
      <w:r w:rsidRPr="00C61C07">
        <w:rPr>
          <w:bCs/>
          <w:lang w:val="ru-RU"/>
        </w:rPr>
        <w:t>03</w:t>
      </w:r>
      <w:r w:rsidRPr="00C61C07">
        <w:rPr>
          <w:bCs/>
        </w:rPr>
        <w:t>.2023 г. са постъпили приходи (нето) в размер на 302</w:t>
      </w:r>
      <w:r>
        <w:rPr>
          <w:bCs/>
        </w:rPr>
        <w:t>,</w:t>
      </w:r>
      <w:r w:rsidRPr="00C61C07">
        <w:rPr>
          <w:bCs/>
        </w:rPr>
        <w:t>8</w:t>
      </w:r>
      <w:r w:rsidRPr="00F73702">
        <w:rPr>
          <w:bCs/>
          <w:lang w:val="ru-RU"/>
        </w:rPr>
        <w:t xml:space="preserve"> </w:t>
      </w:r>
      <w:r w:rsidRPr="00C61C07">
        <w:rPr>
          <w:bCs/>
        </w:rPr>
        <w:t>млн.</w:t>
      </w:r>
      <w:r>
        <w:rPr>
          <w:bCs/>
        </w:rPr>
        <w:t> </w:t>
      </w:r>
      <w:r w:rsidRPr="00C61C07">
        <w:rPr>
          <w:bCs/>
        </w:rPr>
        <w:t>лв</w:t>
      </w:r>
      <w:r>
        <w:rPr>
          <w:bCs/>
        </w:rPr>
        <w:t>.</w:t>
      </w:r>
      <w:r w:rsidRPr="00C61C07">
        <w:rPr>
          <w:bCs/>
        </w:rPr>
        <w:t xml:space="preserve">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двустранните програми за трансгранично сътрудничество по външните граници на EС (ПТСВГ),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14:paraId="1CA7CA0D" w14:textId="57F77FB0" w:rsidR="00F73702" w:rsidRPr="003C2524" w:rsidRDefault="00F73702" w:rsidP="00F73702">
      <w:pPr>
        <w:ind w:firstLine="686"/>
        <w:jc w:val="both"/>
        <w:rPr>
          <w:bCs/>
        </w:rPr>
      </w:pPr>
      <w:r w:rsidRPr="003C2524">
        <w:rPr>
          <w:bCs/>
        </w:rPr>
        <w:t>Извършените разходи (нето) за периода с натрупване чрез сметките на НФ възлизат на 73</w:t>
      </w:r>
      <w:r>
        <w:rPr>
          <w:bCs/>
        </w:rPr>
        <w:t>,</w:t>
      </w:r>
      <w:r w:rsidRPr="003C2524">
        <w:rPr>
          <w:bCs/>
        </w:rPr>
        <w:t>2 млн. лева. По видове разходи изпълнението е както следва: 84</w:t>
      </w:r>
      <w:r>
        <w:rPr>
          <w:bCs/>
        </w:rPr>
        <w:t>,</w:t>
      </w:r>
      <w:r w:rsidRPr="003C2524">
        <w:rPr>
          <w:bCs/>
        </w:rPr>
        <w:t>30</w:t>
      </w:r>
      <w:r>
        <w:rPr>
          <w:bCs/>
        </w:rPr>
        <w:t xml:space="preserve"> </w:t>
      </w:r>
      <w:r w:rsidRPr="003C2524">
        <w:rPr>
          <w:bCs/>
        </w:rPr>
        <w:t>% от общата стойност са капиталови трансфери, 14</w:t>
      </w:r>
      <w:r>
        <w:rPr>
          <w:bCs/>
        </w:rPr>
        <w:t>,</w:t>
      </w:r>
      <w:r w:rsidRPr="003C2524">
        <w:rPr>
          <w:bCs/>
        </w:rPr>
        <w:t>78</w:t>
      </w:r>
      <w:r>
        <w:rPr>
          <w:bCs/>
        </w:rPr>
        <w:t xml:space="preserve"> </w:t>
      </w:r>
      <w:r w:rsidRPr="003C2524">
        <w:rPr>
          <w:bCs/>
        </w:rPr>
        <w:t>% са субсидии, 0</w:t>
      </w:r>
      <w:r>
        <w:rPr>
          <w:bCs/>
        </w:rPr>
        <w:t>,</w:t>
      </w:r>
      <w:r w:rsidRPr="003C2524">
        <w:rPr>
          <w:bCs/>
        </w:rPr>
        <w:t>91</w:t>
      </w:r>
      <w:r>
        <w:rPr>
          <w:bCs/>
        </w:rPr>
        <w:t xml:space="preserve"> </w:t>
      </w:r>
      <w:r w:rsidRPr="003C2524">
        <w:rPr>
          <w:bCs/>
        </w:rPr>
        <w:t>% предоставени текущи и капиталови трансфери за чужбина и 0</w:t>
      </w:r>
      <w:r>
        <w:rPr>
          <w:bCs/>
        </w:rPr>
        <w:t>,</w:t>
      </w:r>
      <w:r w:rsidRPr="003C2524">
        <w:rPr>
          <w:bCs/>
        </w:rPr>
        <w:t>002</w:t>
      </w:r>
      <w:r>
        <w:rPr>
          <w:bCs/>
        </w:rPr>
        <w:t xml:space="preserve"> </w:t>
      </w:r>
      <w:r w:rsidRPr="003C2524">
        <w:rPr>
          <w:bCs/>
        </w:rPr>
        <w:t>% - издръжка.</w:t>
      </w:r>
    </w:p>
    <w:p w14:paraId="6BFF26FE" w14:textId="76CD599B" w:rsidR="00F73702" w:rsidRPr="00824C97" w:rsidRDefault="00F73702" w:rsidP="00F73702">
      <w:pPr>
        <w:ind w:firstLine="686"/>
        <w:jc w:val="both"/>
        <w:rPr>
          <w:bCs/>
          <w:color w:val="00B0F0"/>
        </w:rPr>
      </w:pPr>
      <w:r w:rsidRPr="00430DF4">
        <w:rPr>
          <w:bCs/>
        </w:rPr>
        <w:t>Трансферите (нето), временните безлихвени заеми (нето) и временна възмездна финансова помощ за разглеждания период са на стойност 248</w:t>
      </w:r>
      <w:r>
        <w:rPr>
          <w:bCs/>
        </w:rPr>
        <w:t>,</w:t>
      </w:r>
      <w:r w:rsidRPr="00430DF4">
        <w:rPr>
          <w:bCs/>
        </w:rPr>
        <w:t>2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3687C90C" w14:textId="7E9D715F" w:rsidR="00F73702" w:rsidRPr="00164AE6" w:rsidRDefault="00F73702" w:rsidP="00F73702">
      <w:pPr>
        <w:ind w:firstLine="686"/>
        <w:jc w:val="both"/>
        <w:rPr>
          <w:bCs/>
        </w:rPr>
      </w:pPr>
      <w:r w:rsidRPr="00164AE6">
        <w:rPr>
          <w:bCs/>
        </w:rPr>
        <w:t>Във връзка с изпълнение на програмите и проектите по програмен период 2014 – 2020</w:t>
      </w:r>
      <w:r>
        <w:rPr>
          <w:bCs/>
        </w:rPr>
        <w:t> </w:t>
      </w:r>
      <w:r w:rsidRPr="00164AE6">
        <w:rPr>
          <w:bCs/>
        </w:rPr>
        <w:t>г., 2021 – 2027 г., ФМ на ЕИП и НФМ и НПВУ по сметките на НФ са получени трансфери от централния бюджет на стойност 33</w:t>
      </w:r>
      <w:r>
        <w:rPr>
          <w:bCs/>
        </w:rPr>
        <w:t>,</w:t>
      </w:r>
      <w:r w:rsidRPr="00164AE6">
        <w:rPr>
          <w:bCs/>
        </w:rPr>
        <w:t>3 млн. лева.</w:t>
      </w:r>
    </w:p>
    <w:p w14:paraId="1238A50F" w14:textId="41E57FF2" w:rsidR="00F73702" w:rsidRPr="004B704B" w:rsidRDefault="00F73702" w:rsidP="00F73702">
      <w:pPr>
        <w:ind w:firstLine="686"/>
        <w:jc w:val="both"/>
        <w:rPr>
          <w:bCs/>
        </w:rPr>
      </w:pPr>
      <w:r w:rsidRPr="004B704B">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0</w:t>
      </w:r>
      <w:r>
        <w:rPr>
          <w:bCs/>
        </w:rPr>
        <w:t>,</w:t>
      </w:r>
      <w:r w:rsidRPr="004B704B">
        <w:rPr>
          <w:bCs/>
        </w:rPr>
        <w:t>0</w:t>
      </w:r>
      <w:r>
        <w:rPr>
          <w:bCs/>
        </w:rPr>
        <w:t>9</w:t>
      </w:r>
      <w:r w:rsidRPr="004B704B">
        <w:rPr>
          <w:bCs/>
        </w:rPr>
        <w:t xml:space="preserve"> млн.</w:t>
      </w:r>
      <w:r>
        <w:rPr>
          <w:bCs/>
        </w:rPr>
        <w:t> </w:t>
      </w:r>
      <w:r w:rsidRPr="004B704B">
        <w:rPr>
          <w:bCs/>
        </w:rPr>
        <w:t>лева.</w:t>
      </w:r>
    </w:p>
    <w:p w14:paraId="2220DFCE" w14:textId="77777777" w:rsidR="00F73702" w:rsidRPr="00FF5A25" w:rsidRDefault="00F73702" w:rsidP="00F73702">
      <w:pPr>
        <w:spacing w:before="120"/>
        <w:ind w:firstLine="686"/>
        <w:jc w:val="both"/>
        <w:rPr>
          <w:b/>
          <w:bCs/>
        </w:rPr>
      </w:pPr>
      <w:r w:rsidRPr="00FF5A25">
        <w:rPr>
          <w:b/>
          <w:bCs/>
        </w:rPr>
        <w:t>Структурни и Кохезионен фондове (СКФ) 2007 – 2013 г.</w:t>
      </w:r>
    </w:p>
    <w:p w14:paraId="6236B3E1" w14:textId="19F87833" w:rsidR="00F73702" w:rsidRPr="00FF5A25" w:rsidRDefault="00F73702" w:rsidP="00F73702">
      <w:pPr>
        <w:ind w:firstLine="686"/>
        <w:jc w:val="both"/>
      </w:pPr>
      <w:r w:rsidRPr="00FF5A25">
        <w:rPr>
          <w:bCs/>
        </w:rPr>
        <w:t>През отчетния период са отчетени (нето) възстановени суми от бенефициенти на стойност на 0</w:t>
      </w:r>
      <w:r>
        <w:rPr>
          <w:bCs/>
        </w:rPr>
        <w:t>,</w:t>
      </w:r>
      <w:r w:rsidRPr="00FF5A25">
        <w:rPr>
          <w:bCs/>
        </w:rPr>
        <w:t>03 млн. лв., а възстановеното авансово финансиране по реда на ДДС</w:t>
      </w:r>
      <w:r>
        <w:rPr>
          <w:bCs/>
        </w:rPr>
        <w:t xml:space="preserve"> </w:t>
      </w:r>
      <w:r w:rsidRPr="00FF5A25">
        <w:rPr>
          <w:bCs/>
        </w:rPr>
        <w:t>6/2011 г</w:t>
      </w:r>
      <w:r w:rsidRPr="00FF5A25">
        <w:t xml:space="preserve">. </w:t>
      </w:r>
      <w:r w:rsidRPr="00FF5A25">
        <w:rPr>
          <w:bCs/>
        </w:rPr>
        <w:t>е в размер на 0</w:t>
      </w:r>
      <w:r>
        <w:rPr>
          <w:bCs/>
        </w:rPr>
        <w:t>,</w:t>
      </w:r>
      <w:r w:rsidRPr="00FF5A25">
        <w:rPr>
          <w:bCs/>
        </w:rPr>
        <w:t>6 млн. лева.</w:t>
      </w:r>
    </w:p>
    <w:p w14:paraId="679FBAF8" w14:textId="77777777" w:rsidR="00F73702" w:rsidRPr="00041A15" w:rsidRDefault="00F73702" w:rsidP="00F73702">
      <w:pPr>
        <w:spacing w:before="120"/>
        <w:ind w:firstLine="686"/>
        <w:jc w:val="both"/>
        <w:rPr>
          <w:b/>
          <w:bCs/>
        </w:rPr>
      </w:pPr>
      <w:r w:rsidRPr="00041A15">
        <w:rPr>
          <w:bCs/>
        </w:rPr>
        <w:t xml:space="preserve"> </w:t>
      </w:r>
      <w:r w:rsidRPr="00041A15">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75D49C13" w14:textId="0512C346" w:rsidR="00F73702" w:rsidRPr="00041A15" w:rsidRDefault="00F73702" w:rsidP="00F73702">
      <w:pPr>
        <w:ind w:firstLine="686"/>
        <w:jc w:val="both"/>
        <w:rPr>
          <w:bCs/>
        </w:rPr>
      </w:pPr>
      <w:r w:rsidRPr="00041A15">
        <w:rPr>
          <w:bCs/>
        </w:rPr>
        <w:tab/>
        <w:t>Общо получените средства (нето) от ЕК за периода са в размер на 283</w:t>
      </w:r>
      <w:r>
        <w:rPr>
          <w:bCs/>
        </w:rPr>
        <w:t>,</w:t>
      </w:r>
      <w:r w:rsidRPr="00041A15">
        <w:rPr>
          <w:bCs/>
        </w:rPr>
        <w:t>3 млн. лв. (в тях влизат и получените приходи по REACT-EU в размер на 8</w:t>
      </w:r>
      <w:r>
        <w:rPr>
          <w:bCs/>
        </w:rPr>
        <w:t>,</w:t>
      </w:r>
      <w:r w:rsidRPr="00041A15">
        <w:rPr>
          <w:bCs/>
        </w:rPr>
        <w:t>6 млн. лева) и са разпределени както следва:</w:t>
      </w:r>
    </w:p>
    <w:p w14:paraId="787478E3" w14:textId="39F5A996" w:rsidR="00F73702" w:rsidRPr="00041A15" w:rsidRDefault="00F73702" w:rsidP="00F73702">
      <w:pPr>
        <w:numPr>
          <w:ilvl w:val="0"/>
          <w:numId w:val="11"/>
        </w:numPr>
        <w:tabs>
          <w:tab w:val="clear" w:pos="1101"/>
          <w:tab w:val="num" w:pos="786"/>
        </w:tabs>
        <w:ind w:left="786"/>
        <w:jc w:val="both"/>
        <w:rPr>
          <w:bCs/>
        </w:rPr>
      </w:pPr>
      <w:r w:rsidRPr="00041A15">
        <w:rPr>
          <w:bCs/>
        </w:rPr>
        <w:t>ОП „Транспорт и транспортна инфраструктура” – 116</w:t>
      </w:r>
      <w:r>
        <w:rPr>
          <w:bCs/>
        </w:rPr>
        <w:t>,</w:t>
      </w:r>
      <w:r w:rsidRPr="00041A15">
        <w:rPr>
          <w:bCs/>
        </w:rPr>
        <w:t>8 млн. лв.;</w:t>
      </w:r>
    </w:p>
    <w:p w14:paraId="274EA390" w14:textId="037BC053" w:rsidR="00F73702" w:rsidRPr="00041A15" w:rsidRDefault="00F73702" w:rsidP="00F73702">
      <w:pPr>
        <w:numPr>
          <w:ilvl w:val="0"/>
          <w:numId w:val="11"/>
        </w:numPr>
        <w:tabs>
          <w:tab w:val="clear" w:pos="1101"/>
          <w:tab w:val="num" w:pos="786"/>
        </w:tabs>
        <w:ind w:left="786"/>
        <w:jc w:val="both"/>
        <w:rPr>
          <w:bCs/>
        </w:rPr>
      </w:pPr>
      <w:r w:rsidRPr="00041A15">
        <w:rPr>
          <w:bCs/>
        </w:rPr>
        <w:t>ОП „Околна среда 2014 – 2020 г.“ – 64</w:t>
      </w:r>
      <w:r>
        <w:rPr>
          <w:bCs/>
        </w:rPr>
        <w:t>,</w:t>
      </w:r>
      <w:r w:rsidRPr="00041A15">
        <w:rPr>
          <w:bCs/>
        </w:rPr>
        <w:t>6 млн. лв.;</w:t>
      </w:r>
    </w:p>
    <w:p w14:paraId="0EE591F9" w14:textId="25D108D2" w:rsidR="00F73702" w:rsidRPr="006F6F97" w:rsidRDefault="00F73702" w:rsidP="00F73702">
      <w:pPr>
        <w:numPr>
          <w:ilvl w:val="0"/>
          <w:numId w:val="11"/>
        </w:numPr>
        <w:tabs>
          <w:tab w:val="clear" w:pos="1101"/>
          <w:tab w:val="num" w:pos="786"/>
        </w:tabs>
        <w:ind w:left="786"/>
        <w:jc w:val="both"/>
        <w:rPr>
          <w:bCs/>
        </w:rPr>
      </w:pPr>
      <w:r w:rsidRPr="00041A15">
        <w:rPr>
          <w:bCs/>
        </w:rPr>
        <w:t xml:space="preserve">ОП „Развитие на човешките ресурси 2014 - 2020 </w:t>
      </w:r>
      <w:r w:rsidRPr="006F6F97">
        <w:rPr>
          <w:bCs/>
        </w:rPr>
        <w:t>г.” – 62</w:t>
      </w:r>
      <w:r>
        <w:rPr>
          <w:bCs/>
        </w:rPr>
        <w:t>,</w:t>
      </w:r>
      <w:r w:rsidRPr="006F6F97">
        <w:rPr>
          <w:bCs/>
        </w:rPr>
        <w:t>3 млн. лв.</w:t>
      </w:r>
      <w:r w:rsidRPr="006F6F97">
        <w:t xml:space="preserve"> (</w:t>
      </w:r>
      <w:r w:rsidRPr="006F6F97">
        <w:rPr>
          <w:bCs/>
        </w:rPr>
        <w:t>вкл. REACT-EU в размер на 8</w:t>
      </w:r>
      <w:r>
        <w:rPr>
          <w:bCs/>
        </w:rPr>
        <w:t>,</w:t>
      </w:r>
      <w:r w:rsidRPr="006F6F97">
        <w:rPr>
          <w:bCs/>
        </w:rPr>
        <w:t>6 млн. лева);</w:t>
      </w:r>
    </w:p>
    <w:p w14:paraId="181DBBF3" w14:textId="7E3C8F8F" w:rsidR="00F73702" w:rsidRPr="00A733CF" w:rsidRDefault="00F73702" w:rsidP="00F73702">
      <w:pPr>
        <w:numPr>
          <w:ilvl w:val="0"/>
          <w:numId w:val="11"/>
        </w:numPr>
        <w:tabs>
          <w:tab w:val="clear" w:pos="1101"/>
          <w:tab w:val="num" w:pos="786"/>
        </w:tabs>
        <w:ind w:left="786"/>
        <w:jc w:val="both"/>
        <w:rPr>
          <w:bCs/>
        </w:rPr>
      </w:pPr>
      <w:r w:rsidRPr="00A733CF">
        <w:rPr>
          <w:bCs/>
        </w:rPr>
        <w:t>Инициативата за младежка заетост – 1</w:t>
      </w:r>
      <w:r>
        <w:rPr>
          <w:bCs/>
        </w:rPr>
        <w:t>,1</w:t>
      </w:r>
      <w:r w:rsidRPr="00A733CF">
        <w:rPr>
          <w:bCs/>
        </w:rPr>
        <w:t xml:space="preserve"> млн. лв.;</w:t>
      </w:r>
    </w:p>
    <w:p w14:paraId="47C01F7C" w14:textId="22A40A1A" w:rsidR="00F73702" w:rsidRPr="00334906" w:rsidRDefault="00F73702" w:rsidP="00F73702">
      <w:pPr>
        <w:numPr>
          <w:ilvl w:val="0"/>
          <w:numId w:val="11"/>
        </w:numPr>
        <w:tabs>
          <w:tab w:val="clear" w:pos="1101"/>
          <w:tab w:val="num" w:pos="786"/>
        </w:tabs>
        <w:ind w:left="786"/>
        <w:jc w:val="both"/>
        <w:rPr>
          <w:bCs/>
        </w:rPr>
      </w:pPr>
      <w:r w:rsidRPr="00334906">
        <w:rPr>
          <w:bCs/>
        </w:rPr>
        <w:t>ОП „Региони в растеж“ –30</w:t>
      </w:r>
      <w:r>
        <w:rPr>
          <w:bCs/>
        </w:rPr>
        <w:t>,</w:t>
      </w:r>
      <w:r w:rsidRPr="00334906">
        <w:rPr>
          <w:bCs/>
        </w:rPr>
        <w:t>9 млн. лв. и</w:t>
      </w:r>
    </w:p>
    <w:p w14:paraId="3084B974" w14:textId="7B7E2397" w:rsidR="00F73702" w:rsidRPr="00A200A5" w:rsidRDefault="00F73702" w:rsidP="00F73702">
      <w:pPr>
        <w:numPr>
          <w:ilvl w:val="0"/>
          <w:numId w:val="11"/>
        </w:numPr>
        <w:tabs>
          <w:tab w:val="clear" w:pos="1101"/>
          <w:tab w:val="num" w:pos="786"/>
        </w:tabs>
        <w:ind w:left="786"/>
        <w:jc w:val="both"/>
        <w:rPr>
          <w:bCs/>
        </w:rPr>
      </w:pPr>
      <w:r w:rsidRPr="00A200A5">
        <w:rPr>
          <w:bCs/>
        </w:rPr>
        <w:t>ОП „Наука и образование за интелигентен растеж” – 7</w:t>
      </w:r>
      <w:r>
        <w:rPr>
          <w:bCs/>
        </w:rPr>
        <w:t>,</w:t>
      </w:r>
      <w:r w:rsidRPr="00A200A5">
        <w:rPr>
          <w:bCs/>
        </w:rPr>
        <w:t>6 млн. л</w:t>
      </w:r>
      <w:r>
        <w:rPr>
          <w:bCs/>
        </w:rPr>
        <w:t>е</w:t>
      </w:r>
      <w:r w:rsidRPr="00A200A5">
        <w:rPr>
          <w:bCs/>
        </w:rPr>
        <w:t>в</w:t>
      </w:r>
      <w:r>
        <w:rPr>
          <w:bCs/>
        </w:rPr>
        <w:t>а</w:t>
      </w:r>
      <w:r w:rsidRPr="00A200A5">
        <w:rPr>
          <w:bCs/>
        </w:rPr>
        <w:t>.</w:t>
      </w:r>
    </w:p>
    <w:p w14:paraId="6ECB7612" w14:textId="5D0C54B1" w:rsidR="00F73702" w:rsidRPr="00C562DE" w:rsidRDefault="00F73702" w:rsidP="00F73702">
      <w:pPr>
        <w:spacing w:before="120"/>
        <w:jc w:val="both"/>
        <w:rPr>
          <w:bCs/>
        </w:rPr>
      </w:pPr>
      <w:r w:rsidRPr="00824C97">
        <w:rPr>
          <w:bCs/>
          <w:color w:val="00B0F0"/>
        </w:rPr>
        <w:t xml:space="preserve">  </w:t>
      </w:r>
      <w:r>
        <w:rPr>
          <w:bCs/>
          <w:color w:val="00B0F0"/>
        </w:rPr>
        <w:tab/>
      </w:r>
      <w:r w:rsidRPr="00C562DE">
        <w:rPr>
          <w:bCs/>
        </w:rPr>
        <w:t xml:space="preserve">Направените разходи (нето) по Оперативни програми и трансферите (нето) към бюджетни организации и операции с активи към края на </w:t>
      </w:r>
      <w:r>
        <w:rPr>
          <w:bCs/>
        </w:rPr>
        <w:t>първото тримесечие на 2023 г.</w:t>
      </w:r>
      <w:r w:rsidRPr="00C562DE">
        <w:rPr>
          <w:bCs/>
        </w:rPr>
        <w:t xml:space="preserve"> са на стойност </w:t>
      </w:r>
      <w:r w:rsidRPr="00F73702">
        <w:rPr>
          <w:bCs/>
          <w:lang w:val="ru-RU"/>
        </w:rPr>
        <w:t>255</w:t>
      </w:r>
      <w:r>
        <w:rPr>
          <w:bCs/>
          <w:lang w:val="ru-RU"/>
        </w:rPr>
        <w:t>,</w:t>
      </w:r>
      <w:r w:rsidRPr="00F73702">
        <w:rPr>
          <w:bCs/>
          <w:lang w:val="ru-RU"/>
        </w:rPr>
        <w:t>1</w:t>
      </w:r>
      <w:r w:rsidRPr="00C562DE">
        <w:rPr>
          <w:bCs/>
        </w:rPr>
        <w:t xml:space="preserve"> млн. лв. (в тях влизат и извършените разходи по REACT-EU в размер на </w:t>
      </w:r>
      <w:r w:rsidRPr="00F73702">
        <w:rPr>
          <w:bCs/>
          <w:lang w:val="ru-RU"/>
        </w:rPr>
        <w:t>30</w:t>
      </w:r>
      <w:r>
        <w:rPr>
          <w:bCs/>
          <w:lang w:val="ru-RU"/>
        </w:rPr>
        <w:t>,</w:t>
      </w:r>
      <w:r w:rsidRPr="00F73702">
        <w:rPr>
          <w:bCs/>
          <w:lang w:val="ru-RU"/>
        </w:rPr>
        <w:t>2</w:t>
      </w:r>
      <w:r w:rsidRPr="00C562DE">
        <w:rPr>
          <w:bCs/>
        </w:rPr>
        <w:t xml:space="preserve"> млн. лева), като разпределението по Оперативни програми е следното:</w:t>
      </w:r>
    </w:p>
    <w:p w14:paraId="0E7D9611" w14:textId="7AAAC657" w:rsidR="00F73702" w:rsidRPr="00C71261" w:rsidRDefault="00F73702" w:rsidP="00F73702">
      <w:pPr>
        <w:numPr>
          <w:ilvl w:val="0"/>
          <w:numId w:val="11"/>
        </w:numPr>
        <w:tabs>
          <w:tab w:val="clear" w:pos="1101"/>
          <w:tab w:val="num" w:pos="786"/>
        </w:tabs>
        <w:ind w:left="786"/>
        <w:jc w:val="both"/>
        <w:rPr>
          <w:bCs/>
        </w:rPr>
      </w:pPr>
      <w:r w:rsidRPr="00C71261">
        <w:rPr>
          <w:bCs/>
        </w:rPr>
        <w:t xml:space="preserve">ОП „Развитие на човешките ресурси 2014 - 2020 г.” – </w:t>
      </w:r>
      <w:r w:rsidRPr="00F73702">
        <w:rPr>
          <w:bCs/>
          <w:lang w:val="ru-RU"/>
        </w:rPr>
        <w:t>57</w:t>
      </w:r>
      <w:r>
        <w:rPr>
          <w:bCs/>
          <w:lang w:val="ru-RU"/>
        </w:rPr>
        <w:t>,</w:t>
      </w:r>
      <w:r w:rsidRPr="00F73702">
        <w:rPr>
          <w:bCs/>
          <w:lang w:val="ru-RU"/>
        </w:rPr>
        <w:t>3</w:t>
      </w:r>
      <w:r w:rsidRPr="00C71261">
        <w:rPr>
          <w:bCs/>
        </w:rPr>
        <w:t xml:space="preserve"> млн. лв.</w:t>
      </w:r>
      <w:r w:rsidRPr="00C71261">
        <w:t xml:space="preserve"> </w:t>
      </w:r>
      <w:r w:rsidRPr="00C71261">
        <w:rPr>
          <w:bCs/>
        </w:rPr>
        <w:t xml:space="preserve">(вкл. REACT-EU в размер на </w:t>
      </w:r>
      <w:r w:rsidRPr="00F73702">
        <w:rPr>
          <w:bCs/>
          <w:lang w:val="ru-RU"/>
        </w:rPr>
        <w:t>25</w:t>
      </w:r>
      <w:r>
        <w:rPr>
          <w:bCs/>
          <w:lang w:val="ru-RU"/>
        </w:rPr>
        <w:t>,</w:t>
      </w:r>
      <w:r w:rsidRPr="00F73702">
        <w:rPr>
          <w:bCs/>
          <w:lang w:val="ru-RU"/>
        </w:rPr>
        <w:t>6</w:t>
      </w:r>
      <w:r w:rsidRPr="00C71261">
        <w:rPr>
          <w:bCs/>
        </w:rPr>
        <w:t xml:space="preserve"> млн. лева);</w:t>
      </w:r>
    </w:p>
    <w:p w14:paraId="02F2B1AB" w14:textId="44CF77C3" w:rsidR="00F73702" w:rsidRPr="00C71261" w:rsidRDefault="00F73702" w:rsidP="00F73702">
      <w:pPr>
        <w:numPr>
          <w:ilvl w:val="0"/>
          <w:numId w:val="11"/>
        </w:numPr>
        <w:tabs>
          <w:tab w:val="clear" w:pos="1101"/>
          <w:tab w:val="num" w:pos="786"/>
        </w:tabs>
        <w:ind w:left="786"/>
        <w:jc w:val="both"/>
        <w:rPr>
          <w:bCs/>
        </w:rPr>
      </w:pPr>
      <w:r w:rsidRPr="00C71261">
        <w:rPr>
          <w:bCs/>
        </w:rPr>
        <w:t xml:space="preserve">Инициативата за младежка заетост – </w:t>
      </w:r>
      <w:r w:rsidRPr="00F7002C">
        <w:rPr>
          <w:bCs/>
        </w:rPr>
        <w:t xml:space="preserve">възстановени </w:t>
      </w:r>
      <w:r w:rsidRPr="00C71261">
        <w:rPr>
          <w:bCs/>
        </w:rPr>
        <w:t>(нето) средства в размер на 1</w:t>
      </w:r>
      <w:r>
        <w:rPr>
          <w:bCs/>
        </w:rPr>
        <w:t>,</w:t>
      </w:r>
      <w:r w:rsidRPr="00F73702">
        <w:rPr>
          <w:bCs/>
          <w:lang w:val="ru-RU"/>
        </w:rPr>
        <w:t>6</w:t>
      </w:r>
      <w:r w:rsidRPr="00C71261">
        <w:rPr>
          <w:bCs/>
        </w:rPr>
        <w:t xml:space="preserve"> млн.</w:t>
      </w:r>
      <w:r>
        <w:rPr>
          <w:bCs/>
        </w:rPr>
        <w:t> </w:t>
      </w:r>
      <w:r w:rsidRPr="00C71261">
        <w:rPr>
          <w:bCs/>
        </w:rPr>
        <w:t>лв.;</w:t>
      </w:r>
    </w:p>
    <w:p w14:paraId="33969608" w14:textId="2631FB22" w:rsidR="00F73702" w:rsidRPr="00665D98" w:rsidRDefault="00F73702" w:rsidP="00F73702">
      <w:pPr>
        <w:numPr>
          <w:ilvl w:val="0"/>
          <w:numId w:val="11"/>
        </w:numPr>
        <w:tabs>
          <w:tab w:val="clear" w:pos="1101"/>
          <w:tab w:val="num" w:pos="786"/>
        </w:tabs>
        <w:ind w:left="786"/>
        <w:jc w:val="both"/>
        <w:rPr>
          <w:bCs/>
        </w:rPr>
      </w:pPr>
      <w:r w:rsidRPr="00665D98">
        <w:rPr>
          <w:bCs/>
        </w:rPr>
        <w:t xml:space="preserve">ОП за храни и/или основно материално подпомагане от Фонда за европейско подпомагане на най-нуждаещите се лица в България за периода 2014 – 2020 г. – </w:t>
      </w:r>
      <w:r w:rsidRPr="00F73702">
        <w:rPr>
          <w:bCs/>
          <w:lang w:val="ru-RU"/>
        </w:rPr>
        <w:t>0</w:t>
      </w:r>
      <w:r>
        <w:rPr>
          <w:bCs/>
          <w:lang w:val="ru-RU"/>
        </w:rPr>
        <w:t>,</w:t>
      </w:r>
      <w:r w:rsidRPr="00F73702">
        <w:rPr>
          <w:bCs/>
          <w:lang w:val="ru-RU"/>
        </w:rPr>
        <w:t>006</w:t>
      </w:r>
      <w:r w:rsidRPr="00665D98">
        <w:rPr>
          <w:bCs/>
        </w:rPr>
        <w:t xml:space="preserve"> млн. лева само по REACT-EU;</w:t>
      </w:r>
    </w:p>
    <w:p w14:paraId="3306917E" w14:textId="2B615F59" w:rsidR="00F73702" w:rsidRPr="00A77628" w:rsidRDefault="00F73702" w:rsidP="00F73702">
      <w:pPr>
        <w:numPr>
          <w:ilvl w:val="0"/>
          <w:numId w:val="11"/>
        </w:numPr>
        <w:tabs>
          <w:tab w:val="clear" w:pos="1101"/>
          <w:tab w:val="num" w:pos="786"/>
        </w:tabs>
        <w:ind w:left="786"/>
        <w:jc w:val="both"/>
        <w:rPr>
          <w:bCs/>
        </w:rPr>
      </w:pPr>
      <w:r w:rsidRPr="00A77628">
        <w:rPr>
          <w:bCs/>
        </w:rPr>
        <w:t>ОП „Иновации и конкурентоспособност” – 10</w:t>
      </w:r>
      <w:r>
        <w:rPr>
          <w:bCs/>
        </w:rPr>
        <w:t>,</w:t>
      </w:r>
      <w:r w:rsidRPr="00A77628">
        <w:rPr>
          <w:bCs/>
        </w:rPr>
        <w:t>6 млн. лв. (вкл. REACT-EU в размер на 3</w:t>
      </w:r>
      <w:r>
        <w:rPr>
          <w:bCs/>
        </w:rPr>
        <w:t>,</w:t>
      </w:r>
      <w:r w:rsidRPr="00A77628">
        <w:rPr>
          <w:bCs/>
        </w:rPr>
        <w:t>9 млн. лева);</w:t>
      </w:r>
    </w:p>
    <w:p w14:paraId="1E085E6D" w14:textId="4E8ECF08" w:rsidR="00F73702" w:rsidRPr="00A77628" w:rsidRDefault="00F73702" w:rsidP="00F73702">
      <w:pPr>
        <w:numPr>
          <w:ilvl w:val="0"/>
          <w:numId w:val="11"/>
        </w:numPr>
        <w:tabs>
          <w:tab w:val="clear" w:pos="1101"/>
          <w:tab w:val="num" w:pos="786"/>
        </w:tabs>
        <w:ind w:left="786"/>
        <w:jc w:val="both"/>
        <w:rPr>
          <w:bCs/>
        </w:rPr>
      </w:pPr>
      <w:r w:rsidRPr="00A77628">
        <w:rPr>
          <w:bCs/>
        </w:rPr>
        <w:t>ОП „Добро управление” – 8</w:t>
      </w:r>
      <w:r>
        <w:rPr>
          <w:bCs/>
        </w:rPr>
        <w:t>,</w:t>
      </w:r>
      <w:r w:rsidRPr="00A77628">
        <w:rPr>
          <w:bCs/>
        </w:rPr>
        <w:t>4 млн. лв.;</w:t>
      </w:r>
    </w:p>
    <w:p w14:paraId="421B324C" w14:textId="39562A2E" w:rsidR="00F73702" w:rsidRPr="00531E0F" w:rsidRDefault="00F73702" w:rsidP="00F73702">
      <w:pPr>
        <w:numPr>
          <w:ilvl w:val="0"/>
          <w:numId w:val="11"/>
        </w:numPr>
        <w:tabs>
          <w:tab w:val="clear" w:pos="1101"/>
          <w:tab w:val="num" w:pos="786"/>
        </w:tabs>
        <w:ind w:left="786"/>
        <w:jc w:val="both"/>
        <w:rPr>
          <w:bCs/>
        </w:rPr>
      </w:pPr>
      <w:r w:rsidRPr="00531E0F">
        <w:rPr>
          <w:bCs/>
        </w:rPr>
        <w:t>ОП „Региони в растеж“ – 22</w:t>
      </w:r>
      <w:r>
        <w:rPr>
          <w:bCs/>
        </w:rPr>
        <w:t>,</w:t>
      </w:r>
      <w:r w:rsidRPr="00531E0F">
        <w:rPr>
          <w:bCs/>
        </w:rPr>
        <w:t>8 млн. лв.</w:t>
      </w:r>
      <w:r w:rsidRPr="00F73702">
        <w:rPr>
          <w:bCs/>
          <w:lang w:val="ru-RU"/>
        </w:rPr>
        <w:t xml:space="preserve"> </w:t>
      </w:r>
      <w:r w:rsidRPr="00531E0F">
        <w:rPr>
          <w:bCs/>
        </w:rPr>
        <w:t>(няма средства по REACT-EU);</w:t>
      </w:r>
    </w:p>
    <w:p w14:paraId="28655804" w14:textId="5D4ABA07" w:rsidR="00F73702" w:rsidRPr="00783A8B" w:rsidRDefault="00F73702" w:rsidP="00F73702">
      <w:pPr>
        <w:numPr>
          <w:ilvl w:val="0"/>
          <w:numId w:val="11"/>
        </w:numPr>
        <w:tabs>
          <w:tab w:val="clear" w:pos="1101"/>
          <w:tab w:val="num" w:pos="786"/>
        </w:tabs>
        <w:ind w:left="786"/>
        <w:jc w:val="both"/>
        <w:rPr>
          <w:bCs/>
        </w:rPr>
      </w:pPr>
      <w:r w:rsidRPr="00783A8B">
        <w:rPr>
          <w:bCs/>
        </w:rPr>
        <w:t>ОП „Транспорт и транспортна инфраструктура” – 21</w:t>
      </w:r>
      <w:r>
        <w:rPr>
          <w:bCs/>
        </w:rPr>
        <w:t>,</w:t>
      </w:r>
      <w:r w:rsidRPr="00783A8B">
        <w:rPr>
          <w:bCs/>
        </w:rPr>
        <w:t>2 млн. лв.;</w:t>
      </w:r>
    </w:p>
    <w:p w14:paraId="52EE5317" w14:textId="72090994" w:rsidR="00F73702" w:rsidRPr="00783A8B" w:rsidRDefault="00F73702" w:rsidP="00F73702">
      <w:pPr>
        <w:numPr>
          <w:ilvl w:val="0"/>
          <w:numId w:val="11"/>
        </w:numPr>
        <w:tabs>
          <w:tab w:val="clear" w:pos="1101"/>
          <w:tab w:val="num" w:pos="786"/>
        </w:tabs>
        <w:ind w:left="786"/>
        <w:jc w:val="both"/>
        <w:rPr>
          <w:bCs/>
        </w:rPr>
      </w:pPr>
      <w:r w:rsidRPr="00783A8B">
        <w:rPr>
          <w:bCs/>
        </w:rPr>
        <w:t>ОП „Наука и образование за интелигентен растеж” – 42</w:t>
      </w:r>
      <w:r>
        <w:rPr>
          <w:bCs/>
        </w:rPr>
        <w:t>,</w:t>
      </w:r>
      <w:r w:rsidRPr="00783A8B">
        <w:rPr>
          <w:bCs/>
        </w:rPr>
        <w:t>1 млн. лв. (вкл. REACT-EU в размер на 0</w:t>
      </w:r>
      <w:r>
        <w:rPr>
          <w:bCs/>
        </w:rPr>
        <w:t>,</w:t>
      </w:r>
      <w:r w:rsidRPr="00783A8B">
        <w:rPr>
          <w:bCs/>
        </w:rPr>
        <w:t>7 млн. лева) и</w:t>
      </w:r>
    </w:p>
    <w:p w14:paraId="1BF677B1" w14:textId="59F400D6" w:rsidR="00F73702" w:rsidRPr="00FE0091" w:rsidRDefault="00F73702" w:rsidP="00F73702">
      <w:pPr>
        <w:numPr>
          <w:ilvl w:val="0"/>
          <w:numId w:val="11"/>
        </w:numPr>
        <w:tabs>
          <w:tab w:val="clear" w:pos="1101"/>
          <w:tab w:val="num" w:pos="786"/>
        </w:tabs>
        <w:ind w:left="786"/>
        <w:jc w:val="both"/>
        <w:rPr>
          <w:bCs/>
        </w:rPr>
      </w:pPr>
      <w:r w:rsidRPr="00FE0091">
        <w:rPr>
          <w:bCs/>
        </w:rPr>
        <w:t>ОП „Околна среда 2014 – 2020 г.“ – 94</w:t>
      </w:r>
      <w:r>
        <w:rPr>
          <w:bCs/>
        </w:rPr>
        <w:t>,</w:t>
      </w:r>
      <w:r w:rsidRPr="00FE0091">
        <w:rPr>
          <w:bCs/>
        </w:rPr>
        <w:t>3 млн. л</w:t>
      </w:r>
      <w:r>
        <w:rPr>
          <w:bCs/>
        </w:rPr>
        <w:t>е</w:t>
      </w:r>
      <w:r w:rsidRPr="00FE0091">
        <w:rPr>
          <w:bCs/>
        </w:rPr>
        <w:t>в</w:t>
      </w:r>
      <w:r>
        <w:rPr>
          <w:bCs/>
        </w:rPr>
        <w:t>а</w:t>
      </w:r>
      <w:r w:rsidRPr="00FE0091">
        <w:rPr>
          <w:bCs/>
        </w:rPr>
        <w:t>.</w:t>
      </w:r>
    </w:p>
    <w:p w14:paraId="595A8F13" w14:textId="265E00D0" w:rsidR="00F73702" w:rsidRPr="00D84FBC" w:rsidRDefault="00F73702" w:rsidP="0067626D">
      <w:pPr>
        <w:ind w:firstLine="708"/>
        <w:jc w:val="both"/>
        <w:rPr>
          <w:bCs/>
        </w:rPr>
      </w:pPr>
      <w:r w:rsidRPr="00D84FBC">
        <w:rPr>
          <w:bCs/>
        </w:rPr>
        <w:t>Предоставеното авансово финансиране по реда на ДДС 6/2011 г. към бюджетни организации за периода е на стойност 5</w:t>
      </w:r>
      <w:r>
        <w:rPr>
          <w:bCs/>
        </w:rPr>
        <w:t>,</w:t>
      </w:r>
      <w:r w:rsidRPr="00D84FBC">
        <w:rPr>
          <w:bCs/>
        </w:rPr>
        <w:t>3 млн. лева, а възстановените средства – 21</w:t>
      </w:r>
      <w:r>
        <w:rPr>
          <w:bCs/>
        </w:rPr>
        <w:t>,</w:t>
      </w:r>
      <w:r w:rsidRPr="00D84FBC">
        <w:rPr>
          <w:bCs/>
        </w:rPr>
        <w:t>5 млн. лева.</w:t>
      </w:r>
    </w:p>
    <w:p w14:paraId="022FBA93" w14:textId="7444AA07" w:rsidR="00F73702" w:rsidRPr="00F73702" w:rsidRDefault="00F73702" w:rsidP="00F73702">
      <w:pPr>
        <w:jc w:val="both"/>
        <w:rPr>
          <w:bCs/>
          <w:color w:val="00B0F0"/>
          <w:lang w:val="ru-RU"/>
        </w:rPr>
      </w:pPr>
      <w:r w:rsidRPr="00D84FBC">
        <w:rPr>
          <w:bCs/>
        </w:rPr>
        <w:t>В сумата на предоставеното авансово финансиране по реда на ДДС</w:t>
      </w:r>
      <w:r>
        <w:rPr>
          <w:bCs/>
        </w:rPr>
        <w:t xml:space="preserve"> </w:t>
      </w:r>
      <w:r w:rsidRPr="00D84FBC">
        <w:rPr>
          <w:bCs/>
        </w:rPr>
        <w:t>6/2011 г. е включена и предоставена възмездна финансова помощ (нето) в размер на 2</w:t>
      </w:r>
      <w:r w:rsidR="0067626D">
        <w:rPr>
          <w:bCs/>
        </w:rPr>
        <w:t>,</w:t>
      </w:r>
      <w:r w:rsidRPr="00D84FBC">
        <w:rPr>
          <w:bCs/>
        </w:rPr>
        <w:t>5 млн. лв</w:t>
      </w:r>
      <w:r w:rsidR="0067626D">
        <w:rPr>
          <w:bCs/>
        </w:rPr>
        <w:t>.</w:t>
      </w:r>
      <w:r w:rsidRPr="00D84FBC">
        <w:rPr>
          <w:bCs/>
        </w:rPr>
        <w:t xml:space="preserve"> на ОП „Транспорт и транспортна инфраструктура”.</w:t>
      </w:r>
      <w:r w:rsidRPr="00D84FBC">
        <w:t xml:space="preserve"> </w:t>
      </w:r>
    </w:p>
    <w:p w14:paraId="7C1557BD" w14:textId="61CFB107" w:rsidR="00F73702" w:rsidRPr="00D22AAD" w:rsidRDefault="00F73702" w:rsidP="0067626D">
      <w:pPr>
        <w:ind w:firstLine="686"/>
        <w:jc w:val="both"/>
        <w:rPr>
          <w:bCs/>
        </w:rPr>
      </w:pPr>
      <w:r w:rsidRPr="00D22AAD">
        <w:rPr>
          <w:bCs/>
        </w:rPr>
        <w:t xml:space="preserve">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w:t>
      </w:r>
      <w:r w:rsidRPr="00F73702">
        <w:rPr>
          <w:bCs/>
          <w:lang w:val="ru-RU"/>
        </w:rPr>
        <w:t>47</w:t>
      </w:r>
      <w:r w:rsidR="0067626D">
        <w:rPr>
          <w:bCs/>
          <w:lang w:val="ru-RU"/>
        </w:rPr>
        <w:t>,</w:t>
      </w:r>
      <w:r w:rsidRPr="00F73702">
        <w:rPr>
          <w:bCs/>
          <w:lang w:val="ru-RU"/>
        </w:rPr>
        <w:t>0</w:t>
      </w:r>
      <w:r w:rsidRPr="00D22AAD">
        <w:rPr>
          <w:bCs/>
        </w:rPr>
        <w:t xml:space="preserve"> млн. лева.</w:t>
      </w:r>
    </w:p>
    <w:p w14:paraId="59D3F2A9" w14:textId="77777777" w:rsidR="00F73702" w:rsidRPr="002C366E" w:rsidRDefault="00F73702" w:rsidP="00F73702">
      <w:pPr>
        <w:spacing w:before="120"/>
        <w:ind w:firstLine="686"/>
        <w:jc w:val="both"/>
        <w:rPr>
          <w:bCs/>
        </w:rPr>
      </w:pPr>
      <w:r w:rsidRPr="002C366E">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14:paraId="331117AF" w14:textId="4DF44935" w:rsidR="00F73702" w:rsidRPr="002C366E" w:rsidRDefault="00F73702" w:rsidP="00F73702">
      <w:pPr>
        <w:jc w:val="both"/>
        <w:rPr>
          <w:bCs/>
        </w:rPr>
      </w:pPr>
      <w:r w:rsidRPr="002C366E">
        <w:rPr>
          <w:bCs/>
        </w:rPr>
        <w:t>Направените разходи за периода са в размер на 55</w:t>
      </w:r>
      <w:r w:rsidR="00D71F03">
        <w:rPr>
          <w:bCs/>
        </w:rPr>
        <w:t>,</w:t>
      </w:r>
      <w:r w:rsidRPr="002C366E">
        <w:rPr>
          <w:bCs/>
        </w:rPr>
        <w:t>9 млн. лв. и са разпределени както следва:</w:t>
      </w:r>
    </w:p>
    <w:p w14:paraId="31C669B2" w14:textId="64960A1A" w:rsidR="00F73702" w:rsidRPr="002C366E" w:rsidRDefault="00F73702" w:rsidP="00F73702">
      <w:pPr>
        <w:numPr>
          <w:ilvl w:val="0"/>
          <w:numId w:val="11"/>
        </w:numPr>
        <w:tabs>
          <w:tab w:val="clear" w:pos="1101"/>
          <w:tab w:val="num" w:pos="786"/>
        </w:tabs>
        <w:ind w:left="786"/>
        <w:jc w:val="both"/>
        <w:rPr>
          <w:bCs/>
        </w:rPr>
      </w:pPr>
      <w:r w:rsidRPr="002C366E">
        <w:rPr>
          <w:bCs/>
        </w:rPr>
        <w:t>Програма „Развитие на човешките ресурси” 2021-2027 г. – 21</w:t>
      </w:r>
      <w:r w:rsidR="00D71F03">
        <w:rPr>
          <w:bCs/>
        </w:rPr>
        <w:t>,</w:t>
      </w:r>
      <w:r w:rsidRPr="002C366E">
        <w:rPr>
          <w:bCs/>
        </w:rPr>
        <w:t xml:space="preserve">9 млн. лв.;  </w:t>
      </w:r>
    </w:p>
    <w:p w14:paraId="23D19254" w14:textId="1D20C4F5" w:rsidR="00F73702" w:rsidRPr="002C366E" w:rsidRDefault="00F73702" w:rsidP="00F73702">
      <w:pPr>
        <w:numPr>
          <w:ilvl w:val="0"/>
          <w:numId w:val="11"/>
        </w:numPr>
        <w:tabs>
          <w:tab w:val="clear" w:pos="1101"/>
          <w:tab w:val="num" w:pos="786"/>
        </w:tabs>
        <w:ind w:left="786"/>
        <w:jc w:val="both"/>
        <w:rPr>
          <w:bCs/>
        </w:rPr>
      </w:pPr>
      <w:r w:rsidRPr="002C366E">
        <w:rPr>
          <w:bCs/>
        </w:rPr>
        <w:t>Програма „Храни и основно материално подпомагане” 2021-2027 г. – 20</w:t>
      </w:r>
      <w:r w:rsidR="00D71F03">
        <w:rPr>
          <w:bCs/>
        </w:rPr>
        <w:t>,</w:t>
      </w:r>
      <w:r w:rsidRPr="002C366E">
        <w:rPr>
          <w:bCs/>
        </w:rPr>
        <w:t>8 млн. лв.;</w:t>
      </w:r>
    </w:p>
    <w:p w14:paraId="39E770FD" w14:textId="3F7D91D7" w:rsidR="00F73702" w:rsidRPr="002C366E" w:rsidRDefault="00F73702" w:rsidP="00F73702">
      <w:pPr>
        <w:numPr>
          <w:ilvl w:val="0"/>
          <w:numId w:val="11"/>
        </w:numPr>
        <w:tabs>
          <w:tab w:val="clear" w:pos="1101"/>
          <w:tab w:val="num" w:pos="786"/>
        </w:tabs>
        <w:ind w:left="786"/>
        <w:jc w:val="both"/>
        <w:rPr>
          <w:bCs/>
        </w:rPr>
      </w:pPr>
      <w:r w:rsidRPr="002C366E">
        <w:rPr>
          <w:bCs/>
        </w:rPr>
        <w:t>Програма „Конкурентоспособност и иновации в предприятията“ 2021 2027 г. – 13</w:t>
      </w:r>
      <w:r w:rsidR="00D71F03">
        <w:rPr>
          <w:bCs/>
        </w:rPr>
        <w:t>,</w:t>
      </w:r>
      <w:r>
        <w:rPr>
          <w:bCs/>
        </w:rPr>
        <w:t>2 млн. лв.</w:t>
      </w:r>
    </w:p>
    <w:p w14:paraId="7EE676E5" w14:textId="77777777" w:rsidR="00F73702" w:rsidRPr="00EC65F6" w:rsidRDefault="00F73702" w:rsidP="00F73702">
      <w:pPr>
        <w:spacing w:before="120"/>
        <w:ind w:firstLine="686"/>
        <w:jc w:val="both"/>
        <w:rPr>
          <w:b/>
          <w:bCs/>
        </w:rPr>
      </w:pPr>
      <w:r w:rsidRPr="00EC65F6">
        <w:rPr>
          <w:b/>
          <w:bCs/>
        </w:rPr>
        <w:t>Национален план за възстановяване и устойчивост (НПВУ)</w:t>
      </w:r>
    </w:p>
    <w:p w14:paraId="6A6C18FD" w14:textId="62C61FBF" w:rsidR="00F73702" w:rsidRPr="00EC65F6" w:rsidRDefault="00F73702" w:rsidP="00F73702">
      <w:pPr>
        <w:spacing w:before="120"/>
        <w:ind w:firstLine="686"/>
        <w:jc w:val="both"/>
        <w:rPr>
          <w:bCs/>
        </w:rPr>
      </w:pPr>
      <w:r w:rsidRPr="00EC65F6">
        <w:rPr>
          <w:bCs/>
        </w:rPr>
        <w:t>През отчетния период чрез НПВУ бяха извършени разходи и трансфери (нето)</w:t>
      </w:r>
      <w:r w:rsidRPr="00F73702">
        <w:rPr>
          <w:bCs/>
          <w:lang w:val="ru-RU"/>
        </w:rPr>
        <w:t xml:space="preserve"> </w:t>
      </w:r>
      <w:r w:rsidRPr="00EC65F6">
        <w:rPr>
          <w:bCs/>
        </w:rPr>
        <w:t>в размер на 10</w:t>
      </w:r>
      <w:r w:rsidR="00D71F03">
        <w:rPr>
          <w:bCs/>
        </w:rPr>
        <w:t>,</w:t>
      </w:r>
      <w:r w:rsidRPr="00EC65F6">
        <w:rPr>
          <w:bCs/>
        </w:rPr>
        <w:t>3 млн. лева.</w:t>
      </w:r>
    </w:p>
    <w:p w14:paraId="50078E08" w14:textId="77777777" w:rsidR="00F73702" w:rsidRPr="00D50A1C" w:rsidRDefault="00F73702" w:rsidP="00F73702">
      <w:pPr>
        <w:spacing w:before="120"/>
        <w:ind w:firstLine="686"/>
        <w:jc w:val="both"/>
        <w:rPr>
          <w:b/>
          <w:bCs/>
        </w:rPr>
      </w:pPr>
      <w:r w:rsidRPr="00D50A1C">
        <w:rPr>
          <w:b/>
          <w:bCs/>
        </w:rPr>
        <w:t xml:space="preserve">Програма ФАР </w:t>
      </w:r>
    </w:p>
    <w:p w14:paraId="4CE0A6DE" w14:textId="6F2A4F38" w:rsidR="00F73702" w:rsidRPr="00D50A1C" w:rsidRDefault="00F73702" w:rsidP="00F73702">
      <w:pPr>
        <w:ind w:firstLine="686"/>
        <w:jc w:val="both"/>
        <w:rPr>
          <w:bCs/>
        </w:rPr>
      </w:pPr>
      <w:r w:rsidRPr="00D50A1C">
        <w:rPr>
          <w:bCs/>
        </w:rPr>
        <w:t>През отчетния период са възстановени суми от бенефициенти на стойност 0</w:t>
      </w:r>
      <w:r w:rsidR="00D71F03">
        <w:rPr>
          <w:bCs/>
        </w:rPr>
        <w:t>,</w:t>
      </w:r>
      <w:r w:rsidRPr="00D50A1C">
        <w:rPr>
          <w:bCs/>
        </w:rPr>
        <w:t>00</w:t>
      </w:r>
      <w:r w:rsidRPr="00F73702">
        <w:rPr>
          <w:bCs/>
          <w:lang w:val="ru-RU"/>
        </w:rPr>
        <w:t>3</w:t>
      </w:r>
      <w:r w:rsidRPr="00D50A1C">
        <w:rPr>
          <w:bCs/>
        </w:rPr>
        <w:t xml:space="preserve"> млн.</w:t>
      </w:r>
      <w:r w:rsidR="00D71F03">
        <w:rPr>
          <w:bCs/>
        </w:rPr>
        <w:t> </w:t>
      </w:r>
      <w:r w:rsidRPr="00D50A1C">
        <w:rPr>
          <w:bCs/>
        </w:rPr>
        <w:t xml:space="preserve">лева. </w:t>
      </w:r>
    </w:p>
    <w:p w14:paraId="616E63F2" w14:textId="77777777" w:rsidR="00F73702" w:rsidRPr="0052433C" w:rsidRDefault="00F73702" w:rsidP="00F73702">
      <w:pPr>
        <w:spacing w:before="120"/>
        <w:ind w:firstLine="686"/>
        <w:jc w:val="both"/>
        <w:rPr>
          <w:b/>
          <w:bCs/>
        </w:rPr>
      </w:pPr>
      <w:r w:rsidRPr="00D50A1C">
        <w:rPr>
          <w:b/>
          <w:bCs/>
        </w:rPr>
        <w:t>Програ</w:t>
      </w:r>
      <w:r w:rsidRPr="0052433C">
        <w:rPr>
          <w:b/>
          <w:bCs/>
        </w:rPr>
        <w:t xml:space="preserve">ма САПАРД </w:t>
      </w:r>
    </w:p>
    <w:p w14:paraId="62FD17D3" w14:textId="06F3698E" w:rsidR="00F73702" w:rsidRPr="0052433C" w:rsidRDefault="00F73702" w:rsidP="00F73702">
      <w:pPr>
        <w:ind w:firstLine="686"/>
        <w:jc w:val="both"/>
        <w:rPr>
          <w:bCs/>
        </w:rPr>
      </w:pPr>
      <w:r w:rsidRPr="0052433C">
        <w:rPr>
          <w:bCs/>
        </w:rPr>
        <w:t>През периода са извършени възстановявания от бенефициенти по дългове на стойност 0</w:t>
      </w:r>
      <w:r w:rsidR="00D71F03">
        <w:rPr>
          <w:bCs/>
        </w:rPr>
        <w:t>,</w:t>
      </w:r>
      <w:r w:rsidRPr="0052433C">
        <w:rPr>
          <w:bCs/>
        </w:rPr>
        <w:t>04 млн. л</w:t>
      </w:r>
      <w:r w:rsidR="00D71F03">
        <w:rPr>
          <w:bCs/>
        </w:rPr>
        <w:t>е</w:t>
      </w:r>
      <w:r w:rsidRPr="0052433C">
        <w:rPr>
          <w:bCs/>
        </w:rPr>
        <w:t>в</w:t>
      </w:r>
      <w:r w:rsidR="00D71F03">
        <w:rPr>
          <w:bCs/>
        </w:rPr>
        <w:t>а</w:t>
      </w:r>
      <w:r w:rsidRPr="0052433C">
        <w:rPr>
          <w:bCs/>
        </w:rPr>
        <w:t>.</w:t>
      </w:r>
    </w:p>
    <w:p w14:paraId="2287DC7C" w14:textId="77777777" w:rsidR="00F73702" w:rsidRPr="00150D51" w:rsidRDefault="00F73702" w:rsidP="00F73702">
      <w:pPr>
        <w:spacing w:before="120"/>
        <w:ind w:firstLine="686"/>
        <w:jc w:val="both"/>
        <w:rPr>
          <w:b/>
          <w:bCs/>
        </w:rPr>
      </w:pPr>
      <w:r w:rsidRPr="00824C97">
        <w:rPr>
          <w:bCs/>
          <w:color w:val="00B0F0"/>
        </w:rPr>
        <w:tab/>
      </w:r>
      <w:r w:rsidRPr="00150D51">
        <w:rPr>
          <w:b/>
          <w:bCs/>
        </w:rPr>
        <w:t>Двустранни програми за трансгранично сътрудничество по външните граници на Европейския съюз 2007 – 2013 г., 2014 – 2020 г. и 2021 – 2027 г.</w:t>
      </w:r>
    </w:p>
    <w:p w14:paraId="51224AED" w14:textId="5B767319" w:rsidR="00F73702" w:rsidRPr="00150D51" w:rsidRDefault="00F73702" w:rsidP="00D71F03">
      <w:pPr>
        <w:ind w:firstLine="686"/>
        <w:jc w:val="both"/>
        <w:rPr>
          <w:bCs/>
        </w:rPr>
      </w:pPr>
      <w:r w:rsidRPr="00150D51">
        <w:rPr>
          <w:bCs/>
        </w:rPr>
        <w:t>Получените средства към 31.03.2023 г. са на стойност 19</w:t>
      </w:r>
      <w:r w:rsidR="00D71F03">
        <w:rPr>
          <w:bCs/>
        </w:rPr>
        <w:t>,</w:t>
      </w:r>
      <w:r w:rsidRPr="00150D51">
        <w:rPr>
          <w:bCs/>
        </w:rPr>
        <w:t>4 млн. лв., представляващи възстановени разходи от ЕК по ПП 2014-2020 г., постъпили средства за съфинансиране от страните-партньори, както</w:t>
      </w:r>
      <w:r w:rsidR="00D71F03">
        <w:rPr>
          <w:bCs/>
        </w:rPr>
        <w:t xml:space="preserve"> и</w:t>
      </w:r>
      <w:r w:rsidRPr="00150D51">
        <w:rPr>
          <w:bCs/>
        </w:rPr>
        <w:t xml:space="preserve"> разпределени към администратори в чужбина за сметка на средствата, получени от страната-партньор и втори за предварително финансиране по ПП 2021-2027 г.</w:t>
      </w:r>
    </w:p>
    <w:p w14:paraId="2BA143AF" w14:textId="2BD027E9" w:rsidR="00F73702" w:rsidRPr="00824C97" w:rsidRDefault="00F73702" w:rsidP="00D71F03">
      <w:pPr>
        <w:ind w:firstLine="686"/>
        <w:jc w:val="both"/>
        <w:rPr>
          <w:b/>
          <w:bCs/>
          <w:color w:val="00B0F0"/>
        </w:rPr>
      </w:pPr>
      <w:r w:rsidRPr="00150D51">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w:t>
      </w:r>
      <w:r w:rsidR="00D71F03">
        <w:rPr>
          <w:bCs/>
        </w:rPr>
        <w:t>,</w:t>
      </w:r>
      <w:r w:rsidRPr="00150D51">
        <w:rPr>
          <w:bCs/>
        </w:rPr>
        <w:t xml:space="preserve">4 млн. лв., включително за плащания към бенефициенти в страната, извършени за сметка на полученото финансиране от страната-партньор по тези програми. </w:t>
      </w:r>
    </w:p>
    <w:p w14:paraId="64AE6564" w14:textId="77777777" w:rsidR="00F73702" w:rsidRPr="00824BBE" w:rsidRDefault="00F73702" w:rsidP="00F73702">
      <w:pPr>
        <w:spacing w:before="120"/>
        <w:ind w:firstLine="708"/>
        <w:jc w:val="both"/>
        <w:rPr>
          <w:b/>
          <w:bCs/>
        </w:rPr>
      </w:pPr>
      <w:r w:rsidRPr="00824BBE">
        <w:rPr>
          <w:b/>
          <w:bCs/>
        </w:rPr>
        <w:t>Финансов механизъм на Европейското икономическо пространство и Норвежки финансов механизъм за периода 2009-2014 г. и 2014-2021 г.</w:t>
      </w:r>
    </w:p>
    <w:p w14:paraId="11749ED9" w14:textId="6A1E96C3" w:rsidR="00F73702" w:rsidRDefault="00F73702" w:rsidP="00D71F03">
      <w:pPr>
        <w:ind w:firstLine="708"/>
        <w:jc w:val="both"/>
        <w:rPr>
          <w:bCs/>
        </w:rPr>
      </w:pPr>
      <w:r w:rsidRPr="00824BBE">
        <w:rPr>
          <w:bCs/>
        </w:rPr>
        <w:t>Сумата на разходите и трансферите (нето) за периода са на обща стойност 17</w:t>
      </w:r>
      <w:r w:rsidR="00D71F03">
        <w:rPr>
          <w:bCs/>
        </w:rPr>
        <w:t>,</w:t>
      </w:r>
      <w:r w:rsidRPr="00824BBE">
        <w:rPr>
          <w:bCs/>
        </w:rPr>
        <w:t>8 млн. лева.</w:t>
      </w:r>
    </w:p>
    <w:p w14:paraId="328AA882" w14:textId="77777777" w:rsidR="00033525" w:rsidRDefault="00033525" w:rsidP="00D71F03">
      <w:pPr>
        <w:ind w:firstLine="708"/>
        <w:jc w:val="both"/>
        <w:rPr>
          <w:bCs/>
        </w:rPr>
      </w:pPr>
    </w:p>
    <w:p w14:paraId="2E9380FB" w14:textId="77777777" w:rsidR="00936CD8" w:rsidRPr="00F33C19" w:rsidRDefault="00936CD8" w:rsidP="00936CD8">
      <w:pPr>
        <w:pStyle w:val="Heading1"/>
        <w:numPr>
          <w:ilvl w:val="0"/>
          <w:numId w:val="9"/>
        </w:numPr>
        <w:spacing w:before="360"/>
        <w:ind w:left="533" w:right="-108" w:hanging="391"/>
        <w:jc w:val="both"/>
        <w:rPr>
          <w:sz w:val="24"/>
        </w:rPr>
      </w:pPr>
      <w:r w:rsidRPr="00F33C19">
        <w:rPr>
          <w:sz w:val="24"/>
        </w:rPr>
        <w:t>Бюджети на социално и здравно-осигурителните фондове и бюджети по чл. 13, ал. 2 и ал. 3 на Закона за публичните финанси</w:t>
      </w:r>
    </w:p>
    <w:p w14:paraId="6BC7F586" w14:textId="77777777" w:rsidR="00936CD8" w:rsidRPr="00F33C19" w:rsidRDefault="00936CD8" w:rsidP="00751212">
      <w:pPr>
        <w:pStyle w:val="Heading1"/>
        <w:numPr>
          <w:ilvl w:val="1"/>
          <w:numId w:val="9"/>
        </w:numPr>
        <w:spacing w:before="240"/>
        <w:ind w:left="788" w:right="-108" w:hanging="431"/>
        <w:jc w:val="both"/>
        <w:rPr>
          <w:sz w:val="24"/>
          <w:lang w:val="en-US"/>
        </w:rPr>
      </w:pPr>
      <w:r w:rsidRPr="00F33C19">
        <w:rPr>
          <w:sz w:val="24"/>
        </w:rPr>
        <w:t>Социално и здравно-осигурителни фондове</w:t>
      </w:r>
    </w:p>
    <w:p w14:paraId="7DBDB0CE" w14:textId="77777777" w:rsidR="00DD564B" w:rsidRPr="008B08AF" w:rsidRDefault="00DD564B" w:rsidP="00DD564B">
      <w:pPr>
        <w:numPr>
          <w:ilvl w:val="1"/>
          <w:numId w:val="6"/>
        </w:numPr>
        <w:spacing w:before="120" w:line="276" w:lineRule="auto"/>
        <w:ind w:left="992" w:hanging="357"/>
        <w:jc w:val="both"/>
        <w:rPr>
          <w:b/>
          <w:bCs/>
        </w:rPr>
      </w:pPr>
      <w:r w:rsidRPr="008B08AF">
        <w:rPr>
          <w:b/>
        </w:rPr>
        <w:t>Държавно обществено осигуряване</w:t>
      </w:r>
    </w:p>
    <w:p w14:paraId="7134BC01" w14:textId="77777777" w:rsidR="00DD564B" w:rsidRPr="00971C38" w:rsidRDefault="00DD564B" w:rsidP="00DD564B">
      <w:pPr>
        <w:ind w:firstLine="567"/>
        <w:jc w:val="both"/>
        <w:rPr>
          <w:rFonts w:eastAsiaTheme="minorHAnsi"/>
        </w:rPr>
      </w:pPr>
      <w:r w:rsidRPr="00372786">
        <w:t xml:space="preserve">Общата сума на </w:t>
      </w:r>
      <w:r w:rsidRPr="00372786">
        <w:rPr>
          <w:b/>
        </w:rPr>
        <w:t>приходите, помощите и даренията</w:t>
      </w:r>
      <w:r w:rsidRPr="00372786">
        <w:t xml:space="preserve"> по бюджета на Държавното обществено осигуряване (ДОО) към 3</w:t>
      </w:r>
      <w:r w:rsidRPr="00AB241B">
        <w:rPr>
          <w:lang w:val="ru-RU"/>
        </w:rPr>
        <w:t>1</w:t>
      </w:r>
      <w:r w:rsidRPr="00372786">
        <w:t>.0</w:t>
      </w:r>
      <w:r w:rsidRPr="00AB241B">
        <w:rPr>
          <w:lang w:val="ru-RU"/>
        </w:rPr>
        <w:t>3</w:t>
      </w:r>
      <w:r w:rsidRPr="00372786">
        <w:t>.202</w:t>
      </w:r>
      <w:r w:rsidRPr="00AB241B">
        <w:rPr>
          <w:lang w:val="ru-RU"/>
        </w:rPr>
        <w:t>3</w:t>
      </w:r>
      <w:r w:rsidRPr="00372786">
        <w:t xml:space="preserve"> г. възлиза на </w:t>
      </w:r>
      <w:r w:rsidRPr="00AB241B">
        <w:rPr>
          <w:lang w:val="ru-RU"/>
        </w:rPr>
        <w:t>2</w:t>
      </w:r>
      <w:r w:rsidRPr="00372786">
        <w:t> </w:t>
      </w:r>
      <w:r w:rsidRPr="00AB241B">
        <w:rPr>
          <w:lang w:val="ru-RU"/>
        </w:rPr>
        <w:t>631</w:t>
      </w:r>
      <w:r w:rsidRPr="00372786">
        <w:t>,</w:t>
      </w:r>
      <w:r w:rsidRPr="00AB241B">
        <w:rPr>
          <w:lang w:val="ru-RU"/>
        </w:rPr>
        <w:t>1</w:t>
      </w:r>
      <w:r w:rsidRPr="00372786">
        <w:t xml:space="preserve"> млн. лв. Най-голям е делът на приходите от осигурителни вноски (98,</w:t>
      </w:r>
      <w:r w:rsidRPr="00AB241B">
        <w:rPr>
          <w:lang w:val="ru-RU"/>
        </w:rPr>
        <w:t>4</w:t>
      </w:r>
      <w:r w:rsidRPr="00372786">
        <w:t xml:space="preserve"> % от общите приходи), които за отчетния период са в размер на </w:t>
      </w:r>
      <w:r w:rsidRPr="00AB241B">
        <w:rPr>
          <w:lang w:val="ru-RU"/>
        </w:rPr>
        <w:t>2</w:t>
      </w:r>
      <w:r w:rsidRPr="00372786">
        <w:t> </w:t>
      </w:r>
      <w:r w:rsidRPr="00AB241B">
        <w:rPr>
          <w:lang w:val="ru-RU"/>
        </w:rPr>
        <w:t>589</w:t>
      </w:r>
      <w:r w:rsidRPr="00372786">
        <w:t>,</w:t>
      </w:r>
      <w:r w:rsidRPr="00AB241B">
        <w:rPr>
          <w:lang w:val="ru-RU"/>
        </w:rPr>
        <w:t>9</w:t>
      </w:r>
      <w:r w:rsidRPr="00372786">
        <w:t xml:space="preserve"> млн. лв. Съпоставени с първото тримесечие на </w:t>
      </w:r>
      <w:r w:rsidRPr="00971C38">
        <w:t xml:space="preserve">2022 г., приходите по бюджета на ДОО нарастват с 417,7 млн. лв. (18,9 %). </w:t>
      </w:r>
    </w:p>
    <w:p w14:paraId="0F1D653B" w14:textId="77777777" w:rsidR="00DD564B" w:rsidRPr="00971C38" w:rsidRDefault="00DD564B" w:rsidP="00DD564B">
      <w:pPr>
        <w:ind w:firstLine="567"/>
        <w:jc w:val="both"/>
        <w:rPr>
          <w:bCs/>
        </w:rPr>
      </w:pPr>
      <w:r w:rsidRPr="00971C38">
        <w:rPr>
          <w:bCs/>
        </w:rPr>
        <w:t>Отчетените неданъчни приходи към края на март 2023 г. по бюджета на ДОО възлизат на 41,2 млн. лв., в т.ч. 32,9 млн. лв. постъпили средства по чл. 4б, чл. 4в и чл. 69б от Кодекса за социално осигуряване (КСО)</w:t>
      </w:r>
      <w:r w:rsidRPr="00971C38">
        <w:t>.</w:t>
      </w:r>
      <w:r w:rsidRPr="00971C38">
        <w:rPr>
          <w:bCs/>
        </w:rPr>
        <w:t xml:space="preserve"> </w:t>
      </w:r>
    </w:p>
    <w:p w14:paraId="75C14D71" w14:textId="77777777" w:rsidR="00DD564B" w:rsidRPr="00971C38" w:rsidRDefault="00DD564B" w:rsidP="00DD564B">
      <w:pPr>
        <w:tabs>
          <w:tab w:val="num" w:pos="1499"/>
          <w:tab w:val="num" w:pos="2148"/>
        </w:tabs>
        <w:ind w:firstLine="567"/>
        <w:jc w:val="both"/>
        <w:rPr>
          <w:bCs/>
        </w:rPr>
      </w:pPr>
      <w:r w:rsidRPr="00971C38">
        <w:rPr>
          <w:bCs/>
        </w:rPr>
        <w:t xml:space="preserve">Размерът на извършените </w:t>
      </w:r>
      <w:r w:rsidRPr="00971C38">
        <w:rPr>
          <w:b/>
          <w:bCs/>
        </w:rPr>
        <w:t xml:space="preserve">разходи </w:t>
      </w:r>
      <w:r w:rsidRPr="00971C38">
        <w:rPr>
          <w:bCs/>
        </w:rPr>
        <w:t xml:space="preserve">за първото полугодие на 2023 г. по бюджета на ДОО е 5 016,5 млн. лв. Спрямо същия период на миналата година, общо разходите по бюджета на ДОО са с 1 037,6 млн. лв. (26,1 %) повече. От структурна гледна точка най-голям относителен дял в общите разходи заемат разходите за пенсии, обезщетения и помощи, изплащани на основание КСО – общо 4 975,8 млн. лв. или 99,2 % от общия размер на разходите за отчетния период. </w:t>
      </w:r>
    </w:p>
    <w:p w14:paraId="13C4CD0F" w14:textId="77777777" w:rsidR="00DD564B" w:rsidRPr="00C76106" w:rsidRDefault="00DD564B" w:rsidP="00DD564B">
      <w:pPr>
        <w:tabs>
          <w:tab w:val="num" w:pos="1499"/>
          <w:tab w:val="num" w:pos="2148"/>
        </w:tabs>
        <w:ind w:firstLine="567"/>
        <w:jc w:val="both"/>
        <w:rPr>
          <w:bCs/>
        </w:rPr>
      </w:pPr>
      <w:r w:rsidRPr="00971C38">
        <w:rPr>
          <w:bCs/>
        </w:rPr>
        <w:t xml:space="preserve">Отчетените разходи за </w:t>
      </w:r>
      <w:r w:rsidRPr="00971C38">
        <w:rPr>
          <w:b/>
          <w:bCs/>
        </w:rPr>
        <w:t>пенсии</w:t>
      </w:r>
      <w:r w:rsidRPr="00971C38">
        <w:rPr>
          <w:bCs/>
        </w:rPr>
        <w:t xml:space="preserve"> по бюджета на ДОО към 31.03.2023 г. възлизат на </w:t>
      </w:r>
      <w:r w:rsidRPr="00A7587D">
        <w:rPr>
          <w:bCs/>
        </w:rPr>
        <w:t>4 478</w:t>
      </w:r>
      <w:r w:rsidRPr="00A7587D">
        <w:rPr>
          <w:bCs/>
          <w:lang w:val="ru-RU"/>
        </w:rPr>
        <w:t>,1</w:t>
      </w:r>
      <w:r w:rsidRPr="00A7587D">
        <w:rPr>
          <w:bCs/>
        </w:rPr>
        <w:t> млн. лв., което е с 1 045,8 млн. лв. повече спрямо първите три месеца на 2022 г. Основните причини за това са ефектите от изплащане на: увеличените пенсии от 1 юли 2022 г. с 10 %; увеличението от 1 юли 2022 г. на минималната пенсия от 370 на 467 лв.; увеличението от 1 октомври 2022 г. на част от пенсиите, вкл. на максималната</w:t>
      </w:r>
      <w:r w:rsidRPr="00A7587D">
        <w:rPr>
          <w:bCs/>
          <w:lang w:val="ru-RU"/>
        </w:rPr>
        <w:t xml:space="preserve"> </w:t>
      </w:r>
      <w:r w:rsidRPr="00A7587D">
        <w:rPr>
          <w:bCs/>
        </w:rPr>
        <w:t xml:space="preserve">– на 3 400 </w:t>
      </w:r>
      <w:r w:rsidRPr="00C76106">
        <w:rPr>
          <w:bCs/>
        </w:rPr>
        <w:t xml:space="preserve">лв.  </w:t>
      </w:r>
    </w:p>
    <w:p w14:paraId="7FFB663A" w14:textId="77777777" w:rsidR="00DD564B" w:rsidRPr="00C15913" w:rsidRDefault="00DD564B" w:rsidP="00DD564B">
      <w:pPr>
        <w:tabs>
          <w:tab w:val="num" w:pos="1499"/>
          <w:tab w:val="num" w:pos="2148"/>
        </w:tabs>
        <w:ind w:firstLine="567"/>
        <w:jc w:val="both"/>
        <w:rPr>
          <w:color w:val="0070C0"/>
        </w:rPr>
      </w:pPr>
      <w:r w:rsidRPr="00C76106">
        <w:t xml:space="preserve">Отчетените разходи за </w:t>
      </w:r>
      <w:r w:rsidRPr="00C76106">
        <w:rPr>
          <w:b/>
        </w:rPr>
        <w:t>краткосрочни обезщетения и помощи по КСО</w:t>
      </w:r>
      <w:r w:rsidRPr="00C76106">
        <w:t xml:space="preserve"> са в размер на 497,7 млн. лева. Спрямо същия период на миналата година изплатените обезщетения по КСО са с 20,4 млн. лв. (3,9 %) по-малко.</w:t>
      </w:r>
    </w:p>
    <w:p w14:paraId="6A8DBE99" w14:textId="77777777" w:rsidR="00DD564B" w:rsidRPr="00781EFA" w:rsidRDefault="00DD564B" w:rsidP="00DD564B">
      <w:pPr>
        <w:numPr>
          <w:ilvl w:val="1"/>
          <w:numId w:val="6"/>
        </w:numPr>
        <w:tabs>
          <w:tab w:val="num" w:pos="709"/>
          <w:tab w:val="left" w:pos="851"/>
          <w:tab w:val="left" w:pos="1134"/>
        </w:tabs>
        <w:spacing w:before="240" w:line="276" w:lineRule="auto"/>
        <w:ind w:left="709" w:hanging="357"/>
        <w:jc w:val="both"/>
        <w:rPr>
          <w:b/>
          <w:bCs/>
        </w:rPr>
      </w:pPr>
      <w:r w:rsidRPr="00781EFA">
        <w:rPr>
          <w:b/>
          <w:bCs/>
        </w:rPr>
        <w:t>Национална здравноосигурителна каса</w:t>
      </w:r>
    </w:p>
    <w:p w14:paraId="5AD5D36A" w14:textId="77777777" w:rsidR="00DD564B" w:rsidRPr="00C15913" w:rsidRDefault="00DD564B" w:rsidP="00DD564B">
      <w:pPr>
        <w:ind w:firstLine="567"/>
        <w:jc w:val="both"/>
        <w:rPr>
          <w:color w:val="0070C0"/>
        </w:rPr>
      </w:pPr>
      <w:r w:rsidRPr="00781EFA">
        <w:t xml:space="preserve">Общият размер на събраните </w:t>
      </w:r>
      <w:r w:rsidRPr="00781EFA">
        <w:rPr>
          <w:b/>
        </w:rPr>
        <w:t>приходи, помощи и дарения</w:t>
      </w:r>
      <w:r w:rsidRPr="00781EFA">
        <w:t xml:space="preserve"> по бюджета на НЗОК за първото полугодие на 2023 г. възлиза на 1 012,9 млн. лв., което е със 155,7 млн. лв. (18,2 %) повече от същия период на предходната година. Постъпленията от здравноосигурителни вноски са в размер на 1 005,2 млн. лв. Събраните неданъчни приходи за първите три месеца на 2023 г. са 7,7 млн. лв., като основната част от тях са приходи от глоби, санкции и наказателни лихви. </w:t>
      </w:r>
    </w:p>
    <w:p w14:paraId="581C6F8F" w14:textId="77777777" w:rsidR="00DD564B" w:rsidRPr="001F236F" w:rsidRDefault="00DD564B" w:rsidP="00DD564B">
      <w:pPr>
        <w:ind w:firstLine="567"/>
        <w:jc w:val="both"/>
      </w:pPr>
      <w:r w:rsidRPr="00137C5F">
        <w:t>Полученият трансфер от МЗ за</w:t>
      </w:r>
      <w:r w:rsidRPr="00137C5F">
        <w:rPr>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здравнонеосигурени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w:t>
      </w:r>
      <w:r>
        <w:rPr>
          <w:szCs w:val="20"/>
        </w:rPr>
        <w:t>ължителното здравно осигуряване</w:t>
      </w:r>
      <w:r w:rsidRPr="00137C5F">
        <w:t xml:space="preserve"> </w:t>
      </w:r>
      <w:r w:rsidRPr="00137C5F">
        <w:rPr>
          <w:szCs w:val="20"/>
        </w:rPr>
        <w:t xml:space="preserve">за отчетния период </w:t>
      </w:r>
      <w:r w:rsidRPr="00137C5F">
        <w:rPr>
          <w:szCs w:val="20"/>
          <w:lang w:val="en-US"/>
        </w:rPr>
        <w:t>e</w:t>
      </w:r>
      <w:r w:rsidRPr="00137C5F">
        <w:rPr>
          <w:szCs w:val="20"/>
        </w:rPr>
        <w:t xml:space="preserve"> в размер на 20,8</w:t>
      </w:r>
      <w:r w:rsidRPr="00137C5F">
        <w:t xml:space="preserve"> млн. лева.</w:t>
      </w:r>
      <w:r w:rsidRPr="001F236F">
        <w:t xml:space="preserve"> </w:t>
      </w:r>
    </w:p>
    <w:p w14:paraId="55F0A9EC" w14:textId="77777777" w:rsidR="00DD564B" w:rsidRPr="001F236F" w:rsidRDefault="00DD564B" w:rsidP="00DD564B">
      <w:pPr>
        <w:ind w:firstLine="567"/>
        <w:jc w:val="both"/>
      </w:pPr>
      <w:r w:rsidRPr="001F236F">
        <w:t xml:space="preserve">Трансферите от централния бюджет за периода са </w:t>
      </w:r>
      <w:r w:rsidRPr="00C430C7">
        <w:t>539,0 млн. лв.</w:t>
      </w:r>
    </w:p>
    <w:p w14:paraId="0CB3AEEF" w14:textId="77777777" w:rsidR="00DD564B" w:rsidRPr="00C15913" w:rsidRDefault="00DD564B" w:rsidP="00DD564B">
      <w:pPr>
        <w:ind w:firstLine="567"/>
        <w:jc w:val="both"/>
        <w:rPr>
          <w:color w:val="0070C0"/>
        </w:rPr>
      </w:pPr>
      <w:r w:rsidRPr="001F236F">
        <w:t xml:space="preserve">Отчетените </w:t>
      </w:r>
      <w:r w:rsidRPr="001F236F">
        <w:rPr>
          <w:b/>
        </w:rPr>
        <w:t>разходи</w:t>
      </w:r>
      <w:r w:rsidRPr="001F236F">
        <w:t xml:space="preserve"> към 31.03.2023 г. са в размер на 1 497,8 млн. лв. и са със 121,5 млн. лв. повече от същия период на миналата година. </w:t>
      </w:r>
    </w:p>
    <w:p w14:paraId="644AC563" w14:textId="77777777" w:rsidR="00DD564B" w:rsidRPr="001F236F" w:rsidRDefault="00DD564B" w:rsidP="00DD564B">
      <w:pPr>
        <w:ind w:firstLine="567"/>
        <w:jc w:val="both"/>
      </w:pPr>
      <w:r w:rsidRPr="001F236F">
        <w:t>Най-голям относителен дял в общите разходи (96,8 %) заемат здравноосигурителните плащания, които възлизат на 1 449,7 млн. лева. В отделните направления на здравноосигурителни плащания изпълнението на бюджета за първото тримесечие на 2023 г. е следното:</w:t>
      </w:r>
    </w:p>
    <w:p w14:paraId="23835A82" w14:textId="77777777" w:rsidR="00DD564B" w:rsidRPr="001F236F" w:rsidRDefault="00DD564B" w:rsidP="00DD564B">
      <w:pPr>
        <w:numPr>
          <w:ilvl w:val="0"/>
          <w:numId w:val="15"/>
        </w:numPr>
        <w:tabs>
          <w:tab w:val="num" w:pos="0"/>
          <w:tab w:val="left" w:pos="720"/>
          <w:tab w:val="left" w:pos="1134"/>
        </w:tabs>
        <w:spacing w:before="120"/>
        <w:ind w:hanging="6169"/>
        <w:jc w:val="both"/>
        <w:rPr>
          <w:bCs/>
        </w:rPr>
      </w:pPr>
      <w:r w:rsidRPr="001F236F">
        <w:rPr>
          <w:b/>
          <w:i/>
        </w:rPr>
        <w:t>първична извънболнична медицинска помощ</w:t>
      </w:r>
      <w:r w:rsidRPr="001F236F">
        <w:rPr>
          <w:i/>
        </w:rPr>
        <w:t xml:space="preserve"> –</w:t>
      </w:r>
      <w:r w:rsidRPr="001F236F">
        <w:t xml:space="preserve"> 81,0 млн. лева;</w:t>
      </w:r>
      <w:r w:rsidRPr="001F236F">
        <w:rPr>
          <w:bCs/>
        </w:rPr>
        <w:t xml:space="preserve"> </w:t>
      </w:r>
    </w:p>
    <w:p w14:paraId="0133E427" w14:textId="77777777" w:rsidR="00DD564B" w:rsidRPr="001F236F" w:rsidRDefault="00DD564B" w:rsidP="00DD564B">
      <w:pPr>
        <w:numPr>
          <w:ilvl w:val="0"/>
          <w:numId w:val="15"/>
        </w:numPr>
        <w:tabs>
          <w:tab w:val="num" w:pos="0"/>
          <w:tab w:val="left" w:pos="720"/>
          <w:tab w:val="left" w:pos="1134"/>
        </w:tabs>
        <w:ind w:hanging="6169"/>
        <w:jc w:val="both"/>
        <w:rPr>
          <w:i/>
        </w:rPr>
      </w:pPr>
      <w:r w:rsidRPr="001F236F">
        <w:rPr>
          <w:b/>
          <w:i/>
        </w:rPr>
        <w:t xml:space="preserve">специализирана извънболнична медицинска помощ </w:t>
      </w:r>
      <w:r w:rsidRPr="001F236F">
        <w:t xml:space="preserve"> – 92,7 млн. лева;</w:t>
      </w:r>
    </w:p>
    <w:p w14:paraId="3EC4651D" w14:textId="77777777" w:rsidR="00DD564B" w:rsidRPr="001F236F" w:rsidRDefault="00DD564B" w:rsidP="00DD564B">
      <w:pPr>
        <w:numPr>
          <w:ilvl w:val="0"/>
          <w:numId w:val="15"/>
        </w:numPr>
        <w:tabs>
          <w:tab w:val="num" w:pos="0"/>
          <w:tab w:val="left" w:pos="720"/>
          <w:tab w:val="left" w:pos="1134"/>
        </w:tabs>
        <w:ind w:hanging="6169"/>
        <w:jc w:val="both"/>
        <w:rPr>
          <w:b/>
        </w:rPr>
      </w:pPr>
      <w:r w:rsidRPr="001F236F">
        <w:rPr>
          <w:b/>
          <w:i/>
        </w:rPr>
        <w:t xml:space="preserve">дентална помощ </w:t>
      </w:r>
      <w:r w:rsidRPr="001F236F">
        <w:rPr>
          <w:b/>
        </w:rPr>
        <w:t xml:space="preserve">– </w:t>
      </w:r>
      <w:r w:rsidRPr="001F236F">
        <w:t>75,4 млн. лева;</w:t>
      </w:r>
    </w:p>
    <w:p w14:paraId="0F67E52D" w14:textId="77777777" w:rsidR="00DD564B" w:rsidRPr="00C15913" w:rsidRDefault="00DD564B" w:rsidP="00DD564B">
      <w:pPr>
        <w:numPr>
          <w:ilvl w:val="0"/>
          <w:numId w:val="15"/>
        </w:numPr>
        <w:tabs>
          <w:tab w:val="num" w:pos="0"/>
          <w:tab w:val="left" w:pos="720"/>
          <w:tab w:val="left" w:pos="1134"/>
        </w:tabs>
        <w:ind w:hanging="6169"/>
        <w:jc w:val="both"/>
        <w:rPr>
          <w:b/>
          <w:i/>
          <w:color w:val="0070C0"/>
        </w:rPr>
      </w:pPr>
      <w:r w:rsidRPr="001F236F">
        <w:rPr>
          <w:b/>
          <w:i/>
        </w:rPr>
        <w:t xml:space="preserve">медико-диагностична дейност </w:t>
      </w:r>
      <w:r w:rsidRPr="001F236F">
        <w:rPr>
          <w:b/>
        </w:rPr>
        <w:t xml:space="preserve">– </w:t>
      </w:r>
      <w:r w:rsidRPr="001F236F">
        <w:t>29,6 млн. лева;</w:t>
      </w:r>
      <w:r w:rsidRPr="001F236F">
        <w:rPr>
          <w:b/>
          <w:i/>
        </w:rPr>
        <w:t xml:space="preserve"> </w:t>
      </w:r>
    </w:p>
    <w:p w14:paraId="1FCFB3E9" w14:textId="77777777" w:rsidR="00DD564B" w:rsidRPr="00CD7224" w:rsidRDefault="00DD564B" w:rsidP="00DD564B">
      <w:pPr>
        <w:numPr>
          <w:ilvl w:val="0"/>
          <w:numId w:val="15"/>
        </w:numPr>
        <w:tabs>
          <w:tab w:val="num" w:pos="0"/>
          <w:tab w:val="left" w:pos="1134"/>
        </w:tabs>
        <w:ind w:left="1134" w:hanging="425"/>
        <w:jc w:val="both"/>
      </w:pPr>
      <w:r w:rsidRPr="001F236F">
        <w:rPr>
          <w:b/>
          <w:i/>
        </w:rPr>
        <w:t xml:space="preserve">лекарствени продукти, медицински изделия и диетични храни за </w:t>
      </w:r>
      <w:r w:rsidRPr="00CD7224">
        <w:rPr>
          <w:b/>
          <w:i/>
        </w:rPr>
        <w:t xml:space="preserve">домашно лечение на територията на страната  - </w:t>
      </w:r>
      <w:r w:rsidRPr="00CD7224">
        <w:t>214,4 млн. лв.</w:t>
      </w:r>
    </w:p>
    <w:p w14:paraId="7E35ACD6" w14:textId="77777777" w:rsidR="00DD564B" w:rsidRPr="00CD7224" w:rsidRDefault="00DD564B" w:rsidP="00DD564B">
      <w:pPr>
        <w:numPr>
          <w:ilvl w:val="0"/>
          <w:numId w:val="15"/>
        </w:numPr>
        <w:tabs>
          <w:tab w:val="num" w:pos="0"/>
          <w:tab w:val="left" w:pos="1134"/>
          <w:tab w:val="num" w:pos="6096"/>
        </w:tabs>
        <w:ind w:left="1134" w:hanging="425"/>
        <w:jc w:val="both"/>
      </w:pPr>
      <w:r w:rsidRPr="00CD7224">
        <w:rPr>
          <w:b/>
          <w:i/>
        </w:rPr>
        <w:t xml:space="preserve"> лекарствени продукти за лечение на злокачествени заболявания в условията на болнична медицинска помощ </w:t>
      </w:r>
      <w:r w:rsidRPr="00CD7224">
        <w:t xml:space="preserve"> – 207,8 млн. лева;</w:t>
      </w:r>
    </w:p>
    <w:p w14:paraId="6C347A9C" w14:textId="77777777" w:rsidR="00DD564B" w:rsidRPr="009C047B" w:rsidRDefault="00DD564B" w:rsidP="00DD564B">
      <w:pPr>
        <w:numPr>
          <w:ilvl w:val="0"/>
          <w:numId w:val="15"/>
        </w:numPr>
        <w:tabs>
          <w:tab w:val="num" w:pos="0"/>
          <w:tab w:val="left" w:pos="720"/>
          <w:tab w:val="num" w:pos="1134"/>
        </w:tabs>
        <w:ind w:left="1134" w:hanging="425"/>
        <w:jc w:val="both"/>
      </w:pPr>
      <w:r w:rsidRPr="009C047B">
        <w:rPr>
          <w:b/>
          <w:i/>
        </w:rPr>
        <w:t>медицински изделия, прилагани в болничната  помощ –</w:t>
      </w:r>
      <w:r w:rsidRPr="009C047B">
        <w:t xml:space="preserve"> 20,1 млн. лева;</w:t>
      </w:r>
    </w:p>
    <w:p w14:paraId="3450B007" w14:textId="77777777" w:rsidR="00DD564B" w:rsidRPr="00C15913" w:rsidRDefault="00DD564B" w:rsidP="00DD564B">
      <w:pPr>
        <w:numPr>
          <w:ilvl w:val="0"/>
          <w:numId w:val="15"/>
        </w:numPr>
        <w:tabs>
          <w:tab w:val="num" w:pos="0"/>
          <w:tab w:val="left" w:pos="720"/>
          <w:tab w:val="left" w:pos="1134"/>
        </w:tabs>
        <w:ind w:hanging="6169"/>
        <w:jc w:val="both"/>
        <w:rPr>
          <w:color w:val="0070C0"/>
        </w:rPr>
      </w:pPr>
      <w:r w:rsidRPr="001F236F">
        <w:rPr>
          <w:b/>
          <w:i/>
        </w:rPr>
        <w:t>болнична медицинска помощ –</w:t>
      </w:r>
      <w:r w:rsidRPr="001F236F">
        <w:t xml:space="preserve"> 713,7 млн. лева.</w:t>
      </w:r>
      <w:r w:rsidRPr="00C15913">
        <w:rPr>
          <w:color w:val="0070C0"/>
        </w:rPr>
        <w:tab/>
        <w:t xml:space="preserve"> </w:t>
      </w:r>
    </w:p>
    <w:p w14:paraId="167DD20A" w14:textId="77777777" w:rsidR="00DD564B" w:rsidRPr="009C047B" w:rsidRDefault="00DD564B" w:rsidP="00DD564B">
      <w:pPr>
        <w:numPr>
          <w:ilvl w:val="0"/>
          <w:numId w:val="15"/>
        </w:numPr>
        <w:tabs>
          <w:tab w:val="num" w:pos="0"/>
          <w:tab w:val="left" w:pos="720"/>
          <w:tab w:val="left" w:pos="1134"/>
        </w:tabs>
        <w:ind w:hanging="6169"/>
        <w:jc w:val="both"/>
      </w:pPr>
      <w:r w:rsidRPr="009C047B">
        <w:rPr>
          <w:b/>
          <w:i/>
        </w:rPr>
        <w:t xml:space="preserve">други здравноосигурителни плащания </w:t>
      </w:r>
      <w:r w:rsidRPr="009C047B">
        <w:t>– 15,1 млн. лева.</w:t>
      </w:r>
    </w:p>
    <w:p w14:paraId="73EF86C5" w14:textId="77777777" w:rsidR="00DD564B" w:rsidRPr="009C047B" w:rsidRDefault="00DD564B" w:rsidP="00DD564B">
      <w:pPr>
        <w:spacing w:before="120"/>
        <w:ind w:firstLine="567"/>
        <w:jc w:val="both"/>
      </w:pPr>
      <w:r w:rsidRPr="009C047B">
        <w:t>Като здравноосигурителни плащания следва да се третират и преведените 37,6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1 487,3 млн. лева.</w:t>
      </w:r>
    </w:p>
    <w:p w14:paraId="47123C29" w14:textId="77777777" w:rsidR="00DD564B" w:rsidRPr="00C15913" w:rsidRDefault="00DD564B" w:rsidP="00DD564B">
      <w:pPr>
        <w:ind w:firstLine="567"/>
        <w:jc w:val="both"/>
        <w:rPr>
          <w:color w:val="0070C0"/>
        </w:rPr>
      </w:pPr>
      <w:r w:rsidRPr="00CD7224">
        <w:t>За първото тримесечие на 2022 г. по бюджета на НЗОК са отчетени 20,6 млн. лв. административни разходи, които включват разходи за персонал и административна издръжка. Усвоените средства за административни разходи заемат 1,4 на сто в структурата на общите разходи за отчетния период.</w:t>
      </w:r>
      <w:r>
        <w:t xml:space="preserve"> Отчетените капиталови разходи през периода възлизат на 0,2 млн. лева.</w:t>
      </w:r>
    </w:p>
    <w:p w14:paraId="62754EAA" w14:textId="13D8A330" w:rsidR="00656380" w:rsidRDefault="00656380" w:rsidP="002763DB">
      <w:pPr>
        <w:ind w:firstLine="567"/>
        <w:jc w:val="both"/>
        <w:rPr>
          <w:color w:val="0070C0"/>
        </w:rPr>
      </w:pPr>
    </w:p>
    <w:p w14:paraId="78F9268D" w14:textId="77777777" w:rsidR="00033525" w:rsidRPr="00C15913" w:rsidRDefault="00033525" w:rsidP="002763DB">
      <w:pPr>
        <w:ind w:firstLine="567"/>
        <w:jc w:val="both"/>
        <w:rPr>
          <w:color w:val="0070C0"/>
        </w:rPr>
      </w:pPr>
    </w:p>
    <w:p w14:paraId="4957A8EC" w14:textId="77777777" w:rsidR="00B6120B" w:rsidRPr="00F7002C" w:rsidRDefault="00B6120B" w:rsidP="00ED2B9A">
      <w:pPr>
        <w:pStyle w:val="Heading1"/>
        <w:numPr>
          <w:ilvl w:val="1"/>
          <w:numId w:val="9"/>
        </w:numPr>
        <w:spacing w:before="120"/>
        <w:ind w:left="788" w:right="-108" w:hanging="431"/>
        <w:jc w:val="both"/>
        <w:rPr>
          <w:sz w:val="24"/>
        </w:rPr>
      </w:pPr>
      <w:r w:rsidRPr="00F7002C">
        <w:rPr>
          <w:sz w:val="24"/>
        </w:rPr>
        <w:t>Общински бюджети</w:t>
      </w:r>
    </w:p>
    <w:p w14:paraId="6012FCED" w14:textId="77777777" w:rsidR="00750EB3" w:rsidRPr="00F7002C" w:rsidRDefault="00750EB3" w:rsidP="00033525">
      <w:pPr>
        <w:numPr>
          <w:ilvl w:val="0"/>
          <w:numId w:val="27"/>
        </w:numPr>
        <w:spacing w:before="240" w:line="276" w:lineRule="auto"/>
        <w:ind w:left="533" w:hanging="391"/>
        <w:jc w:val="both"/>
        <w:rPr>
          <w:b/>
        </w:rPr>
      </w:pPr>
      <w:r w:rsidRPr="00F7002C">
        <w:rPr>
          <w:b/>
        </w:rPr>
        <w:t>Приходи</w:t>
      </w:r>
    </w:p>
    <w:p w14:paraId="10580093" w14:textId="77777777" w:rsidR="00F7002C" w:rsidRPr="007653A5" w:rsidRDefault="00F7002C" w:rsidP="00F7002C">
      <w:pPr>
        <w:tabs>
          <w:tab w:val="center" w:pos="4153"/>
          <w:tab w:val="right" w:pos="8306"/>
        </w:tabs>
        <w:ind w:firstLine="567"/>
        <w:jc w:val="both"/>
        <w:rPr>
          <w:lang w:val="ru-RU"/>
        </w:rPr>
      </w:pPr>
      <w:r w:rsidRPr="007653A5">
        <w:t>Собствените приходи по бюджетите на общините към 31.0</w:t>
      </w:r>
      <w:r w:rsidRPr="007653A5">
        <w:rPr>
          <w:lang w:val="ru-RU"/>
        </w:rPr>
        <w:t>3</w:t>
      </w:r>
      <w:r w:rsidRPr="007653A5">
        <w:t>.202</w:t>
      </w:r>
      <w:r w:rsidRPr="007653A5">
        <w:rPr>
          <w:lang w:val="ru-RU"/>
        </w:rPr>
        <w:t>3</w:t>
      </w:r>
      <w:r w:rsidRPr="007653A5">
        <w:t xml:space="preserve"> г. са в размер на </w:t>
      </w:r>
      <w:r w:rsidRPr="007653A5">
        <w:rPr>
          <w:lang w:val="ru-RU"/>
        </w:rPr>
        <w:t>906</w:t>
      </w:r>
      <w:r w:rsidRPr="007653A5">
        <w:t>,0</w:t>
      </w:r>
      <w:r w:rsidRPr="007653A5">
        <w:rPr>
          <w:bCs/>
        </w:rPr>
        <w:t> м</w:t>
      </w:r>
      <w:r w:rsidRPr="007653A5">
        <w:t>лн. лв., което представлява 15,9 % повече спрямо изпълнението за същия период на 2022 г</w:t>
      </w:r>
      <w:r w:rsidRPr="007653A5">
        <w:rPr>
          <w:lang w:val="ru-RU"/>
        </w:rPr>
        <w:t>.</w:t>
      </w:r>
      <w:r>
        <w:rPr>
          <w:lang w:val="ru-RU"/>
        </w:rPr>
        <w:t xml:space="preserve"> или със 124,3</w:t>
      </w:r>
      <w:r w:rsidRPr="007653A5">
        <w:rPr>
          <w:lang w:val="ru-RU"/>
        </w:rPr>
        <w:t xml:space="preserve"> млн. лв. повече.</w:t>
      </w:r>
    </w:p>
    <w:p w14:paraId="1B1ACF56" w14:textId="5C53EF2C" w:rsidR="00F7002C" w:rsidRDefault="00F7002C" w:rsidP="00F7002C">
      <w:pPr>
        <w:ind w:firstLine="567"/>
        <w:jc w:val="both"/>
        <w:rPr>
          <w:i/>
          <w:color w:val="0070C0"/>
        </w:rPr>
      </w:pPr>
      <w:r w:rsidRPr="007127EA">
        <w:rPr>
          <w:i/>
        </w:rPr>
        <w:t>Данъчните приходи</w:t>
      </w:r>
      <w:r w:rsidRPr="007127EA">
        <w:t xml:space="preserve"> по общинските бюджети са в размер на </w:t>
      </w:r>
      <w:r w:rsidRPr="007127EA">
        <w:rPr>
          <w:lang w:val="ru-RU"/>
        </w:rPr>
        <w:t>405,5</w:t>
      </w:r>
      <w:r w:rsidRPr="007127EA">
        <w:t xml:space="preserve"> млн. лв. или 11,3 % повече спрямо тези за същия период тези предходната година. </w:t>
      </w:r>
      <w:r w:rsidRPr="007127EA">
        <w:rPr>
          <w:bCs/>
        </w:rPr>
        <w:t xml:space="preserve">От </w:t>
      </w:r>
      <w:r w:rsidRPr="007127EA">
        <w:rPr>
          <w:bCs/>
          <w:i/>
        </w:rPr>
        <w:t xml:space="preserve">имуществени данъци по </w:t>
      </w:r>
      <w:r w:rsidRPr="00774B5F">
        <w:rPr>
          <w:bCs/>
          <w:i/>
        </w:rPr>
        <w:t>Закона за местните данъци и такси</w:t>
      </w:r>
      <w:r w:rsidRPr="00774B5F">
        <w:rPr>
          <w:bCs/>
        </w:rPr>
        <w:t xml:space="preserve"> в местните бюджети към 31 март 202</w:t>
      </w:r>
      <w:r>
        <w:rPr>
          <w:bCs/>
        </w:rPr>
        <w:t>3</w:t>
      </w:r>
      <w:r w:rsidRPr="00774B5F">
        <w:rPr>
          <w:bCs/>
        </w:rPr>
        <w:t xml:space="preserve"> г. </w:t>
      </w:r>
      <w:r w:rsidRPr="00774B5F">
        <w:t>са постъпили 400,8 млн</w:t>
      </w:r>
      <w:r w:rsidRPr="005F0BAF">
        <w:t xml:space="preserve">. лева. С най-значителен дял в приходите от имуществени данъци </w:t>
      </w:r>
      <w:r>
        <w:t>e</w:t>
      </w:r>
      <w:r w:rsidRPr="005F0BAF">
        <w:t xml:space="preserve"> данъкът върху превозните средства – 39,4</w:t>
      </w:r>
      <w:r w:rsidRPr="005F0BAF">
        <w:rPr>
          <w:lang w:val="ru-RU"/>
        </w:rPr>
        <w:t xml:space="preserve"> </w:t>
      </w:r>
      <w:r>
        <w:t>%, следват</w:t>
      </w:r>
      <w:r w:rsidRPr="005F0BAF">
        <w:t xml:space="preserve"> данъкът върху недвижимите имоти – 32,8</w:t>
      </w:r>
      <w:r w:rsidRPr="005F0BAF">
        <w:rPr>
          <w:lang w:val="ru-RU"/>
        </w:rPr>
        <w:t xml:space="preserve"> </w:t>
      </w:r>
      <w:r w:rsidRPr="005F0BAF">
        <w:t>%, данъкът върху придобиването на имущество по дарения и възмезден начин – 26,7</w:t>
      </w:r>
      <w:r w:rsidRPr="005F0BAF">
        <w:rPr>
          <w:lang w:val="ru-RU"/>
        </w:rPr>
        <w:t xml:space="preserve"> </w:t>
      </w:r>
      <w:r w:rsidRPr="005F0BAF">
        <w:t>%  и туристически</w:t>
      </w:r>
      <w:r>
        <w:t>ят</w:t>
      </w:r>
      <w:r w:rsidRPr="005F0BAF">
        <w:t xml:space="preserve"> данък – 1,0</w:t>
      </w:r>
      <w:r w:rsidRPr="005F0BAF">
        <w:rPr>
          <w:lang w:val="ru-RU"/>
        </w:rPr>
        <w:t xml:space="preserve"> </w:t>
      </w:r>
      <w:r w:rsidRPr="005F0BAF">
        <w:t xml:space="preserve">%. Към 31 март 2023 г. по бюджетите на общините са постъпили 4,7 млн. лв. </w:t>
      </w:r>
      <w:r>
        <w:t xml:space="preserve">приходи </w:t>
      </w:r>
      <w:r w:rsidRPr="005F0BAF">
        <w:t xml:space="preserve">от </w:t>
      </w:r>
      <w:r w:rsidRPr="005F0BAF">
        <w:rPr>
          <w:i/>
        </w:rPr>
        <w:t>патентен данък и данък върху таксиметров превоз на пътници.</w:t>
      </w:r>
    </w:p>
    <w:p w14:paraId="6E90D81A" w14:textId="706BCFB7" w:rsidR="00F7002C" w:rsidRPr="007B3F57" w:rsidRDefault="00F7002C" w:rsidP="00F7002C">
      <w:pPr>
        <w:tabs>
          <w:tab w:val="center" w:pos="4153"/>
          <w:tab w:val="right" w:pos="8306"/>
        </w:tabs>
        <w:jc w:val="both"/>
      </w:pPr>
      <w:r w:rsidRPr="00C15913">
        <w:rPr>
          <w:color w:val="0070C0"/>
        </w:rPr>
        <w:t xml:space="preserve">  </w:t>
      </w:r>
      <w:r>
        <w:rPr>
          <w:color w:val="0070C0"/>
        </w:rPr>
        <w:tab/>
        <w:t xml:space="preserve">        </w:t>
      </w:r>
      <w:r w:rsidRPr="005F0BAF">
        <w:t xml:space="preserve">Общият размер на </w:t>
      </w:r>
      <w:r w:rsidRPr="005F0BAF">
        <w:rPr>
          <w:i/>
        </w:rPr>
        <w:t>неданъчните приходи</w:t>
      </w:r>
      <w:r w:rsidRPr="005F0BAF">
        <w:t xml:space="preserve"> по местните бюджети към 31 март 2023 г. е </w:t>
      </w:r>
      <w:r>
        <w:t xml:space="preserve"> 496,6</w:t>
      </w:r>
      <w:r w:rsidRPr="007B3F57">
        <w:rPr>
          <w:lang w:val="ru-RU"/>
        </w:rPr>
        <w:t xml:space="preserve"> </w:t>
      </w:r>
      <w:r w:rsidRPr="007B3F57">
        <w:t>млн. лв. Най-голям относителен дял заемат приходите от общински такси (298,5 млн. лв.) или 60,1</w:t>
      </w:r>
      <w:r>
        <w:t xml:space="preserve"> </w:t>
      </w:r>
      <w:r w:rsidRPr="007B3F57">
        <w:t>%, следват приходите и доходите от собственост (86,2 млн. лв.) – 17,4</w:t>
      </w:r>
      <w:r>
        <w:t xml:space="preserve"> </w:t>
      </w:r>
      <w:r w:rsidRPr="007B3F57">
        <w:t>%, постъпленията от продажба на нефинансови активи (70,1 млн. лв.) – 14,1</w:t>
      </w:r>
      <w:r>
        <w:t xml:space="preserve"> </w:t>
      </w:r>
      <w:r w:rsidRPr="007B3F57">
        <w:t>%, приходите от концесии (28,4 млн. лв.) – 5,7</w:t>
      </w:r>
      <w:r>
        <w:t xml:space="preserve"> </w:t>
      </w:r>
      <w:r w:rsidRPr="007B3F57">
        <w:t>% и постъпленията от глоби, санкции и наказателни лихви (19,5</w:t>
      </w:r>
      <w:r w:rsidR="001869BB">
        <w:t> </w:t>
      </w:r>
      <w:r w:rsidRPr="007B3F57">
        <w:t>млн. лв.) – 3,9</w:t>
      </w:r>
      <w:r>
        <w:t xml:space="preserve"> </w:t>
      </w:r>
      <w:r w:rsidRPr="007B3F57">
        <w:t>%. Съпоставени с първото тримесечие на 2022 г. постъпленията от неданъчни приходи са с 83,</w:t>
      </w:r>
      <w:r w:rsidR="0057013D" w:rsidRPr="0057013D">
        <w:rPr>
          <w:lang w:val="ru-RU"/>
        </w:rPr>
        <w:t>2</w:t>
      </w:r>
      <w:r w:rsidRPr="007B3F57">
        <w:t xml:space="preserve"> млн. лв. или с 20,</w:t>
      </w:r>
      <w:r w:rsidR="0057013D" w:rsidRPr="0057013D">
        <w:rPr>
          <w:lang w:val="ru-RU"/>
        </w:rPr>
        <w:t>1</w:t>
      </w:r>
      <w:r>
        <w:t xml:space="preserve"> </w:t>
      </w:r>
      <w:r w:rsidRPr="007B3F57">
        <w:t xml:space="preserve">% повече, като най-значителен ръст се наблюдава в постъпленията от продажба на нефинансови активи. </w:t>
      </w:r>
    </w:p>
    <w:p w14:paraId="45BF50AF" w14:textId="32B35B50" w:rsidR="00F7002C" w:rsidRDefault="00F7002C" w:rsidP="00F7002C">
      <w:pPr>
        <w:tabs>
          <w:tab w:val="center" w:pos="4153"/>
          <w:tab w:val="right" w:pos="8306"/>
        </w:tabs>
        <w:jc w:val="both"/>
        <w:rPr>
          <w:lang w:eastAsia="bg-BG"/>
        </w:rPr>
      </w:pPr>
      <w:r w:rsidRPr="007B3F57">
        <w:t xml:space="preserve">Към </w:t>
      </w:r>
      <w:r>
        <w:t xml:space="preserve">края на месец </w:t>
      </w:r>
      <w:r w:rsidRPr="007B3F57">
        <w:t>март 2023 г. по общинските бюджети са постъпили 4,0 млн. лв. приходи от помощи и дарения като запазват размера си от същия период на миналата година.</w:t>
      </w:r>
      <w:r w:rsidRPr="007B3F57">
        <w:rPr>
          <w:lang w:eastAsia="bg-BG"/>
        </w:rPr>
        <w:t xml:space="preserve"> </w:t>
      </w:r>
    </w:p>
    <w:p w14:paraId="25C2EDC5" w14:textId="2CECC1FA" w:rsidR="00012431" w:rsidRDefault="00012431" w:rsidP="00F7002C">
      <w:pPr>
        <w:tabs>
          <w:tab w:val="center" w:pos="4153"/>
          <w:tab w:val="right" w:pos="8306"/>
        </w:tabs>
        <w:jc w:val="both"/>
        <w:rPr>
          <w:lang w:eastAsia="bg-BG"/>
        </w:rPr>
      </w:pPr>
    </w:p>
    <w:p w14:paraId="11DA71A2" w14:textId="77777777" w:rsidR="00012431" w:rsidRDefault="00012431" w:rsidP="00F7002C">
      <w:pPr>
        <w:tabs>
          <w:tab w:val="center" w:pos="4153"/>
          <w:tab w:val="right" w:pos="8306"/>
        </w:tabs>
        <w:jc w:val="both"/>
        <w:rPr>
          <w:lang w:eastAsia="bg-BG"/>
        </w:rPr>
      </w:pPr>
    </w:p>
    <w:p w14:paraId="4967DBB1" w14:textId="77777777" w:rsidR="00F26E72" w:rsidRPr="007B3F57" w:rsidRDefault="00F26E72" w:rsidP="00F7002C">
      <w:pPr>
        <w:tabs>
          <w:tab w:val="center" w:pos="4153"/>
          <w:tab w:val="right" w:pos="8306"/>
        </w:tabs>
        <w:jc w:val="both"/>
        <w:rPr>
          <w:lang w:eastAsia="bg-BG"/>
        </w:rPr>
      </w:pPr>
    </w:p>
    <w:p w14:paraId="7882D2DD" w14:textId="77777777" w:rsidR="00F7002C" w:rsidRPr="009A0A00" w:rsidRDefault="00F7002C" w:rsidP="00F7002C">
      <w:pPr>
        <w:numPr>
          <w:ilvl w:val="0"/>
          <w:numId w:val="27"/>
        </w:numPr>
        <w:spacing w:before="120" w:line="276" w:lineRule="auto"/>
        <w:jc w:val="both"/>
        <w:rPr>
          <w:b/>
        </w:rPr>
      </w:pPr>
      <w:r w:rsidRPr="009A0A00">
        <w:rPr>
          <w:b/>
        </w:rPr>
        <w:t>Разходи</w:t>
      </w:r>
    </w:p>
    <w:p w14:paraId="4DE0608B" w14:textId="77777777" w:rsidR="00F7002C" w:rsidRPr="009A0A00" w:rsidRDefault="00F7002C" w:rsidP="00F7002C">
      <w:pPr>
        <w:ind w:firstLine="567"/>
        <w:jc w:val="both"/>
      </w:pPr>
      <w:r w:rsidRPr="009A0A00">
        <w:t>Към 31.03.2023 г. общините са отчели общо разходи в размер на 2 287,9 млн. лв., които са с 473,1 млн. лв. повече от същия период на миналата година.</w:t>
      </w:r>
    </w:p>
    <w:p w14:paraId="33E4A2DE" w14:textId="77777777" w:rsidR="00F7002C" w:rsidRPr="00C15913" w:rsidRDefault="00F7002C" w:rsidP="00F7002C">
      <w:pPr>
        <w:ind w:firstLine="567"/>
        <w:jc w:val="both"/>
        <w:rPr>
          <w:color w:val="0070C0"/>
        </w:rPr>
      </w:pPr>
      <w:r w:rsidRPr="009A0A00">
        <w:rPr>
          <w:i/>
        </w:rPr>
        <w:t>Нелихвените разходи</w:t>
      </w:r>
      <w:r w:rsidRPr="009A0A00">
        <w:t xml:space="preserve"> възлизат на 2</w:t>
      </w:r>
      <w:r w:rsidRPr="009A0A00">
        <w:rPr>
          <w:lang w:val="ru-RU"/>
        </w:rPr>
        <w:t xml:space="preserve"> </w:t>
      </w:r>
      <w:r w:rsidRPr="009A0A00">
        <w:t>279,2 млн. лв.</w:t>
      </w:r>
      <w:r w:rsidRPr="00B73C8D">
        <w:rPr>
          <w:lang w:val="ru-RU"/>
        </w:rPr>
        <w:t xml:space="preserve"> </w:t>
      </w:r>
      <w:r>
        <w:rPr>
          <w:lang w:val="ru-RU"/>
        </w:rPr>
        <w:t>С най-голям относителен дял са</w:t>
      </w:r>
      <w:r>
        <w:t xml:space="preserve"> р</w:t>
      </w:r>
      <w:r w:rsidRPr="009A0A00">
        <w:t>азходите за персонал (</w:t>
      </w:r>
      <w:r w:rsidRPr="009A0A00">
        <w:rPr>
          <w:bCs/>
        </w:rPr>
        <w:t>заплати и възнаграждения, други възнаграждения и плащания за персонала и осигурителни вноски)</w:t>
      </w:r>
      <w:r w:rsidRPr="009A0A00">
        <w:t xml:space="preserve"> са в размер </w:t>
      </w:r>
      <w:r w:rsidRPr="00B73C8D">
        <w:t xml:space="preserve">на </w:t>
      </w:r>
      <w:r w:rsidRPr="00B73C8D">
        <w:rPr>
          <w:lang w:val="ru-RU"/>
        </w:rPr>
        <w:t>1</w:t>
      </w:r>
      <w:r w:rsidRPr="00B73C8D">
        <w:rPr>
          <w:lang w:val="en-US"/>
        </w:rPr>
        <w:t> </w:t>
      </w:r>
      <w:r w:rsidRPr="00B73C8D">
        <w:t>315,6 млн. лв. – 57,</w:t>
      </w:r>
      <w:r>
        <w:t xml:space="preserve">7 %, следвани от </w:t>
      </w:r>
      <w:r w:rsidRPr="00B73C8D">
        <w:t xml:space="preserve"> разходите за издръжка </w:t>
      </w:r>
      <w:r w:rsidRPr="00B73C8D">
        <w:rPr>
          <w:bCs/>
        </w:rPr>
        <w:t>(вкл. разходи за членски внос и участие в нетърговски организации и дейности, платени данъци, такси и административни санкции)</w:t>
      </w:r>
      <w:r>
        <w:rPr>
          <w:bCs/>
        </w:rPr>
        <w:t>, които</w:t>
      </w:r>
      <w:r w:rsidRPr="00B73C8D">
        <w:t xml:space="preserve"> са в размер на</w:t>
      </w:r>
      <w:r w:rsidRPr="00B73C8D">
        <w:rPr>
          <w:lang w:val="ru-RU"/>
        </w:rPr>
        <w:t xml:space="preserve"> </w:t>
      </w:r>
      <w:r w:rsidRPr="00550E78">
        <w:t>614,8</w:t>
      </w:r>
      <w:r>
        <w:t xml:space="preserve"> млн. лева.</w:t>
      </w:r>
      <w:r>
        <w:rPr>
          <w:color w:val="0070C0"/>
        </w:rPr>
        <w:t xml:space="preserve"> </w:t>
      </w:r>
      <w:r>
        <w:t>Р</w:t>
      </w:r>
      <w:r w:rsidRPr="00795050">
        <w:t xml:space="preserve">азходите за субсидии </w:t>
      </w:r>
      <w:r>
        <w:t>възлизат на</w:t>
      </w:r>
      <w:r w:rsidRPr="00795050">
        <w:t xml:space="preserve"> 100,2 млн. лв.</w:t>
      </w:r>
      <w:r>
        <w:t xml:space="preserve"> </w:t>
      </w:r>
      <w:r w:rsidRPr="002116FC">
        <w:rPr>
          <w:lang w:eastAsia="bg-BG"/>
        </w:rPr>
        <w:t>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2116FC">
        <w:rPr>
          <w:lang w:val="ru-RU" w:eastAsia="bg-BG"/>
        </w:rPr>
        <w:t xml:space="preserve"> (</w:t>
      </w:r>
      <w:r w:rsidRPr="002116FC">
        <w:rPr>
          <w:lang w:eastAsia="bg-BG"/>
        </w:rPr>
        <w:t>отчитат се в местните дейности</w:t>
      </w:r>
      <w:r w:rsidRPr="002116FC">
        <w:rPr>
          <w:lang w:val="ru-RU" w:eastAsia="bg-BG"/>
        </w:rPr>
        <w:t>)</w:t>
      </w:r>
      <w:r w:rsidRPr="002116FC">
        <w:rPr>
          <w:lang w:eastAsia="bg-BG"/>
        </w:rPr>
        <w:t>.</w:t>
      </w:r>
      <w:r>
        <w:t xml:space="preserve"> </w:t>
      </w:r>
      <w:r w:rsidRPr="00CC7EE1">
        <w:rPr>
          <w:bCs/>
        </w:rPr>
        <w:t>Социалните разходи (</w:t>
      </w:r>
      <w:r w:rsidRPr="00CC7EE1">
        <w:t xml:space="preserve">текущи трансфери, обезщетения и помощи за домакинствата, </w:t>
      </w:r>
      <w:r w:rsidRPr="00CC7EE1">
        <w:rPr>
          <w:bCs/>
        </w:rPr>
        <w:t>вкл. разходите за стипендии)</w:t>
      </w:r>
      <w:r w:rsidRPr="00CC7EE1">
        <w:t xml:space="preserve"> са в размер на 40,5 млн. лева.</w:t>
      </w:r>
    </w:p>
    <w:p w14:paraId="6548E77A" w14:textId="3B2FA811" w:rsidR="00F7002C" w:rsidRPr="00357718" w:rsidRDefault="00F7002C" w:rsidP="00F7002C">
      <w:pPr>
        <w:ind w:firstLine="567"/>
        <w:jc w:val="both"/>
        <w:rPr>
          <w:lang w:val="ru-RU" w:eastAsia="bg-BG"/>
        </w:rPr>
      </w:pPr>
      <w:r w:rsidRPr="00357718">
        <w:rPr>
          <w:lang w:eastAsia="bg-BG"/>
        </w:rPr>
        <w:t xml:space="preserve">Капиталовите разходи са в размер на 208,0 млн. лв., от които най-съществен дял </w:t>
      </w:r>
      <w:r w:rsidRPr="00357718">
        <w:rPr>
          <w:lang w:val="ru-RU" w:eastAsia="bg-BG"/>
        </w:rPr>
        <w:t>(53,</w:t>
      </w:r>
      <w:r w:rsidR="0057013D" w:rsidRPr="0057013D">
        <w:rPr>
          <w:lang w:val="ru-RU" w:eastAsia="bg-BG"/>
        </w:rPr>
        <w:t>4</w:t>
      </w:r>
      <w:r w:rsidRPr="00357718">
        <w:rPr>
          <w:lang w:val="en-US" w:eastAsia="bg-BG"/>
        </w:rPr>
        <w:t> </w:t>
      </w:r>
      <w:r w:rsidRPr="00357718">
        <w:rPr>
          <w:lang w:val="ru-RU" w:eastAsia="bg-BG"/>
        </w:rPr>
        <w:t>%</w:t>
      </w:r>
      <w:r w:rsidRPr="00357718">
        <w:rPr>
          <w:lang w:eastAsia="bg-BG"/>
        </w:rPr>
        <w:t xml:space="preserve">) заемат разходите за основен ремонт – 111,0 млн. лв. и за придобиване на ДМА </w:t>
      </w:r>
      <w:r w:rsidRPr="00357718">
        <w:rPr>
          <w:lang w:val="ru-RU" w:eastAsia="bg-BG"/>
        </w:rPr>
        <w:t xml:space="preserve">(44,3 % </w:t>
      </w:r>
      <w:r w:rsidRPr="00357718">
        <w:rPr>
          <w:lang w:eastAsia="bg-BG"/>
        </w:rPr>
        <w:t>дял, 91,9</w:t>
      </w:r>
      <w:r w:rsidR="001869BB">
        <w:rPr>
          <w:lang w:eastAsia="bg-BG"/>
        </w:rPr>
        <w:t> </w:t>
      </w:r>
      <w:r w:rsidRPr="00357718">
        <w:rPr>
          <w:lang w:eastAsia="bg-BG"/>
        </w:rPr>
        <w:t>млн. лв.</w:t>
      </w:r>
      <w:r w:rsidRPr="00357718">
        <w:rPr>
          <w:lang w:val="ru-RU" w:eastAsia="bg-BG"/>
        </w:rPr>
        <w:t>).</w:t>
      </w:r>
    </w:p>
    <w:p w14:paraId="38E52271" w14:textId="262629AF" w:rsidR="00F7002C" w:rsidRPr="00C15913" w:rsidRDefault="00F7002C" w:rsidP="00F7002C">
      <w:pPr>
        <w:widowControl w:val="0"/>
        <w:tabs>
          <w:tab w:val="center" w:pos="4153"/>
          <w:tab w:val="right" w:pos="8306"/>
        </w:tabs>
        <w:jc w:val="both"/>
        <w:rPr>
          <w:color w:val="0070C0"/>
        </w:rPr>
      </w:pPr>
      <w:r w:rsidRPr="00C15913">
        <w:rPr>
          <w:i/>
          <w:color w:val="0070C0"/>
        </w:rPr>
        <w:tab/>
      </w:r>
      <w:r w:rsidRPr="00C15913">
        <w:rPr>
          <w:i/>
          <w:color w:val="0070C0"/>
          <w:lang w:val="ru-RU"/>
        </w:rPr>
        <w:t xml:space="preserve">         </w:t>
      </w:r>
      <w:r w:rsidRPr="00357718">
        <w:rPr>
          <w:i/>
        </w:rPr>
        <w:t>Разходите за лихви</w:t>
      </w:r>
      <w:r w:rsidRPr="00357718">
        <w:t xml:space="preserve"> възлизат </w:t>
      </w:r>
      <w:r w:rsidRPr="000978CA">
        <w:t>на 8,7 млн. лв.</w:t>
      </w:r>
      <w:r w:rsidRPr="000978CA">
        <w:rPr>
          <w:lang w:val="ru-RU"/>
        </w:rPr>
        <w:t xml:space="preserve"> </w:t>
      </w:r>
      <w:r w:rsidRPr="000978CA">
        <w:t xml:space="preserve"> За същия период на миналата година те са били 8,0 млн.</w:t>
      </w:r>
      <w:r>
        <w:t xml:space="preserve"> лева</w:t>
      </w:r>
      <w:r w:rsidRPr="000978CA">
        <w:t xml:space="preserve">. </w:t>
      </w:r>
      <w:r>
        <w:t>Лихвените плащания по заеми от чужбина са в размер на 3,2 млн. лв. (с 0,2</w:t>
      </w:r>
      <w:r w:rsidR="001869BB">
        <w:t> </w:t>
      </w:r>
      <w:r>
        <w:t>млн. лв. повече в сравнение със същия период на миналата година). По облигационни заеми платените лихви са 0,3 млн. лв., а по други вътрешни заеми към местни лица (банкови кредити, заеми към „ФЛАГ“ ЕАД и към др. местни лица) са 4,2 млн. лв. Отчетените др</w:t>
      </w:r>
      <w:r w:rsidR="0057013D">
        <w:t>уги</w:t>
      </w:r>
      <w:r>
        <w:t xml:space="preserve"> лихвени плащания са в размер на 1,0 млн. лв. (в т.ч. 0,1 млн. лв. по заеми </w:t>
      </w:r>
      <w:r w:rsidR="0057013D">
        <w:t>от</w:t>
      </w:r>
      <w:r>
        <w:t xml:space="preserve"> централния бюджет и </w:t>
      </w:r>
      <w:r w:rsidR="0057013D">
        <w:t>от</w:t>
      </w:r>
      <w:r>
        <w:t xml:space="preserve"> други бюджетни организации).</w:t>
      </w:r>
    </w:p>
    <w:p w14:paraId="49670AD6" w14:textId="77777777" w:rsidR="00F7002C" w:rsidRPr="00814A70" w:rsidRDefault="00F7002C" w:rsidP="00F7002C">
      <w:pPr>
        <w:tabs>
          <w:tab w:val="center" w:pos="4153"/>
          <w:tab w:val="right" w:pos="8306"/>
        </w:tabs>
        <w:jc w:val="both"/>
        <w:rPr>
          <w:rFonts w:eastAsia="Calibri"/>
          <w:sz w:val="8"/>
        </w:rPr>
      </w:pPr>
      <w:r>
        <w:rPr>
          <w:lang w:eastAsia="bg-BG"/>
        </w:rPr>
        <w:tab/>
      </w:r>
      <w:r w:rsidRPr="00814A70">
        <w:rPr>
          <w:lang w:val="ru-RU" w:eastAsia="bg-BG"/>
        </w:rPr>
        <w:t xml:space="preserve">           </w:t>
      </w:r>
      <w:r w:rsidRPr="00814A70">
        <w:rPr>
          <w:lang w:eastAsia="bg-BG"/>
        </w:rPr>
        <w:t>Общият размер на отчетените разходи за дофинансиране на делегираните от държавата дейности с местни приходи е 44,2 млн. лева.</w:t>
      </w:r>
    </w:p>
    <w:p w14:paraId="1117A004" w14:textId="77777777" w:rsidR="00F7002C" w:rsidRPr="00814A70" w:rsidRDefault="00F7002C" w:rsidP="00033525">
      <w:pPr>
        <w:numPr>
          <w:ilvl w:val="0"/>
          <w:numId w:val="27"/>
        </w:numPr>
        <w:spacing w:before="240" w:line="276" w:lineRule="auto"/>
        <w:ind w:left="533" w:hanging="391"/>
        <w:jc w:val="both"/>
        <w:rPr>
          <w:b/>
        </w:rPr>
      </w:pPr>
      <w:r w:rsidRPr="00814A70">
        <w:rPr>
          <w:b/>
        </w:rPr>
        <w:t>Финансиране</w:t>
      </w:r>
    </w:p>
    <w:p w14:paraId="52627EFC" w14:textId="77777777" w:rsidR="00F7002C" w:rsidRPr="006B077C" w:rsidRDefault="00F7002C" w:rsidP="00F7002C">
      <w:pPr>
        <w:pStyle w:val="BodyText"/>
        <w:ind w:firstLine="567"/>
      </w:pPr>
      <w:r w:rsidRPr="006B077C">
        <w:t xml:space="preserve">От началото на годината до 31.03.2023 г. по общинските бюджети не са получавани заемни средства от договори с чуждестранни кредитори. </w:t>
      </w:r>
    </w:p>
    <w:p w14:paraId="27AE78F8" w14:textId="77777777" w:rsidR="00F7002C" w:rsidRPr="006B077C" w:rsidRDefault="00F7002C" w:rsidP="00F7002C">
      <w:pPr>
        <w:pStyle w:val="BodyText"/>
        <w:ind w:firstLine="567"/>
      </w:pPr>
      <w:r w:rsidRPr="006B077C">
        <w:t>Изплатените главници по външните заеми за същия период са в размер на 8,4 млн. лв. (от Столична община - 8,33 млн. лв.,  а от община Ловеч 0,04 млн. лв.).</w:t>
      </w:r>
    </w:p>
    <w:p w14:paraId="6B637963" w14:textId="2699212C" w:rsidR="00F7002C" w:rsidRPr="00C15913" w:rsidRDefault="00F7002C" w:rsidP="00F7002C">
      <w:pPr>
        <w:widowControl w:val="0"/>
        <w:ind w:firstLine="567"/>
        <w:jc w:val="both"/>
        <w:rPr>
          <w:color w:val="0070C0"/>
          <w:lang w:eastAsia="bg-BG"/>
        </w:rPr>
      </w:pPr>
      <w:r>
        <w:t>За отчетния период получените заемни средства от банки в страната са в размер на 29,6</w:t>
      </w:r>
      <w:r w:rsidR="001869BB">
        <w:t> </w:t>
      </w:r>
      <w:r>
        <w:t>млн. лв., а от други местни лица са 28,3 млн. лв. (в т.ч. 18,2 млн. лв. от „ФЛАГ“ ЕАД) или общо получените заемни средства са 57,9 млн. лв. Изплатените главници по банкови заеми от страната са 20,8 млн. лв., а по заеми от др. лица са 30,7 млн. лв. (в т.ч. 29,6 млн. лв. към „ФЛАГ“ ЕАД ) или общо платените главници са в размер на 51,5 млн. лв. Погашенията за периода по заемите от страната е по-малък от получените средства, поради което нетният размер на операциите по тези заеми е положителен (6,4) млн. лв. За сравнение, за същия период на 2022</w:t>
      </w:r>
      <w:r w:rsidR="001869BB">
        <w:t> </w:t>
      </w:r>
      <w:r>
        <w:t>г, получените заемни средства от банки в страната и др. местни лица са били по-малко от погашенията т.е. имало е отрицателен нетен размер по тези заеми (-3,3 млн. лв.).</w:t>
      </w:r>
    </w:p>
    <w:p w14:paraId="6234CD1D" w14:textId="77777777" w:rsidR="00F7002C" w:rsidRPr="00C15913" w:rsidRDefault="00F7002C" w:rsidP="00F7002C">
      <w:pPr>
        <w:widowControl w:val="0"/>
        <w:ind w:firstLine="567"/>
        <w:jc w:val="both"/>
        <w:rPr>
          <w:color w:val="0070C0"/>
          <w:lang w:eastAsia="bg-BG"/>
        </w:rPr>
      </w:pPr>
      <w:r>
        <w:t>Погашенията по емитирани през предходни периоди общински ценни книжа са в размер на 7,4 млн. лв. и са отчетени от 5 общини. За отчетния период няма емитиран нов дълг.</w:t>
      </w:r>
      <w:r w:rsidRPr="00C15913">
        <w:rPr>
          <w:color w:val="0070C0"/>
          <w:lang w:eastAsia="bg-BG"/>
        </w:rPr>
        <w:t xml:space="preserve"> </w:t>
      </w:r>
    </w:p>
    <w:p w14:paraId="1EADBF02" w14:textId="77777777" w:rsidR="00F7002C" w:rsidRDefault="00F7002C" w:rsidP="00F7002C">
      <w:pPr>
        <w:ind w:firstLine="567"/>
        <w:jc w:val="both"/>
      </w:pPr>
      <w:r>
        <w:t xml:space="preserve">Другото финансиране /нето/ по общинските бюджети към 31.03.2023 г. е 16,2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кредити, като форми на дълг, е в размер на (-0,6) млн. лв. </w:t>
      </w:r>
    </w:p>
    <w:p w14:paraId="0A8571AB" w14:textId="77777777" w:rsidR="00F7002C" w:rsidRDefault="00F7002C" w:rsidP="00F7002C">
      <w:pPr>
        <w:ind w:firstLine="720"/>
        <w:jc w:val="both"/>
      </w:pPr>
      <w:r>
        <w:t>Нетният размер на събраните средства и извършени плащания от общините за сметка на други бюджети, сметки и фондове е в размер на (-8,6) млн. лв.</w:t>
      </w:r>
    </w:p>
    <w:p w14:paraId="3C665A9A" w14:textId="77777777" w:rsidR="00F7002C" w:rsidRDefault="00F7002C" w:rsidP="00F7002C">
      <w:pPr>
        <w:ind w:firstLine="720"/>
        <w:jc w:val="both"/>
      </w:pPr>
      <w:r>
        <w:t xml:space="preserve">Към 31.03.2023 г. отчетеният от общините нетен размер на операциите по придобиване на дялове, акции и съучастия е в размер на (-0,5) млн. лв. </w:t>
      </w:r>
    </w:p>
    <w:p w14:paraId="3DAEA99A" w14:textId="47D79F00" w:rsidR="00F7002C" w:rsidRDefault="0057013D" w:rsidP="00F7002C">
      <w:pPr>
        <w:ind w:firstLine="720"/>
        <w:jc w:val="both"/>
      </w:pPr>
      <w:r>
        <w:t xml:space="preserve">За периода </w:t>
      </w:r>
      <w:r w:rsidRPr="0057013D">
        <w:t>по общинските бюджети</w:t>
      </w:r>
      <w:r>
        <w:t xml:space="preserve"> </w:t>
      </w:r>
      <w:r w:rsidRPr="0057013D">
        <w:t>н</w:t>
      </w:r>
      <w:r>
        <w:t>яма получени с</w:t>
      </w:r>
      <w:r w:rsidR="00F7002C">
        <w:t>редства от приватизация на дялове, акции и участия</w:t>
      </w:r>
      <w:r>
        <w:t>.</w:t>
      </w:r>
    </w:p>
    <w:p w14:paraId="70AD42BF" w14:textId="77777777" w:rsidR="00F7002C" w:rsidRDefault="00F7002C" w:rsidP="00F7002C">
      <w:pPr>
        <w:ind w:firstLine="720"/>
        <w:jc w:val="both"/>
      </w:pPr>
      <w:r>
        <w:t>Отчетеният нетен размер по общинските бюджети на възмездната финансова помощ и предоставените кредити е 0,9 млн. лв., а на предоставените кредити от общинските бюджети е (-2,2 млн. лв.).</w:t>
      </w:r>
    </w:p>
    <w:p w14:paraId="41E6965E" w14:textId="42FE5C14" w:rsidR="00F7002C" w:rsidRDefault="00F7002C" w:rsidP="00F7002C">
      <w:pPr>
        <w:pStyle w:val="BodyText"/>
        <w:widowControl w:val="0"/>
        <w:ind w:firstLine="708"/>
      </w:pPr>
      <w:r>
        <w:t>Общините отчитат 2 162,0 млн. лв. бюджетен преходен остатък, а наличността към края на първото тримесечие на 2023 г. (по банкови сметки и каса) нараства и е в размер на 2 805,5</w:t>
      </w:r>
      <w:r w:rsidR="00D43FBC">
        <w:t> </w:t>
      </w:r>
      <w:r>
        <w:t>млн. лв. (с 642,6 млн. лв. повече от същия период на миналата година). Преводите в процес на сетълмент са (- 27,4) млн. лв. Отчетеният остатък в делегираните от държавата дейности е 1</w:t>
      </w:r>
      <w:r w:rsidR="001869BB">
        <w:t> </w:t>
      </w:r>
      <w:r>
        <w:t xml:space="preserve">050,1 млн. лв. (37,4%), а 1 755,4 млн. лв. (62,6%) е в местни дейности. </w:t>
      </w:r>
    </w:p>
    <w:p w14:paraId="724EE12C" w14:textId="44AC549C" w:rsidR="00750EB3" w:rsidRDefault="00F7002C" w:rsidP="00F7002C">
      <w:pPr>
        <w:ind w:firstLine="567"/>
        <w:jc w:val="both"/>
      </w:pPr>
      <w:r>
        <w:t>Голяма част от наличността е от неизразходвани средства, предоставяни на общините през предходни години под формата на субсидии (671,7 млн. лв.), както и на субсидии от текущата година (808,9 млн. лв.). Друга, съществена част от наличността, е от получени през 2023 г., но неизразходвани приходи – 578,7 млн. лв. Неизразходваните средства от получени през предходни години приходи са в размер на 197,2 млн. лева.</w:t>
      </w:r>
    </w:p>
    <w:p w14:paraId="2236B599" w14:textId="77777777" w:rsidR="00751212" w:rsidRPr="00C15913" w:rsidRDefault="00751212" w:rsidP="00F7002C">
      <w:pPr>
        <w:ind w:firstLine="567"/>
        <w:jc w:val="both"/>
        <w:rPr>
          <w:color w:val="0070C0"/>
          <w:lang w:eastAsia="bg-BG"/>
        </w:rPr>
      </w:pPr>
    </w:p>
    <w:p w14:paraId="4A0D01C1" w14:textId="77777777" w:rsidR="002C4D33" w:rsidRPr="00C15913" w:rsidRDefault="002C4D33" w:rsidP="00FD362E">
      <w:pPr>
        <w:pStyle w:val="BodyText"/>
        <w:spacing w:after="120"/>
        <w:ind w:firstLine="567"/>
        <w:rPr>
          <w:color w:val="0070C0"/>
          <w:sz w:val="18"/>
          <w:szCs w:val="12"/>
        </w:rPr>
      </w:pPr>
    </w:p>
    <w:p w14:paraId="0D193125" w14:textId="77777777" w:rsidR="00913197" w:rsidRPr="00AB241B" w:rsidRDefault="00913197" w:rsidP="00ED2B9A">
      <w:pPr>
        <w:pStyle w:val="Heading1"/>
        <w:numPr>
          <w:ilvl w:val="1"/>
          <w:numId w:val="9"/>
        </w:numPr>
        <w:spacing w:before="120"/>
        <w:ind w:left="788" w:right="-108" w:hanging="431"/>
        <w:jc w:val="both"/>
        <w:rPr>
          <w:sz w:val="24"/>
        </w:rPr>
      </w:pPr>
      <w:bookmarkStart w:id="36" w:name="_Toc109906108"/>
      <w:r w:rsidRPr="00AB241B">
        <w:rPr>
          <w:sz w:val="24"/>
        </w:rPr>
        <w:t>Бюджети на Българската национална телевизия, Българското национално радио  и Българската телеграфна агенция</w:t>
      </w:r>
      <w:bookmarkEnd w:id="36"/>
      <w:r w:rsidRPr="00AB241B">
        <w:rPr>
          <w:sz w:val="24"/>
        </w:rPr>
        <w:t xml:space="preserve"> </w:t>
      </w:r>
    </w:p>
    <w:p w14:paraId="77F98362" w14:textId="58AE9EAC" w:rsidR="00AB241B" w:rsidRDefault="00AB241B" w:rsidP="00033525">
      <w:pPr>
        <w:spacing w:before="240"/>
        <w:ind w:firstLine="567"/>
        <w:jc w:val="both"/>
      </w:pPr>
      <w:r w:rsidRPr="00A33A59">
        <w:rPr>
          <w:b/>
        </w:rPr>
        <w:t xml:space="preserve">Приходите на Българската национална телевизия (БНТ) </w:t>
      </w:r>
      <w:r w:rsidRPr="00A33A59">
        <w:t>към 3</w:t>
      </w:r>
      <w:r w:rsidRPr="00A33A59">
        <w:rPr>
          <w:lang w:val="ru-RU"/>
        </w:rPr>
        <w:t>1</w:t>
      </w:r>
      <w:r w:rsidRPr="00A33A59">
        <w:t>.0</w:t>
      </w:r>
      <w:r w:rsidRPr="00A33A59">
        <w:rPr>
          <w:lang w:val="ru-RU"/>
        </w:rPr>
        <w:t>3</w:t>
      </w:r>
      <w:r w:rsidRPr="00A33A59">
        <w:t>.202</w:t>
      </w:r>
      <w:r w:rsidRPr="00A33A59">
        <w:rPr>
          <w:lang w:val="ru-RU"/>
        </w:rPr>
        <w:t>3</w:t>
      </w:r>
      <w:r w:rsidRPr="00A33A59">
        <w:t xml:space="preserve"> г. са в размер на </w:t>
      </w:r>
      <w:r w:rsidRPr="00A33A59">
        <w:rPr>
          <w:lang w:val="ru-RU"/>
        </w:rPr>
        <w:t>5</w:t>
      </w:r>
      <w:r w:rsidRPr="00A33A59">
        <w:t>,</w:t>
      </w:r>
      <w:r w:rsidRPr="00A33A59">
        <w:rPr>
          <w:lang w:val="ru-RU"/>
        </w:rPr>
        <w:t>0</w:t>
      </w:r>
      <w:r w:rsidRPr="00A33A59">
        <w:t xml:space="preserve"> млн. лв. и </w:t>
      </w:r>
      <w:r w:rsidRPr="00DB743A">
        <w:t>са с 2,</w:t>
      </w:r>
      <w:r w:rsidR="00CE4BCF">
        <w:t>5</w:t>
      </w:r>
      <w:r w:rsidRPr="00DB743A">
        <w:t xml:space="preserve"> млн. лв. повече спрямо отчетените приходи за първото тримесечие на предходната година</w:t>
      </w:r>
      <w:r>
        <w:t>.</w:t>
      </w:r>
      <w:r w:rsidRPr="00A33A59">
        <w:t xml:space="preserve"> 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w:t>
      </w:r>
    </w:p>
    <w:p w14:paraId="3A323C04" w14:textId="28C6021A" w:rsidR="00AB241B" w:rsidRPr="003220A6" w:rsidRDefault="00AB241B" w:rsidP="008B041F">
      <w:pPr>
        <w:ind w:firstLine="561"/>
        <w:jc w:val="both"/>
      </w:pPr>
      <w:r w:rsidRPr="00A33A59">
        <w:t xml:space="preserve">Отчетените </w:t>
      </w:r>
      <w:r w:rsidRPr="00A33A59">
        <w:rPr>
          <w:b/>
        </w:rPr>
        <w:t>разходи</w:t>
      </w:r>
      <w:r w:rsidRPr="00A33A59">
        <w:t xml:space="preserve"> </w:t>
      </w:r>
      <w:r w:rsidRPr="00A33A59">
        <w:rPr>
          <w:b/>
        </w:rPr>
        <w:t>на БНТ</w:t>
      </w:r>
      <w:r w:rsidRPr="00A33A59">
        <w:t xml:space="preserve"> към 31.03.2023 г. са в размер на 20,7 млн. лв. и надвишават отчетените за същия период на предходната година с 5,1 млн. лв. По-високите разходи са резултат от увеличението на заплатите на служителите на БНТ, на възнагражденията на генералния директор и Управителния съвет на БНТ, на минималната работна заплата и  одобрено финансиране съгласно ПМС №20 от 2023 г. във връзка с подготовката и произвеждането на избори за народни представители на 2 април 2023 г.</w:t>
      </w:r>
      <w:r w:rsidRPr="00A33A59">
        <w:rPr>
          <w:szCs w:val="20"/>
        </w:rPr>
        <w:t xml:space="preserve"> За периода са отчетени 18,2 млн. лв. текущи разходи и 2,</w:t>
      </w:r>
      <w:r>
        <w:rPr>
          <w:szCs w:val="20"/>
        </w:rPr>
        <w:t>6</w:t>
      </w:r>
      <w:r w:rsidRPr="00A33A59">
        <w:rPr>
          <w:szCs w:val="20"/>
        </w:rPr>
        <w:t xml:space="preserve"> млн. лв. капиталови разходи.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През отчетния период са финансирани разходи за сметка на преходен остатък от </w:t>
      </w:r>
      <w:r w:rsidRPr="003220A6">
        <w:rPr>
          <w:szCs w:val="20"/>
        </w:rPr>
        <w:t>2022 г.</w:t>
      </w:r>
    </w:p>
    <w:p w14:paraId="34353135" w14:textId="77777777" w:rsidR="00AB241B" w:rsidRPr="00C15913" w:rsidRDefault="00AB241B" w:rsidP="008B041F">
      <w:pPr>
        <w:pStyle w:val="Title"/>
        <w:ind w:firstLine="567"/>
        <w:jc w:val="both"/>
        <w:rPr>
          <w:b w:val="0"/>
          <w:color w:val="0070C0"/>
        </w:rPr>
      </w:pPr>
      <w:r w:rsidRPr="003220A6">
        <w:rPr>
          <w:b w:val="0"/>
        </w:rPr>
        <w:t xml:space="preserve">Към 31.03.2023 г. е отчетен </w:t>
      </w:r>
      <w:r w:rsidRPr="003220A6">
        <w:t xml:space="preserve">трансфер </w:t>
      </w:r>
      <w:r w:rsidRPr="00DB743A">
        <w:t>от централния бюджет</w:t>
      </w:r>
      <w:r w:rsidRPr="00DB743A">
        <w:rPr>
          <w:b w:val="0"/>
        </w:rPr>
        <w:t xml:space="preserve"> в размер на 16,5 млн. лв., в т.ч. 1,1 млн. лв. одобрено финансиране съгласно ПМС №20 от 2023 г. и 3,0 млн. лв. трансфери за поети осигурителни вноски и данъци. Отчетеният за периода трансфер от централния бюджет е с 1,2 млн. лв. повече от отчетения трансфер за същия период на предходната година във връзка с одобреното за медията финансиране, съгласно ПМС №20 от 2023 г.</w:t>
      </w:r>
    </w:p>
    <w:p w14:paraId="77AD8A3A" w14:textId="7E3FB078" w:rsidR="00AB241B" w:rsidRPr="00F348F9" w:rsidRDefault="00AB241B" w:rsidP="008B041F">
      <w:pPr>
        <w:pStyle w:val="Title"/>
        <w:spacing w:before="120"/>
        <w:ind w:firstLine="567"/>
        <w:jc w:val="both"/>
      </w:pPr>
      <w:r w:rsidRPr="00F348F9">
        <w:t xml:space="preserve">Приходите по бюджета на Българското национално радио (БНР) </w:t>
      </w:r>
      <w:r w:rsidRPr="00F348F9">
        <w:rPr>
          <w:b w:val="0"/>
        </w:rPr>
        <w:t>към 31.03.2023 г. са в размер на 0,6 млн. лв. и са с 0,</w:t>
      </w:r>
      <w:r w:rsidR="00AA2F11">
        <w:rPr>
          <w:b w:val="0"/>
        </w:rPr>
        <w:t>3</w:t>
      </w:r>
      <w:r w:rsidRPr="00F348F9">
        <w:rPr>
          <w:b w:val="0"/>
        </w:rPr>
        <w:t xml:space="preserve"> млн. лв. повече спрямо отчетените приходи за първото тримесечие на предходната година. 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глоби, санкции и наказателни лихви,  помощи и дарения от страната.</w:t>
      </w:r>
    </w:p>
    <w:p w14:paraId="2F068C9E" w14:textId="7401AA60" w:rsidR="008B041F" w:rsidRDefault="00AB241B" w:rsidP="00751212">
      <w:pPr>
        <w:ind w:firstLine="567"/>
        <w:jc w:val="both"/>
        <w:rPr>
          <w:szCs w:val="20"/>
        </w:rPr>
      </w:pPr>
      <w:r w:rsidRPr="00F348F9">
        <w:rPr>
          <w:szCs w:val="20"/>
        </w:rPr>
        <w:t>Изпълнението</w:t>
      </w:r>
      <w:r w:rsidR="008B041F">
        <w:rPr>
          <w:szCs w:val="20"/>
        </w:rPr>
        <w:t> </w:t>
      </w:r>
      <w:r w:rsidRPr="00F348F9">
        <w:rPr>
          <w:szCs w:val="20"/>
        </w:rPr>
        <w:t xml:space="preserve">на </w:t>
      </w:r>
      <w:r w:rsidRPr="00F348F9">
        <w:rPr>
          <w:b/>
          <w:szCs w:val="20"/>
        </w:rPr>
        <w:t>разходите</w:t>
      </w:r>
      <w:r w:rsidRPr="00F348F9">
        <w:rPr>
          <w:szCs w:val="20"/>
        </w:rPr>
        <w:t xml:space="preserve"> </w:t>
      </w:r>
      <w:r w:rsidRPr="00F348F9">
        <w:rPr>
          <w:b/>
          <w:szCs w:val="20"/>
        </w:rPr>
        <w:t>по бюджета на</w:t>
      </w:r>
      <w:r w:rsidRPr="00F348F9">
        <w:rPr>
          <w:szCs w:val="20"/>
        </w:rPr>
        <w:t xml:space="preserve"> </w:t>
      </w:r>
      <w:r w:rsidRPr="00F348F9">
        <w:rPr>
          <w:b/>
          <w:szCs w:val="20"/>
        </w:rPr>
        <w:t xml:space="preserve">БНР </w:t>
      </w:r>
      <w:r w:rsidRPr="00F348F9">
        <w:rPr>
          <w:szCs w:val="20"/>
        </w:rPr>
        <w:t>възлиза на 13</w:t>
      </w:r>
      <w:r w:rsidR="008B041F">
        <w:rPr>
          <w:szCs w:val="20"/>
        </w:rPr>
        <w:t>,</w:t>
      </w:r>
      <w:r w:rsidRPr="00F348F9">
        <w:rPr>
          <w:szCs w:val="20"/>
        </w:rPr>
        <w:t xml:space="preserve">9 млн. лв. </w:t>
      </w:r>
      <w:r w:rsidR="00CE09A2">
        <w:rPr>
          <w:szCs w:val="20"/>
        </w:rPr>
        <w:t>като</w:t>
      </w:r>
      <w:r w:rsidRPr="00F348F9">
        <w:rPr>
          <w:szCs w:val="20"/>
        </w:rPr>
        <w:t xml:space="preserve"> надвишава отчетените за същия период на предходната година разходи с 3,3 млн. лв. По-високите разходи</w:t>
      </w:r>
      <w:r w:rsidR="008B041F">
        <w:rPr>
          <w:szCs w:val="20"/>
        </w:rPr>
        <w:t> </w:t>
      </w:r>
      <w:r w:rsidRPr="00F348F9">
        <w:rPr>
          <w:szCs w:val="20"/>
        </w:rPr>
        <w:t>са резултат от увеличението на заплатите на служителите на БНР, на възнагражденията на</w:t>
      </w:r>
      <w:r w:rsidR="008B041F">
        <w:rPr>
          <w:szCs w:val="20"/>
        </w:rPr>
        <w:t> </w:t>
      </w:r>
      <w:r w:rsidRPr="00F348F9">
        <w:rPr>
          <w:szCs w:val="20"/>
        </w:rPr>
        <w:t>генералния директор и Управителния съвет на БНР, на минималната работна заплата и</w:t>
      </w:r>
      <w:r w:rsidR="008B041F">
        <w:rPr>
          <w:szCs w:val="20"/>
        </w:rPr>
        <w:t> </w:t>
      </w:r>
      <w:r w:rsidRPr="00F348F9">
        <w:rPr>
          <w:szCs w:val="20"/>
        </w:rPr>
        <w:t>одобрено</w:t>
      </w:r>
      <w:r w:rsidR="008B041F">
        <w:rPr>
          <w:szCs w:val="20"/>
        </w:rPr>
        <w:t> </w:t>
      </w:r>
      <w:r w:rsidRPr="00F348F9">
        <w:rPr>
          <w:szCs w:val="20"/>
        </w:rPr>
        <w:t>финансиране съгласно ПМС №</w:t>
      </w:r>
      <w:r w:rsidR="008B041F">
        <w:rPr>
          <w:szCs w:val="20"/>
        </w:rPr>
        <w:t xml:space="preserve"> </w:t>
      </w:r>
      <w:r w:rsidRPr="00F348F9">
        <w:rPr>
          <w:szCs w:val="20"/>
        </w:rPr>
        <w:t>20 от 2023 г. във връзка с подготовката и произвеждането на</w:t>
      </w:r>
      <w:r w:rsidR="008B041F">
        <w:rPr>
          <w:szCs w:val="20"/>
        </w:rPr>
        <w:t> </w:t>
      </w:r>
      <w:r w:rsidRPr="00F348F9">
        <w:rPr>
          <w:szCs w:val="20"/>
        </w:rPr>
        <w:t xml:space="preserve">избори за народни представители на 2 април 2023 г. </w:t>
      </w:r>
      <w:r w:rsidR="00E278E8">
        <w:rPr>
          <w:szCs w:val="20"/>
        </w:rPr>
        <w:t xml:space="preserve"> </w:t>
      </w:r>
      <w:r w:rsidRPr="00F348F9">
        <w:rPr>
          <w:szCs w:val="20"/>
        </w:rPr>
        <w:t>За периода са отчетени 12,1 млн. лв. текущи разходи и 1,8 млн. лв. капиталови разходи.</w:t>
      </w:r>
      <w:r w:rsidR="008B041F">
        <w:rPr>
          <w:szCs w:val="20"/>
        </w:rPr>
        <w:t xml:space="preserve">  </w:t>
      </w:r>
      <w:r w:rsidRPr="00F348F9">
        <w:rPr>
          <w:szCs w:val="20"/>
        </w:rPr>
        <w:t xml:space="preserve">Средствата </w:t>
      </w:r>
      <w:r w:rsidR="008B041F">
        <w:rPr>
          <w:szCs w:val="20"/>
        </w:rPr>
        <w:t xml:space="preserve"> </w:t>
      </w:r>
      <w:r w:rsidRPr="00F348F9">
        <w:rPr>
          <w:szCs w:val="20"/>
        </w:rPr>
        <w:t xml:space="preserve">са </w:t>
      </w:r>
      <w:r w:rsidR="008B041F">
        <w:rPr>
          <w:szCs w:val="20"/>
        </w:rPr>
        <w:t xml:space="preserve"> </w:t>
      </w:r>
      <w:r w:rsidRPr="00F348F9">
        <w:rPr>
          <w:szCs w:val="20"/>
        </w:rPr>
        <w:t xml:space="preserve">усвоени </w:t>
      </w:r>
      <w:r w:rsidR="008B041F">
        <w:rPr>
          <w:szCs w:val="20"/>
        </w:rPr>
        <w:t xml:space="preserve"> </w:t>
      </w:r>
      <w:r w:rsidRPr="000C4760">
        <w:rPr>
          <w:szCs w:val="20"/>
        </w:rPr>
        <w:t xml:space="preserve">за </w:t>
      </w:r>
    </w:p>
    <w:p w14:paraId="579CDA51" w14:textId="685C110A" w:rsidR="00AB241B" w:rsidRPr="00F348F9" w:rsidRDefault="00AB241B" w:rsidP="008B041F">
      <w:pPr>
        <w:jc w:val="both"/>
        <w:rPr>
          <w:szCs w:val="20"/>
        </w:rPr>
      </w:pPr>
      <w:r w:rsidRPr="00654FEE">
        <w:rPr>
          <w:szCs w:val="20"/>
        </w:rPr>
        <w:t>реализирането на основните цели и дейности на БНР по подготовката, създаването и</w:t>
      </w:r>
      <w:r w:rsidRPr="00F348F9">
        <w:rPr>
          <w:szCs w:val="20"/>
        </w:rPr>
        <w:t xml:space="preserve"> разпространението на национални и регионални програми съгласно разпоредбите на Закона за радиото и телевизията. През отчетния период са финансирани разходи за сметка на преходен остатък от 2022 г. </w:t>
      </w:r>
    </w:p>
    <w:p w14:paraId="37702A05" w14:textId="77777777" w:rsidR="00AB241B" w:rsidRPr="00F348F9" w:rsidRDefault="00AB241B" w:rsidP="00AB241B">
      <w:pPr>
        <w:ind w:firstLine="567"/>
        <w:jc w:val="both"/>
        <w:rPr>
          <w:szCs w:val="20"/>
        </w:rPr>
      </w:pPr>
      <w:r w:rsidRPr="00F348F9">
        <w:t xml:space="preserve">За периода е отчетен </w:t>
      </w:r>
      <w:r w:rsidRPr="00F348F9">
        <w:rPr>
          <w:b/>
        </w:rPr>
        <w:t>трансфер от централния бюджет</w:t>
      </w:r>
      <w:r w:rsidRPr="00F348F9">
        <w:t xml:space="preserve"> в размер на 10,9 млн. лв., в т.ч. 0,8 млн. лв. одобрено финансиране съгласно ПМС № 20 от 2023 г. и 2,6 млн. лв.  трансфери за поети осигурителни вноски и данъци. Отчетеният за периода трансфер от централния бюджет е с 2,2 млн. лв. по-малко от отчетения трансфер за същия период на предходната година, поради неусвоени суми и наличности по левовата сметка в БНБ през първото тримесечие на 2022 г.</w:t>
      </w:r>
    </w:p>
    <w:p w14:paraId="6508DE6D" w14:textId="18D04064" w:rsidR="00AB241B" w:rsidRPr="00784626" w:rsidRDefault="00AB241B" w:rsidP="00033525">
      <w:pPr>
        <w:spacing w:before="120"/>
        <w:ind w:firstLine="567"/>
        <w:jc w:val="both"/>
        <w:rPr>
          <w:b/>
          <w:szCs w:val="20"/>
        </w:rPr>
      </w:pPr>
      <w:r w:rsidRPr="00784626">
        <w:rPr>
          <w:b/>
          <w:szCs w:val="20"/>
        </w:rPr>
        <w:t xml:space="preserve">Приходите на </w:t>
      </w:r>
      <w:r w:rsidRPr="00784626">
        <w:rPr>
          <w:b/>
        </w:rPr>
        <w:t>Българската телеграфна агенция (БТА)</w:t>
      </w:r>
      <w:r w:rsidRPr="00784626">
        <w:t xml:space="preserve"> </w:t>
      </w:r>
      <w:r w:rsidRPr="00784626">
        <w:rPr>
          <w:szCs w:val="20"/>
        </w:rPr>
        <w:t xml:space="preserve">към 31.03.2022 г. са </w:t>
      </w:r>
      <w:r w:rsidR="002F03EF">
        <w:rPr>
          <w:szCs w:val="20"/>
        </w:rPr>
        <w:t xml:space="preserve">в размер на </w:t>
      </w:r>
      <w:r w:rsidRPr="00784626">
        <w:rPr>
          <w:szCs w:val="20"/>
        </w:rPr>
        <w:t>0,2 млн. лв</w:t>
      </w:r>
      <w:r w:rsidRPr="00784626">
        <w:t>.</w:t>
      </w:r>
      <w:r w:rsidR="005C70EE">
        <w:t xml:space="preserve"> и</w:t>
      </w:r>
      <w:r w:rsidRPr="00784626">
        <w:t xml:space="preserve"> са основно от продажба на услуги, стоки и продукция. Приходите са съпоставими със същия период на миналата година.</w:t>
      </w:r>
      <w:r w:rsidRPr="00784626">
        <w:rPr>
          <w:szCs w:val="20"/>
        </w:rPr>
        <w:t xml:space="preserve"> </w:t>
      </w:r>
    </w:p>
    <w:p w14:paraId="2049E8EC" w14:textId="0BACA701" w:rsidR="00AB241B" w:rsidRPr="00784626" w:rsidRDefault="00AB241B" w:rsidP="00AB241B">
      <w:pPr>
        <w:ind w:firstLine="567"/>
        <w:jc w:val="both"/>
        <w:rPr>
          <w:szCs w:val="20"/>
        </w:rPr>
      </w:pPr>
      <w:r w:rsidRPr="00784626">
        <w:rPr>
          <w:szCs w:val="20"/>
        </w:rPr>
        <w:t>Отчетените</w:t>
      </w:r>
      <w:r w:rsidRPr="00784626">
        <w:rPr>
          <w:b/>
          <w:szCs w:val="20"/>
        </w:rPr>
        <w:t xml:space="preserve"> разходи на БТА</w:t>
      </w:r>
      <w:r w:rsidRPr="00784626">
        <w:rPr>
          <w:szCs w:val="20"/>
        </w:rPr>
        <w:t xml:space="preserve"> за периода са 2,6 млн. лв. </w:t>
      </w:r>
      <w:r w:rsidR="005C70EE">
        <w:rPr>
          <w:szCs w:val="20"/>
        </w:rPr>
        <w:t xml:space="preserve">и </w:t>
      </w:r>
      <w:r w:rsidRPr="00784626">
        <w:rPr>
          <w:szCs w:val="20"/>
        </w:rPr>
        <w:t>са свързани с дейност</w:t>
      </w:r>
      <w:r w:rsidR="002F03EF">
        <w:rPr>
          <w:szCs w:val="20"/>
        </w:rPr>
        <w:t>та</w:t>
      </w:r>
      <w:r w:rsidRPr="00784626">
        <w:rPr>
          <w:szCs w:val="20"/>
        </w:rPr>
        <w:t xml:space="preserve"> на агенцията, като основен дял имат разходите за персонал и капиталови</w:t>
      </w:r>
      <w:r w:rsidR="00CE09A2">
        <w:rPr>
          <w:szCs w:val="20"/>
        </w:rPr>
        <w:t>те</w:t>
      </w:r>
      <w:r w:rsidRPr="00784626">
        <w:rPr>
          <w:szCs w:val="20"/>
        </w:rPr>
        <w:t xml:space="preserve"> разходи за осигуряване на съвременна техника за безвъзмездно разпространение на информацията. Разходите са нараснали с 62,1 % в сравнение със същия период на предходната година.</w:t>
      </w:r>
    </w:p>
    <w:p w14:paraId="4E7959BC" w14:textId="77777777" w:rsidR="00AB241B" w:rsidRPr="00784626" w:rsidRDefault="00AB241B" w:rsidP="00AB241B">
      <w:pPr>
        <w:ind w:firstLine="567"/>
        <w:jc w:val="both"/>
        <w:rPr>
          <w:szCs w:val="20"/>
        </w:rPr>
      </w:pPr>
      <w:r w:rsidRPr="00784626">
        <w:rPr>
          <w:szCs w:val="20"/>
        </w:rPr>
        <w:t xml:space="preserve">За периода е отчетен </w:t>
      </w:r>
      <w:r w:rsidRPr="00784626">
        <w:rPr>
          <w:b/>
          <w:szCs w:val="20"/>
        </w:rPr>
        <w:t>трансфер от централния бюджет</w:t>
      </w:r>
      <w:r w:rsidRPr="00784626">
        <w:rPr>
          <w:szCs w:val="20"/>
        </w:rPr>
        <w:t xml:space="preserve"> в размер на 2,0 млн. лева.</w:t>
      </w:r>
    </w:p>
    <w:p w14:paraId="63A45335" w14:textId="77777777" w:rsidR="007C1025" w:rsidRPr="00C15913" w:rsidRDefault="007C1025" w:rsidP="007C1025">
      <w:pPr>
        <w:ind w:firstLine="567"/>
        <w:jc w:val="both"/>
        <w:rPr>
          <w:color w:val="0070C0"/>
          <w:szCs w:val="20"/>
        </w:rPr>
      </w:pPr>
    </w:p>
    <w:p w14:paraId="4AA22F16" w14:textId="77777777" w:rsidR="00446778" w:rsidRPr="00C15913" w:rsidRDefault="00446778" w:rsidP="007C1025">
      <w:pPr>
        <w:pStyle w:val="Title"/>
        <w:jc w:val="both"/>
        <w:rPr>
          <w:color w:val="0070C0"/>
        </w:rPr>
      </w:pPr>
    </w:p>
    <w:p w14:paraId="4AF52FFD" w14:textId="77777777" w:rsidR="00446778" w:rsidRPr="00C15913" w:rsidRDefault="00446778" w:rsidP="007C1025">
      <w:pPr>
        <w:pStyle w:val="Title"/>
        <w:jc w:val="both"/>
        <w:rPr>
          <w:color w:val="0070C0"/>
        </w:rPr>
      </w:pPr>
    </w:p>
    <w:p w14:paraId="3B3EE450" w14:textId="77777777" w:rsidR="00446778" w:rsidRPr="00C15913" w:rsidRDefault="00446778" w:rsidP="007C1025">
      <w:pPr>
        <w:pStyle w:val="Title"/>
        <w:jc w:val="both"/>
        <w:rPr>
          <w:color w:val="0070C0"/>
        </w:rPr>
      </w:pPr>
    </w:p>
    <w:p w14:paraId="76C99E03" w14:textId="77777777" w:rsidR="00446778" w:rsidRPr="00C15913" w:rsidRDefault="00446778" w:rsidP="007C1025">
      <w:pPr>
        <w:pStyle w:val="Title"/>
        <w:jc w:val="both"/>
        <w:rPr>
          <w:color w:val="0070C0"/>
        </w:rPr>
      </w:pPr>
    </w:p>
    <w:p w14:paraId="2FBFC7D6" w14:textId="77777777" w:rsidR="00446778" w:rsidRPr="00C15913" w:rsidRDefault="00446778" w:rsidP="007C1025">
      <w:pPr>
        <w:pStyle w:val="Title"/>
        <w:jc w:val="both"/>
        <w:rPr>
          <w:color w:val="0070C0"/>
        </w:rPr>
      </w:pPr>
    </w:p>
    <w:p w14:paraId="6B622233" w14:textId="77777777" w:rsidR="00446778" w:rsidRPr="00C15913" w:rsidRDefault="00446778" w:rsidP="007C1025">
      <w:pPr>
        <w:pStyle w:val="Title"/>
        <w:jc w:val="both"/>
        <w:rPr>
          <w:color w:val="0070C0"/>
        </w:rPr>
      </w:pPr>
    </w:p>
    <w:p w14:paraId="2EC6E6FB" w14:textId="77777777" w:rsidR="00446778" w:rsidRPr="00C15913" w:rsidRDefault="00446778" w:rsidP="007C1025">
      <w:pPr>
        <w:pStyle w:val="Title"/>
        <w:jc w:val="both"/>
        <w:rPr>
          <w:color w:val="0070C0"/>
        </w:rPr>
      </w:pPr>
    </w:p>
    <w:p w14:paraId="1F97E6C1" w14:textId="77777777" w:rsidR="00001ABF" w:rsidRPr="00C15913" w:rsidRDefault="00001ABF" w:rsidP="007C1025">
      <w:pPr>
        <w:pStyle w:val="Title"/>
        <w:jc w:val="both"/>
        <w:rPr>
          <w:color w:val="0070C0"/>
        </w:rPr>
      </w:pPr>
    </w:p>
    <w:p w14:paraId="217C3D1A" w14:textId="4716A463" w:rsidR="007C1025" w:rsidRDefault="007C1025" w:rsidP="007C1025">
      <w:pPr>
        <w:pStyle w:val="Title"/>
        <w:jc w:val="both"/>
      </w:pPr>
      <w:r w:rsidRPr="005E5002">
        <w:t xml:space="preserve">Министерство на финансите, </w:t>
      </w:r>
      <w:r w:rsidR="005E5002" w:rsidRPr="005E5002">
        <w:t xml:space="preserve">май </w:t>
      </w:r>
      <w:r w:rsidRPr="005E5002">
        <w:t>202</w:t>
      </w:r>
      <w:r w:rsidR="005E5002" w:rsidRPr="005E5002">
        <w:t>3</w:t>
      </w:r>
      <w:r w:rsidRPr="005E5002">
        <w:t xml:space="preserve"> г.</w:t>
      </w:r>
    </w:p>
    <w:p w14:paraId="4AAD44C7" w14:textId="20B167DF" w:rsidR="007C73AC" w:rsidRDefault="007C73AC" w:rsidP="007C1025">
      <w:pPr>
        <w:pStyle w:val="Title"/>
        <w:jc w:val="both"/>
      </w:pPr>
    </w:p>
    <w:p w14:paraId="50EAA3B6" w14:textId="3B0FD55E" w:rsidR="007C73AC" w:rsidRDefault="007C73AC" w:rsidP="007C1025">
      <w:pPr>
        <w:pStyle w:val="Title"/>
        <w:jc w:val="both"/>
      </w:pPr>
    </w:p>
    <w:p w14:paraId="69793A5B" w14:textId="77777777" w:rsidR="007C73AC" w:rsidRDefault="007C73AC" w:rsidP="007C1025">
      <w:pPr>
        <w:pStyle w:val="Title"/>
        <w:jc w:val="both"/>
      </w:pPr>
      <w:bookmarkStart w:id="37" w:name="_GoBack"/>
      <w:bookmarkEnd w:id="37"/>
    </w:p>
    <w:sectPr w:rsidR="007C73AC" w:rsidSect="00033525">
      <w:footerReference w:type="even" r:id="rId9"/>
      <w:footerReference w:type="default" r:id="rId10"/>
      <w:endnotePr>
        <w:numFmt w:val="decimal"/>
      </w:endnotePr>
      <w:type w:val="continuous"/>
      <w:pgSz w:w="11906" w:h="16838"/>
      <w:pgMar w:top="709" w:right="849"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24C1" w14:textId="77777777" w:rsidR="00033525" w:rsidRDefault="00033525">
      <w:r>
        <w:separator/>
      </w:r>
    </w:p>
  </w:endnote>
  <w:endnote w:type="continuationSeparator" w:id="0">
    <w:p w14:paraId="0F967DAB" w14:textId="77777777" w:rsidR="00033525" w:rsidRDefault="00033525">
      <w:r>
        <w:continuationSeparator/>
      </w:r>
    </w:p>
  </w:endnote>
  <w:endnote w:type="continuationNotice" w:id="1">
    <w:p w14:paraId="4545AF10" w14:textId="77777777" w:rsidR="00033525" w:rsidRDefault="00033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BECB" w14:textId="77777777" w:rsidR="00033525" w:rsidRDefault="00033525"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63D0C" w14:textId="77777777" w:rsidR="00033525" w:rsidRDefault="00033525"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64DC" w14:textId="0044ABC9" w:rsidR="00033525" w:rsidRDefault="00033525"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F89">
      <w:rPr>
        <w:rStyle w:val="PageNumber"/>
        <w:noProof/>
      </w:rPr>
      <w:t>32</w:t>
    </w:r>
    <w:r>
      <w:rPr>
        <w:rStyle w:val="PageNumber"/>
      </w:rPr>
      <w:fldChar w:fldCharType="end"/>
    </w:r>
  </w:p>
  <w:p w14:paraId="5CD71E31" w14:textId="77777777" w:rsidR="00033525" w:rsidRDefault="00033525"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4557" w14:textId="77777777" w:rsidR="00033525" w:rsidRDefault="00033525">
      <w:r>
        <w:separator/>
      </w:r>
    </w:p>
  </w:footnote>
  <w:footnote w:type="continuationSeparator" w:id="0">
    <w:p w14:paraId="30E89340" w14:textId="77777777" w:rsidR="00033525" w:rsidRDefault="00033525">
      <w:r>
        <w:continuationSeparator/>
      </w:r>
    </w:p>
  </w:footnote>
  <w:footnote w:type="continuationNotice" w:id="1">
    <w:p w14:paraId="0EB840B0" w14:textId="77777777" w:rsidR="00033525" w:rsidRDefault="00033525"/>
  </w:footnote>
  <w:footnote w:id="2">
    <w:p w14:paraId="7CE7D914" w14:textId="77777777" w:rsidR="00033525" w:rsidRPr="006E3C64" w:rsidRDefault="00033525" w:rsidP="004D15F0">
      <w:pPr>
        <w:pStyle w:val="FootnoteText"/>
        <w:rPr>
          <w:lang w:val="bg-BG"/>
        </w:rPr>
      </w:pPr>
      <w:r w:rsidRPr="006E3C64">
        <w:rPr>
          <w:rStyle w:val="FootnoteReference"/>
          <w:lang w:val="bg-BG"/>
        </w:rPr>
        <w:t>[1]</w:t>
      </w:r>
      <w:r w:rsidRPr="006E3C64">
        <w:rPr>
          <w:lang w:val="bg-BG"/>
        </w:rPr>
        <w:t xml:space="preserve"> От общия ХИПЦ са изключени енергийните продукти, храни, алкохол и цигари.</w:t>
      </w:r>
    </w:p>
  </w:footnote>
  <w:footnote w:id="3">
    <w:p w14:paraId="327EABEE" w14:textId="77777777" w:rsidR="00033525" w:rsidRPr="007D18FE" w:rsidRDefault="00033525"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4">
    <w:p w14:paraId="24F24878" w14:textId="77777777" w:rsidR="00033525" w:rsidRPr="007D18FE" w:rsidRDefault="00033525" w:rsidP="00222173">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5">
    <w:p w14:paraId="1DEA8FB2" w14:textId="77777777" w:rsidR="00033525" w:rsidRPr="00E74802" w:rsidRDefault="00033525" w:rsidP="00222173">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6">
    <w:p w14:paraId="4A975709" w14:textId="77777777" w:rsidR="00033525" w:rsidRPr="00DF79A3" w:rsidRDefault="00033525" w:rsidP="00222173">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7">
    <w:p w14:paraId="3DDC0B7A" w14:textId="77777777" w:rsidR="00033525" w:rsidRPr="00455072" w:rsidRDefault="00033525" w:rsidP="00455072">
      <w:pPr>
        <w:pStyle w:val="FootnoteText"/>
        <w:jc w:val="both"/>
        <w:rPr>
          <w:sz w:val="18"/>
          <w:szCs w:val="18"/>
          <w:lang w:val="ru-RU"/>
        </w:rPr>
      </w:pPr>
      <w:r w:rsidRPr="00EB7087">
        <w:rPr>
          <w:rStyle w:val="FootnoteReference"/>
        </w:rPr>
        <w:footnoteRef/>
      </w:r>
      <w:r w:rsidRPr="00455072">
        <w:rPr>
          <w:sz w:val="18"/>
          <w:szCs w:val="18"/>
          <w:lang w:val="ru-RU"/>
        </w:rPr>
        <w:t xml:space="preserve"> Поради извършено закръгление в млн. лв., някои сумарни позиции в Таблица № 1 и в текста не се изчерпват от съставните им числа.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15:restartNumberingAfterBreak="0">
    <w:nsid w:val="02A64D70"/>
    <w:multiLevelType w:val="hybridMultilevel"/>
    <w:tmpl w:val="F85C9BE4"/>
    <w:lvl w:ilvl="0" w:tplc="982A2DA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2125B4"/>
    <w:multiLevelType w:val="multilevel"/>
    <w:tmpl w:val="7D5224AA"/>
    <w:lvl w:ilvl="0">
      <w:numFmt w:val="bullet"/>
      <w:lvlText w:val="-"/>
      <w:lvlJc w:val="left"/>
      <w:pPr>
        <w:ind w:left="-32767" w:hanging="32486"/>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4"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6"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0"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3" w15:restartNumberingAfterBreak="0">
    <w:nsid w:val="491C773E"/>
    <w:multiLevelType w:val="hybridMultilevel"/>
    <w:tmpl w:val="95184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8"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14DC7"/>
    <w:multiLevelType w:val="hybridMultilevel"/>
    <w:tmpl w:val="0612223A"/>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1"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3"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8"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78209C"/>
    <w:multiLevelType w:val="hybridMultilevel"/>
    <w:tmpl w:val="5624217C"/>
    <w:lvl w:ilvl="0" w:tplc="CA968970">
      <w:start w:val="43"/>
      <w:numFmt w:val="bullet"/>
      <w:lvlText w:val="-"/>
      <w:lvlJc w:val="left"/>
      <w:pPr>
        <w:ind w:left="1429" w:hanging="360"/>
      </w:pPr>
      <w:rPr>
        <w:rFonts w:ascii="Times New Roman" w:eastAsia="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0"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1"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2"/>
  </w:num>
  <w:num w:numId="3">
    <w:abstractNumId w:val="25"/>
  </w:num>
  <w:num w:numId="4">
    <w:abstractNumId w:val="8"/>
  </w:num>
  <w:num w:numId="5">
    <w:abstractNumId w:val="28"/>
  </w:num>
  <w:num w:numId="6">
    <w:abstractNumId w:val="18"/>
  </w:num>
  <w:num w:numId="7">
    <w:abstractNumId w:val="23"/>
  </w:num>
  <w:num w:numId="8">
    <w:abstractNumId w:val="16"/>
  </w:num>
  <w:num w:numId="9">
    <w:abstractNumId w:val="30"/>
  </w:num>
  <w:num w:numId="10">
    <w:abstractNumId w:val="24"/>
  </w:num>
  <w:num w:numId="11">
    <w:abstractNumId w:val="22"/>
  </w:num>
  <w:num w:numId="12">
    <w:abstractNumId w:val="32"/>
  </w:num>
  <w:num w:numId="13">
    <w:abstractNumId w:val="31"/>
  </w:num>
  <w:num w:numId="14">
    <w:abstractNumId w:val="26"/>
  </w:num>
  <w:num w:numId="15">
    <w:abstractNumId w:val="14"/>
  </w:num>
  <w:num w:numId="16">
    <w:abstractNumId w:val="6"/>
  </w:num>
  <w:num w:numId="17">
    <w:abstractNumId w:val="7"/>
  </w:num>
  <w:num w:numId="18">
    <w:abstractNumId w:val="15"/>
  </w:num>
  <w:num w:numId="19">
    <w:abstractNumId w:val="20"/>
  </w:num>
  <w:num w:numId="20">
    <w:abstractNumId w:val="27"/>
  </w:num>
  <w:num w:numId="21">
    <w:abstractNumId w:val="21"/>
  </w:num>
  <w:num w:numId="22">
    <w:abstractNumId w:val="11"/>
  </w:num>
  <w:num w:numId="23">
    <w:abstractNumId w:val="0"/>
  </w:num>
  <w:num w:numId="24">
    <w:abstractNumId w:val="2"/>
  </w:num>
  <w:num w:numId="25">
    <w:abstractNumId w:val="29"/>
  </w:num>
  <w:num w:numId="26">
    <w:abstractNumId w:val="19"/>
  </w:num>
  <w:num w:numId="27">
    <w:abstractNumId w:val="5"/>
  </w:num>
  <w:num w:numId="28">
    <w:abstractNumId w:val="10"/>
  </w:num>
  <w:num w:numId="29">
    <w:abstractNumId w:val="17"/>
  </w:num>
  <w:num w:numId="30">
    <w:abstractNumId w:val="9"/>
  </w:num>
  <w:num w:numId="31">
    <w:abstractNumId w:val="1"/>
  </w:num>
  <w:num w:numId="32">
    <w:abstractNumId w:val="13"/>
  </w:num>
  <w:num w:numId="33">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0FE1"/>
    <w:rsid w:val="00001580"/>
    <w:rsid w:val="000016BE"/>
    <w:rsid w:val="00001ABF"/>
    <w:rsid w:val="00002BD7"/>
    <w:rsid w:val="00002D9C"/>
    <w:rsid w:val="00003489"/>
    <w:rsid w:val="00003B52"/>
    <w:rsid w:val="00004264"/>
    <w:rsid w:val="00005544"/>
    <w:rsid w:val="00005A85"/>
    <w:rsid w:val="000063FC"/>
    <w:rsid w:val="000065C6"/>
    <w:rsid w:val="0000691E"/>
    <w:rsid w:val="00006956"/>
    <w:rsid w:val="00006A56"/>
    <w:rsid w:val="00006EBC"/>
    <w:rsid w:val="00007F94"/>
    <w:rsid w:val="000111D3"/>
    <w:rsid w:val="00011383"/>
    <w:rsid w:val="000119C6"/>
    <w:rsid w:val="000122E0"/>
    <w:rsid w:val="00012431"/>
    <w:rsid w:val="00012533"/>
    <w:rsid w:val="000126AC"/>
    <w:rsid w:val="0001276F"/>
    <w:rsid w:val="00012AE6"/>
    <w:rsid w:val="0001332F"/>
    <w:rsid w:val="0001356B"/>
    <w:rsid w:val="00013677"/>
    <w:rsid w:val="00013B93"/>
    <w:rsid w:val="00013C59"/>
    <w:rsid w:val="000146EA"/>
    <w:rsid w:val="000158A2"/>
    <w:rsid w:val="00015C0F"/>
    <w:rsid w:val="00015D5B"/>
    <w:rsid w:val="00017412"/>
    <w:rsid w:val="000175C7"/>
    <w:rsid w:val="000178CA"/>
    <w:rsid w:val="00017EA1"/>
    <w:rsid w:val="0002050E"/>
    <w:rsid w:val="000215BD"/>
    <w:rsid w:val="00021A5F"/>
    <w:rsid w:val="000221B7"/>
    <w:rsid w:val="000229E1"/>
    <w:rsid w:val="00022CAC"/>
    <w:rsid w:val="00022D9E"/>
    <w:rsid w:val="0002351F"/>
    <w:rsid w:val="00023BF6"/>
    <w:rsid w:val="00023D31"/>
    <w:rsid w:val="00024065"/>
    <w:rsid w:val="0002444B"/>
    <w:rsid w:val="0002477E"/>
    <w:rsid w:val="0002478B"/>
    <w:rsid w:val="000249B9"/>
    <w:rsid w:val="000256B4"/>
    <w:rsid w:val="00025953"/>
    <w:rsid w:val="00025F45"/>
    <w:rsid w:val="00026903"/>
    <w:rsid w:val="0002693A"/>
    <w:rsid w:val="00026AD5"/>
    <w:rsid w:val="00027951"/>
    <w:rsid w:val="00027B74"/>
    <w:rsid w:val="00030353"/>
    <w:rsid w:val="00030658"/>
    <w:rsid w:val="000307D3"/>
    <w:rsid w:val="000311EA"/>
    <w:rsid w:val="00031377"/>
    <w:rsid w:val="00031593"/>
    <w:rsid w:val="00031710"/>
    <w:rsid w:val="000319CB"/>
    <w:rsid w:val="000320C8"/>
    <w:rsid w:val="00032966"/>
    <w:rsid w:val="00033525"/>
    <w:rsid w:val="00033ACB"/>
    <w:rsid w:val="000340ED"/>
    <w:rsid w:val="00034135"/>
    <w:rsid w:val="00034396"/>
    <w:rsid w:val="00034FE3"/>
    <w:rsid w:val="0003586B"/>
    <w:rsid w:val="000359FA"/>
    <w:rsid w:val="0003621F"/>
    <w:rsid w:val="000369D6"/>
    <w:rsid w:val="00036A1B"/>
    <w:rsid w:val="00037141"/>
    <w:rsid w:val="000377BC"/>
    <w:rsid w:val="000378DC"/>
    <w:rsid w:val="00040164"/>
    <w:rsid w:val="000406B2"/>
    <w:rsid w:val="0004080C"/>
    <w:rsid w:val="0004098D"/>
    <w:rsid w:val="00040C20"/>
    <w:rsid w:val="000411D9"/>
    <w:rsid w:val="00041338"/>
    <w:rsid w:val="00042634"/>
    <w:rsid w:val="00042853"/>
    <w:rsid w:val="00042C9E"/>
    <w:rsid w:val="00042E57"/>
    <w:rsid w:val="0004338F"/>
    <w:rsid w:val="000436DD"/>
    <w:rsid w:val="000439F5"/>
    <w:rsid w:val="00043AA0"/>
    <w:rsid w:val="00043AB2"/>
    <w:rsid w:val="00043E35"/>
    <w:rsid w:val="00043E3A"/>
    <w:rsid w:val="00044147"/>
    <w:rsid w:val="0004426E"/>
    <w:rsid w:val="00044273"/>
    <w:rsid w:val="00045116"/>
    <w:rsid w:val="000458F0"/>
    <w:rsid w:val="000465FC"/>
    <w:rsid w:val="0004753C"/>
    <w:rsid w:val="00050A1B"/>
    <w:rsid w:val="00051E5E"/>
    <w:rsid w:val="00052449"/>
    <w:rsid w:val="00052485"/>
    <w:rsid w:val="0005284D"/>
    <w:rsid w:val="00052B23"/>
    <w:rsid w:val="00052C5C"/>
    <w:rsid w:val="00053B0F"/>
    <w:rsid w:val="00053C71"/>
    <w:rsid w:val="00053D51"/>
    <w:rsid w:val="00054555"/>
    <w:rsid w:val="000546BF"/>
    <w:rsid w:val="000548B8"/>
    <w:rsid w:val="00054CE2"/>
    <w:rsid w:val="00054E02"/>
    <w:rsid w:val="00055007"/>
    <w:rsid w:val="000551E4"/>
    <w:rsid w:val="00055A61"/>
    <w:rsid w:val="00055DD1"/>
    <w:rsid w:val="00056221"/>
    <w:rsid w:val="00056B58"/>
    <w:rsid w:val="00056D9D"/>
    <w:rsid w:val="0005737D"/>
    <w:rsid w:val="00057886"/>
    <w:rsid w:val="00060A02"/>
    <w:rsid w:val="00060B42"/>
    <w:rsid w:val="000613BA"/>
    <w:rsid w:val="0006166E"/>
    <w:rsid w:val="00061758"/>
    <w:rsid w:val="000621DE"/>
    <w:rsid w:val="00062315"/>
    <w:rsid w:val="00062A78"/>
    <w:rsid w:val="00063235"/>
    <w:rsid w:val="00063CF1"/>
    <w:rsid w:val="00063E15"/>
    <w:rsid w:val="000642B9"/>
    <w:rsid w:val="00064472"/>
    <w:rsid w:val="0006477A"/>
    <w:rsid w:val="00064AF3"/>
    <w:rsid w:val="00064C44"/>
    <w:rsid w:val="00064E39"/>
    <w:rsid w:val="00064F71"/>
    <w:rsid w:val="0006584F"/>
    <w:rsid w:val="00065A46"/>
    <w:rsid w:val="00065DF8"/>
    <w:rsid w:val="000663D1"/>
    <w:rsid w:val="000666C0"/>
    <w:rsid w:val="00066EED"/>
    <w:rsid w:val="00067283"/>
    <w:rsid w:val="00067469"/>
    <w:rsid w:val="0007047E"/>
    <w:rsid w:val="000709C1"/>
    <w:rsid w:val="00070A97"/>
    <w:rsid w:val="00071F12"/>
    <w:rsid w:val="0007251B"/>
    <w:rsid w:val="00072D22"/>
    <w:rsid w:val="00073108"/>
    <w:rsid w:val="00073DF5"/>
    <w:rsid w:val="00074744"/>
    <w:rsid w:val="000751C1"/>
    <w:rsid w:val="00075256"/>
    <w:rsid w:val="0007526B"/>
    <w:rsid w:val="000768B3"/>
    <w:rsid w:val="00076B59"/>
    <w:rsid w:val="000801C8"/>
    <w:rsid w:val="00080AB2"/>
    <w:rsid w:val="00080EF5"/>
    <w:rsid w:val="0008155D"/>
    <w:rsid w:val="0008165A"/>
    <w:rsid w:val="000819F9"/>
    <w:rsid w:val="00081AFD"/>
    <w:rsid w:val="00082392"/>
    <w:rsid w:val="00082679"/>
    <w:rsid w:val="000827A4"/>
    <w:rsid w:val="000829EB"/>
    <w:rsid w:val="00082BD9"/>
    <w:rsid w:val="0008327E"/>
    <w:rsid w:val="000832E5"/>
    <w:rsid w:val="000833A2"/>
    <w:rsid w:val="0008357F"/>
    <w:rsid w:val="000853B1"/>
    <w:rsid w:val="00085704"/>
    <w:rsid w:val="00085734"/>
    <w:rsid w:val="00085B96"/>
    <w:rsid w:val="00085E01"/>
    <w:rsid w:val="00085E1A"/>
    <w:rsid w:val="00086FA7"/>
    <w:rsid w:val="00087295"/>
    <w:rsid w:val="0008745A"/>
    <w:rsid w:val="000878C4"/>
    <w:rsid w:val="00087ED6"/>
    <w:rsid w:val="0009002F"/>
    <w:rsid w:val="000900E3"/>
    <w:rsid w:val="000901EA"/>
    <w:rsid w:val="000902B5"/>
    <w:rsid w:val="00090D1D"/>
    <w:rsid w:val="00091196"/>
    <w:rsid w:val="00091BCE"/>
    <w:rsid w:val="000931C8"/>
    <w:rsid w:val="000937AB"/>
    <w:rsid w:val="000937E0"/>
    <w:rsid w:val="00093CFC"/>
    <w:rsid w:val="00093F6F"/>
    <w:rsid w:val="000943E4"/>
    <w:rsid w:val="000949D3"/>
    <w:rsid w:val="00094A6C"/>
    <w:rsid w:val="00094A78"/>
    <w:rsid w:val="00095164"/>
    <w:rsid w:val="000959DC"/>
    <w:rsid w:val="00095EF0"/>
    <w:rsid w:val="0009743A"/>
    <w:rsid w:val="00097C52"/>
    <w:rsid w:val="000A052A"/>
    <w:rsid w:val="000A09BA"/>
    <w:rsid w:val="000A10E1"/>
    <w:rsid w:val="000A301B"/>
    <w:rsid w:val="000A3426"/>
    <w:rsid w:val="000A3F57"/>
    <w:rsid w:val="000A4432"/>
    <w:rsid w:val="000A5B32"/>
    <w:rsid w:val="000A6E4D"/>
    <w:rsid w:val="000A7446"/>
    <w:rsid w:val="000A7841"/>
    <w:rsid w:val="000B0616"/>
    <w:rsid w:val="000B0815"/>
    <w:rsid w:val="000B09E5"/>
    <w:rsid w:val="000B0CE6"/>
    <w:rsid w:val="000B11FB"/>
    <w:rsid w:val="000B175F"/>
    <w:rsid w:val="000B1A24"/>
    <w:rsid w:val="000B1E59"/>
    <w:rsid w:val="000B25CC"/>
    <w:rsid w:val="000B2CBE"/>
    <w:rsid w:val="000B460F"/>
    <w:rsid w:val="000B474D"/>
    <w:rsid w:val="000B49EE"/>
    <w:rsid w:val="000B52FA"/>
    <w:rsid w:val="000B5F1E"/>
    <w:rsid w:val="000B62C7"/>
    <w:rsid w:val="000B6D3A"/>
    <w:rsid w:val="000B7234"/>
    <w:rsid w:val="000B7447"/>
    <w:rsid w:val="000B75C1"/>
    <w:rsid w:val="000B7C4F"/>
    <w:rsid w:val="000B7E66"/>
    <w:rsid w:val="000C06FE"/>
    <w:rsid w:val="000C0A44"/>
    <w:rsid w:val="000C0FA1"/>
    <w:rsid w:val="000C13A5"/>
    <w:rsid w:val="000C244E"/>
    <w:rsid w:val="000C2FAC"/>
    <w:rsid w:val="000C3451"/>
    <w:rsid w:val="000C4760"/>
    <w:rsid w:val="000C4CBB"/>
    <w:rsid w:val="000C56B9"/>
    <w:rsid w:val="000C5ACF"/>
    <w:rsid w:val="000C5C6D"/>
    <w:rsid w:val="000C6079"/>
    <w:rsid w:val="000C6742"/>
    <w:rsid w:val="000C69AE"/>
    <w:rsid w:val="000C6CB5"/>
    <w:rsid w:val="000C6CF3"/>
    <w:rsid w:val="000C72DC"/>
    <w:rsid w:val="000C7303"/>
    <w:rsid w:val="000C736E"/>
    <w:rsid w:val="000C75A5"/>
    <w:rsid w:val="000C75DD"/>
    <w:rsid w:val="000C773E"/>
    <w:rsid w:val="000C7BB6"/>
    <w:rsid w:val="000D01A6"/>
    <w:rsid w:val="000D0538"/>
    <w:rsid w:val="000D06A6"/>
    <w:rsid w:val="000D0AB1"/>
    <w:rsid w:val="000D23F8"/>
    <w:rsid w:val="000D2516"/>
    <w:rsid w:val="000D26D5"/>
    <w:rsid w:val="000D2B33"/>
    <w:rsid w:val="000D2BE7"/>
    <w:rsid w:val="000D3407"/>
    <w:rsid w:val="000D3942"/>
    <w:rsid w:val="000D3FA7"/>
    <w:rsid w:val="000D4203"/>
    <w:rsid w:val="000D46FD"/>
    <w:rsid w:val="000D49F5"/>
    <w:rsid w:val="000D4BEB"/>
    <w:rsid w:val="000D4CF8"/>
    <w:rsid w:val="000D5449"/>
    <w:rsid w:val="000D5722"/>
    <w:rsid w:val="000D5EE2"/>
    <w:rsid w:val="000D6D92"/>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39DF"/>
    <w:rsid w:val="000E3BA7"/>
    <w:rsid w:val="000E3CDC"/>
    <w:rsid w:val="000E4599"/>
    <w:rsid w:val="000E4CFE"/>
    <w:rsid w:val="000E4EB4"/>
    <w:rsid w:val="000E5205"/>
    <w:rsid w:val="000E5295"/>
    <w:rsid w:val="000E5483"/>
    <w:rsid w:val="000E5EE9"/>
    <w:rsid w:val="000E632B"/>
    <w:rsid w:val="000E6968"/>
    <w:rsid w:val="000E76B3"/>
    <w:rsid w:val="000E773D"/>
    <w:rsid w:val="000F04F4"/>
    <w:rsid w:val="000F1EB1"/>
    <w:rsid w:val="000F26DE"/>
    <w:rsid w:val="000F32E9"/>
    <w:rsid w:val="000F3534"/>
    <w:rsid w:val="000F3A6E"/>
    <w:rsid w:val="000F3EA1"/>
    <w:rsid w:val="000F47A8"/>
    <w:rsid w:val="000F4AE4"/>
    <w:rsid w:val="000F4DCA"/>
    <w:rsid w:val="000F5080"/>
    <w:rsid w:val="000F57CC"/>
    <w:rsid w:val="000F5EC6"/>
    <w:rsid w:val="000F5EF4"/>
    <w:rsid w:val="000F5F76"/>
    <w:rsid w:val="000F68AF"/>
    <w:rsid w:val="000F6975"/>
    <w:rsid w:val="000F6B35"/>
    <w:rsid w:val="0010026D"/>
    <w:rsid w:val="0010055E"/>
    <w:rsid w:val="001006E1"/>
    <w:rsid w:val="00100931"/>
    <w:rsid w:val="00100CE5"/>
    <w:rsid w:val="00100D97"/>
    <w:rsid w:val="001011A4"/>
    <w:rsid w:val="00101301"/>
    <w:rsid w:val="001017B7"/>
    <w:rsid w:val="00101B1C"/>
    <w:rsid w:val="00101D61"/>
    <w:rsid w:val="0010212B"/>
    <w:rsid w:val="00102523"/>
    <w:rsid w:val="0010261A"/>
    <w:rsid w:val="00102869"/>
    <w:rsid w:val="001028F7"/>
    <w:rsid w:val="00102BA6"/>
    <w:rsid w:val="0010358B"/>
    <w:rsid w:val="00103BC3"/>
    <w:rsid w:val="001046B0"/>
    <w:rsid w:val="00104BB5"/>
    <w:rsid w:val="0010539A"/>
    <w:rsid w:val="001053A6"/>
    <w:rsid w:val="00106081"/>
    <w:rsid w:val="0010649F"/>
    <w:rsid w:val="0010683E"/>
    <w:rsid w:val="00106E64"/>
    <w:rsid w:val="00107065"/>
    <w:rsid w:val="00107258"/>
    <w:rsid w:val="0010743D"/>
    <w:rsid w:val="00107498"/>
    <w:rsid w:val="001077FA"/>
    <w:rsid w:val="00107C9F"/>
    <w:rsid w:val="00107F93"/>
    <w:rsid w:val="00110E74"/>
    <w:rsid w:val="0011244D"/>
    <w:rsid w:val="00112882"/>
    <w:rsid w:val="00112CAC"/>
    <w:rsid w:val="00112E96"/>
    <w:rsid w:val="00113FD8"/>
    <w:rsid w:val="00114DE5"/>
    <w:rsid w:val="00116D77"/>
    <w:rsid w:val="001173BA"/>
    <w:rsid w:val="001179C1"/>
    <w:rsid w:val="00117C68"/>
    <w:rsid w:val="00117CA6"/>
    <w:rsid w:val="001202E6"/>
    <w:rsid w:val="00120BC1"/>
    <w:rsid w:val="00120CC7"/>
    <w:rsid w:val="00121946"/>
    <w:rsid w:val="00122BBB"/>
    <w:rsid w:val="00122F3A"/>
    <w:rsid w:val="00122FCA"/>
    <w:rsid w:val="00123862"/>
    <w:rsid w:val="00123B59"/>
    <w:rsid w:val="00123CED"/>
    <w:rsid w:val="00123E2A"/>
    <w:rsid w:val="00124548"/>
    <w:rsid w:val="00124777"/>
    <w:rsid w:val="00124FAC"/>
    <w:rsid w:val="00124FB9"/>
    <w:rsid w:val="00125B7A"/>
    <w:rsid w:val="001260AA"/>
    <w:rsid w:val="001264C3"/>
    <w:rsid w:val="00126805"/>
    <w:rsid w:val="001269AE"/>
    <w:rsid w:val="00127D25"/>
    <w:rsid w:val="001301B6"/>
    <w:rsid w:val="001305A6"/>
    <w:rsid w:val="00131B05"/>
    <w:rsid w:val="00132423"/>
    <w:rsid w:val="00132AD1"/>
    <w:rsid w:val="00132CE0"/>
    <w:rsid w:val="00133033"/>
    <w:rsid w:val="0013308F"/>
    <w:rsid w:val="00133478"/>
    <w:rsid w:val="00133644"/>
    <w:rsid w:val="001342F2"/>
    <w:rsid w:val="0013522E"/>
    <w:rsid w:val="0013588C"/>
    <w:rsid w:val="00135A23"/>
    <w:rsid w:val="00135E92"/>
    <w:rsid w:val="00136C08"/>
    <w:rsid w:val="00136DA4"/>
    <w:rsid w:val="001371FA"/>
    <w:rsid w:val="0013776C"/>
    <w:rsid w:val="00140F18"/>
    <w:rsid w:val="00140F61"/>
    <w:rsid w:val="0014108F"/>
    <w:rsid w:val="00141B03"/>
    <w:rsid w:val="001423F5"/>
    <w:rsid w:val="00142979"/>
    <w:rsid w:val="00142ABD"/>
    <w:rsid w:val="00142EDB"/>
    <w:rsid w:val="00143002"/>
    <w:rsid w:val="001434EA"/>
    <w:rsid w:val="00143814"/>
    <w:rsid w:val="001445AC"/>
    <w:rsid w:val="00144B67"/>
    <w:rsid w:val="00144BF2"/>
    <w:rsid w:val="0014585D"/>
    <w:rsid w:val="00145944"/>
    <w:rsid w:val="00145AD1"/>
    <w:rsid w:val="001462A0"/>
    <w:rsid w:val="00146314"/>
    <w:rsid w:val="001466F3"/>
    <w:rsid w:val="00146C11"/>
    <w:rsid w:val="00147195"/>
    <w:rsid w:val="00150706"/>
    <w:rsid w:val="00150793"/>
    <w:rsid w:val="00150D38"/>
    <w:rsid w:val="00151260"/>
    <w:rsid w:val="001514CB"/>
    <w:rsid w:val="00151757"/>
    <w:rsid w:val="001528EE"/>
    <w:rsid w:val="00152B9C"/>
    <w:rsid w:val="00153077"/>
    <w:rsid w:val="001535F3"/>
    <w:rsid w:val="00153DF3"/>
    <w:rsid w:val="00154247"/>
    <w:rsid w:val="00154DE5"/>
    <w:rsid w:val="00154FA1"/>
    <w:rsid w:val="00155948"/>
    <w:rsid w:val="00155B06"/>
    <w:rsid w:val="00156356"/>
    <w:rsid w:val="00156A3B"/>
    <w:rsid w:val="00156B18"/>
    <w:rsid w:val="00156F40"/>
    <w:rsid w:val="00157673"/>
    <w:rsid w:val="00157743"/>
    <w:rsid w:val="00157B70"/>
    <w:rsid w:val="00157EC4"/>
    <w:rsid w:val="00157EF5"/>
    <w:rsid w:val="0016023C"/>
    <w:rsid w:val="001606A4"/>
    <w:rsid w:val="00160A10"/>
    <w:rsid w:val="00160C5B"/>
    <w:rsid w:val="00160EC6"/>
    <w:rsid w:val="0016116C"/>
    <w:rsid w:val="0016122A"/>
    <w:rsid w:val="0016140B"/>
    <w:rsid w:val="00161F90"/>
    <w:rsid w:val="001623A2"/>
    <w:rsid w:val="00162F68"/>
    <w:rsid w:val="00163645"/>
    <w:rsid w:val="00164220"/>
    <w:rsid w:val="001643F8"/>
    <w:rsid w:val="00164961"/>
    <w:rsid w:val="00164FAD"/>
    <w:rsid w:val="00165DB5"/>
    <w:rsid w:val="00165FF0"/>
    <w:rsid w:val="00166023"/>
    <w:rsid w:val="001663F9"/>
    <w:rsid w:val="001668BD"/>
    <w:rsid w:val="001671E2"/>
    <w:rsid w:val="0017086C"/>
    <w:rsid w:val="00170EFE"/>
    <w:rsid w:val="00171333"/>
    <w:rsid w:val="00171F8E"/>
    <w:rsid w:val="0017216E"/>
    <w:rsid w:val="0017293F"/>
    <w:rsid w:val="00172AEE"/>
    <w:rsid w:val="00173987"/>
    <w:rsid w:val="00174441"/>
    <w:rsid w:val="0017483F"/>
    <w:rsid w:val="00174C24"/>
    <w:rsid w:val="0017545F"/>
    <w:rsid w:val="00175539"/>
    <w:rsid w:val="00175890"/>
    <w:rsid w:val="00175E50"/>
    <w:rsid w:val="00176340"/>
    <w:rsid w:val="00176403"/>
    <w:rsid w:val="00176AE7"/>
    <w:rsid w:val="00176CB6"/>
    <w:rsid w:val="00176E98"/>
    <w:rsid w:val="00177307"/>
    <w:rsid w:val="00180811"/>
    <w:rsid w:val="001808E6"/>
    <w:rsid w:val="00180AEF"/>
    <w:rsid w:val="0018154E"/>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502"/>
    <w:rsid w:val="0018452B"/>
    <w:rsid w:val="001845D5"/>
    <w:rsid w:val="001850C5"/>
    <w:rsid w:val="0018526D"/>
    <w:rsid w:val="00185A12"/>
    <w:rsid w:val="00185BF6"/>
    <w:rsid w:val="00185D08"/>
    <w:rsid w:val="00186536"/>
    <w:rsid w:val="001869BB"/>
    <w:rsid w:val="00186C81"/>
    <w:rsid w:val="00186DF9"/>
    <w:rsid w:val="00187C31"/>
    <w:rsid w:val="00190983"/>
    <w:rsid w:val="0019151C"/>
    <w:rsid w:val="00191AA6"/>
    <w:rsid w:val="00191AB6"/>
    <w:rsid w:val="00191B55"/>
    <w:rsid w:val="00191EC8"/>
    <w:rsid w:val="00191F79"/>
    <w:rsid w:val="0019213B"/>
    <w:rsid w:val="0019232E"/>
    <w:rsid w:val="0019239F"/>
    <w:rsid w:val="001924F6"/>
    <w:rsid w:val="00192CDB"/>
    <w:rsid w:val="00193D9B"/>
    <w:rsid w:val="00193F20"/>
    <w:rsid w:val="0019413C"/>
    <w:rsid w:val="001941E4"/>
    <w:rsid w:val="001953AC"/>
    <w:rsid w:val="00195517"/>
    <w:rsid w:val="00195CF2"/>
    <w:rsid w:val="00195E11"/>
    <w:rsid w:val="00195F99"/>
    <w:rsid w:val="00195FB3"/>
    <w:rsid w:val="001965AA"/>
    <w:rsid w:val="0019667B"/>
    <w:rsid w:val="001968E4"/>
    <w:rsid w:val="001971AE"/>
    <w:rsid w:val="00197278"/>
    <w:rsid w:val="00197392"/>
    <w:rsid w:val="00197764"/>
    <w:rsid w:val="00197EC3"/>
    <w:rsid w:val="00197FB1"/>
    <w:rsid w:val="001A0601"/>
    <w:rsid w:val="001A0BB0"/>
    <w:rsid w:val="001A1837"/>
    <w:rsid w:val="001A1C51"/>
    <w:rsid w:val="001A236F"/>
    <w:rsid w:val="001A28BA"/>
    <w:rsid w:val="001A3051"/>
    <w:rsid w:val="001A3387"/>
    <w:rsid w:val="001A4493"/>
    <w:rsid w:val="001A4589"/>
    <w:rsid w:val="001A5350"/>
    <w:rsid w:val="001A5398"/>
    <w:rsid w:val="001A5553"/>
    <w:rsid w:val="001A59AF"/>
    <w:rsid w:val="001A6777"/>
    <w:rsid w:val="001A6D21"/>
    <w:rsid w:val="001A718F"/>
    <w:rsid w:val="001A75B9"/>
    <w:rsid w:val="001B18C3"/>
    <w:rsid w:val="001B1C70"/>
    <w:rsid w:val="001B20E4"/>
    <w:rsid w:val="001B2D1F"/>
    <w:rsid w:val="001B2FCD"/>
    <w:rsid w:val="001B3285"/>
    <w:rsid w:val="001B370A"/>
    <w:rsid w:val="001B39DD"/>
    <w:rsid w:val="001B3BA9"/>
    <w:rsid w:val="001B3E1C"/>
    <w:rsid w:val="001B4165"/>
    <w:rsid w:val="001B427B"/>
    <w:rsid w:val="001B44DB"/>
    <w:rsid w:val="001B5EA6"/>
    <w:rsid w:val="001C0F05"/>
    <w:rsid w:val="001C110F"/>
    <w:rsid w:val="001C129D"/>
    <w:rsid w:val="001C15B0"/>
    <w:rsid w:val="001C239A"/>
    <w:rsid w:val="001C2EE5"/>
    <w:rsid w:val="001C395A"/>
    <w:rsid w:val="001C3A25"/>
    <w:rsid w:val="001C486C"/>
    <w:rsid w:val="001C4B35"/>
    <w:rsid w:val="001C4CCF"/>
    <w:rsid w:val="001C501A"/>
    <w:rsid w:val="001C5CC2"/>
    <w:rsid w:val="001C61DB"/>
    <w:rsid w:val="001C6573"/>
    <w:rsid w:val="001C6BA6"/>
    <w:rsid w:val="001C726D"/>
    <w:rsid w:val="001C78CA"/>
    <w:rsid w:val="001D01FB"/>
    <w:rsid w:val="001D0221"/>
    <w:rsid w:val="001D03BA"/>
    <w:rsid w:val="001D13AD"/>
    <w:rsid w:val="001D15E5"/>
    <w:rsid w:val="001D2381"/>
    <w:rsid w:val="001D29EA"/>
    <w:rsid w:val="001D2AFB"/>
    <w:rsid w:val="001D2CE9"/>
    <w:rsid w:val="001D34AF"/>
    <w:rsid w:val="001D3E63"/>
    <w:rsid w:val="001D40DA"/>
    <w:rsid w:val="001D419F"/>
    <w:rsid w:val="001D43D0"/>
    <w:rsid w:val="001D5D9A"/>
    <w:rsid w:val="001D6081"/>
    <w:rsid w:val="001D6B29"/>
    <w:rsid w:val="001D6F2E"/>
    <w:rsid w:val="001D71BC"/>
    <w:rsid w:val="001D7346"/>
    <w:rsid w:val="001D755A"/>
    <w:rsid w:val="001E0367"/>
    <w:rsid w:val="001E11E2"/>
    <w:rsid w:val="001E1857"/>
    <w:rsid w:val="001E2231"/>
    <w:rsid w:val="001E27FB"/>
    <w:rsid w:val="001E2B1A"/>
    <w:rsid w:val="001E373E"/>
    <w:rsid w:val="001E3753"/>
    <w:rsid w:val="001E383E"/>
    <w:rsid w:val="001E4011"/>
    <w:rsid w:val="001E4060"/>
    <w:rsid w:val="001E4456"/>
    <w:rsid w:val="001E44C8"/>
    <w:rsid w:val="001E4518"/>
    <w:rsid w:val="001E467A"/>
    <w:rsid w:val="001E4E88"/>
    <w:rsid w:val="001E4FFF"/>
    <w:rsid w:val="001E5BEE"/>
    <w:rsid w:val="001E619D"/>
    <w:rsid w:val="001E68EE"/>
    <w:rsid w:val="001E751C"/>
    <w:rsid w:val="001E77C4"/>
    <w:rsid w:val="001E7EA4"/>
    <w:rsid w:val="001F00B7"/>
    <w:rsid w:val="001F1092"/>
    <w:rsid w:val="001F18AA"/>
    <w:rsid w:val="001F1E88"/>
    <w:rsid w:val="001F200A"/>
    <w:rsid w:val="001F2337"/>
    <w:rsid w:val="001F2FB5"/>
    <w:rsid w:val="001F367C"/>
    <w:rsid w:val="001F4EB9"/>
    <w:rsid w:val="001F4FDB"/>
    <w:rsid w:val="001F540A"/>
    <w:rsid w:val="001F58AB"/>
    <w:rsid w:val="001F5D2F"/>
    <w:rsid w:val="001F5E20"/>
    <w:rsid w:val="001F5FA3"/>
    <w:rsid w:val="001F60AC"/>
    <w:rsid w:val="001F6E1E"/>
    <w:rsid w:val="001F6F0C"/>
    <w:rsid w:val="001F73E9"/>
    <w:rsid w:val="001F74B9"/>
    <w:rsid w:val="001F7F82"/>
    <w:rsid w:val="002002AA"/>
    <w:rsid w:val="002003C3"/>
    <w:rsid w:val="00200D50"/>
    <w:rsid w:val="002019D1"/>
    <w:rsid w:val="00201E8F"/>
    <w:rsid w:val="002023B3"/>
    <w:rsid w:val="00202CDB"/>
    <w:rsid w:val="00203052"/>
    <w:rsid w:val="0020342F"/>
    <w:rsid w:val="00204381"/>
    <w:rsid w:val="00204779"/>
    <w:rsid w:val="00204799"/>
    <w:rsid w:val="00204B8D"/>
    <w:rsid w:val="00204EBE"/>
    <w:rsid w:val="002051EA"/>
    <w:rsid w:val="00205B05"/>
    <w:rsid w:val="002060C2"/>
    <w:rsid w:val="00207674"/>
    <w:rsid w:val="002076D5"/>
    <w:rsid w:val="00207C9E"/>
    <w:rsid w:val="002111F3"/>
    <w:rsid w:val="002117F4"/>
    <w:rsid w:val="002118E8"/>
    <w:rsid w:val="00212024"/>
    <w:rsid w:val="00212116"/>
    <w:rsid w:val="00212798"/>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9A"/>
    <w:rsid w:val="00216D51"/>
    <w:rsid w:val="00217096"/>
    <w:rsid w:val="00217C7A"/>
    <w:rsid w:val="00217E93"/>
    <w:rsid w:val="00217FC2"/>
    <w:rsid w:val="00220265"/>
    <w:rsid w:val="0022027B"/>
    <w:rsid w:val="00220699"/>
    <w:rsid w:val="00220CF8"/>
    <w:rsid w:val="00220D8D"/>
    <w:rsid w:val="0022151A"/>
    <w:rsid w:val="002215FD"/>
    <w:rsid w:val="002216C7"/>
    <w:rsid w:val="00221E48"/>
    <w:rsid w:val="00222173"/>
    <w:rsid w:val="00222228"/>
    <w:rsid w:val="00222370"/>
    <w:rsid w:val="00222CBD"/>
    <w:rsid w:val="00223892"/>
    <w:rsid w:val="00223940"/>
    <w:rsid w:val="00223F09"/>
    <w:rsid w:val="002245C8"/>
    <w:rsid w:val="0022465E"/>
    <w:rsid w:val="00225164"/>
    <w:rsid w:val="00225168"/>
    <w:rsid w:val="0023041D"/>
    <w:rsid w:val="00231057"/>
    <w:rsid w:val="00231385"/>
    <w:rsid w:val="002316E9"/>
    <w:rsid w:val="002326C1"/>
    <w:rsid w:val="00232A8A"/>
    <w:rsid w:val="00233032"/>
    <w:rsid w:val="002332F7"/>
    <w:rsid w:val="00233986"/>
    <w:rsid w:val="00233D50"/>
    <w:rsid w:val="00234372"/>
    <w:rsid w:val="002346FD"/>
    <w:rsid w:val="00234798"/>
    <w:rsid w:val="00240C3D"/>
    <w:rsid w:val="00240D9B"/>
    <w:rsid w:val="002413A5"/>
    <w:rsid w:val="00241F56"/>
    <w:rsid w:val="002421FC"/>
    <w:rsid w:val="00242676"/>
    <w:rsid w:val="002433B0"/>
    <w:rsid w:val="00243641"/>
    <w:rsid w:val="0024415B"/>
    <w:rsid w:val="00244642"/>
    <w:rsid w:val="00244D15"/>
    <w:rsid w:val="00244E1B"/>
    <w:rsid w:val="00245445"/>
    <w:rsid w:val="00245474"/>
    <w:rsid w:val="002462FC"/>
    <w:rsid w:val="00246417"/>
    <w:rsid w:val="00247270"/>
    <w:rsid w:val="0024752F"/>
    <w:rsid w:val="00247C3E"/>
    <w:rsid w:val="002500E6"/>
    <w:rsid w:val="00250178"/>
    <w:rsid w:val="00250302"/>
    <w:rsid w:val="002503BA"/>
    <w:rsid w:val="002509DA"/>
    <w:rsid w:val="00251005"/>
    <w:rsid w:val="0025173F"/>
    <w:rsid w:val="00251963"/>
    <w:rsid w:val="00251F57"/>
    <w:rsid w:val="0025220D"/>
    <w:rsid w:val="002529E3"/>
    <w:rsid w:val="00252E78"/>
    <w:rsid w:val="00253194"/>
    <w:rsid w:val="0025359A"/>
    <w:rsid w:val="002539F9"/>
    <w:rsid w:val="00253D47"/>
    <w:rsid w:val="002545AB"/>
    <w:rsid w:val="00254667"/>
    <w:rsid w:val="0025469B"/>
    <w:rsid w:val="00254DAC"/>
    <w:rsid w:val="00254F00"/>
    <w:rsid w:val="00255101"/>
    <w:rsid w:val="002553EF"/>
    <w:rsid w:val="0025556C"/>
    <w:rsid w:val="002555A1"/>
    <w:rsid w:val="002557F9"/>
    <w:rsid w:val="002559EF"/>
    <w:rsid w:val="0025637F"/>
    <w:rsid w:val="002567D3"/>
    <w:rsid w:val="00256C8E"/>
    <w:rsid w:val="00256E58"/>
    <w:rsid w:val="002572C6"/>
    <w:rsid w:val="00257669"/>
    <w:rsid w:val="00257837"/>
    <w:rsid w:val="00257A26"/>
    <w:rsid w:val="00257C58"/>
    <w:rsid w:val="002605A7"/>
    <w:rsid w:val="00260847"/>
    <w:rsid w:val="00261653"/>
    <w:rsid w:val="0026189C"/>
    <w:rsid w:val="00262391"/>
    <w:rsid w:val="0026368D"/>
    <w:rsid w:val="00263A27"/>
    <w:rsid w:val="0026424C"/>
    <w:rsid w:val="002642FC"/>
    <w:rsid w:val="0026495C"/>
    <w:rsid w:val="0026544D"/>
    <w:rsid w:val="00266AF5"/>
    <w:rsid w:val="00266D04"/>
    <w:rsid w:val="002672C4"/>
    <w:rsid w:val="002674FC"/>
    <w:rsid w:val="00267867"/>
    <w:rsid w:val="002701ED"/>
    <w:rsid w:val="0027076E"/>
    <w:rsid w:val="002715E5"/>
    <w:rsid w:val="00271642"/>
    <w:rsid w:val="00271A30"/>
    <w:rsid w:val="00271AF4"/>
    <w:rsid w:val="00272747"/>
    <w:rsid w:val="00272812"/>
    <w:rsid w:val="00273557"/>
    <w:rsid w:val="00273AF1"/>
    <w:rsid w:val="00273EB1"/>
    <w:rsid w:val="002742C4"/>
    <w:rsid w:val="002744A6"/>
    <w:rsid w:val="0027478C"/>
    <w:rsid w:val="002747FE"/>
    <w:rsid w:val="002749F4"/>
    <w:rsid w:val="00274CEA"/>
    <w:rsid w:val="00275BE1"/>
    <w:rsid w:val="002763DB"/>
    <w:rsid w:val="00276E87"/>
    <w:rsid w:val="00277842"/>
    <w:rsid w:val="00280101"/>
    <w:rsid w:val="00280569"/>
    <w:rsid w:val="0028159B"/>
    <w:rsid w:val="002822BC"/>
    <w:rsid w:val="00283343"/>
    <w:rsid w:val="0028347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7F6C"/>
    <w:rsid w:val="00290163"/>
    <w:rsid w:val="002907AE"/>
    <w:rsid w:val="00290876"/>
    <w:rsid w:val="00290C55"/>
    <w:rsid w:val="00290EE6"/>
    <w:rsid w:val="00292884"/>
    <w:rsid w:val="00292971"/>
    <w:rsid w:val="00292EC1"/>
    <w:rsid w:val="00293051"/>
    <w:rsid w:val="0029338A"/>
    <w:rsid w:val="002939EB"/>
    <w:rsid w:val="00293D1E"/>
    <w:rsid w:val="00294726"/>
    <w:rsid w:val="0029481A"/>
    <w:rsid w:val="00294B02"/>
    <w:rsid w:val="00294D83"/>
    <w:rsid w:val="00295917"/>
    <w:rsid w:val="0029593D"/>
    <w:rsid w:val="00295C97"/>
    <w:rsid w:val="002961BB"/>
    <w:rsid w:val="002968B1"/>
    <w:rsid w:val="002968FE"/>
    <w:rsid w:val="00296F46"/>
    <w:rsid w:val="0029717D"/>
    <w:rsid w:val="00297C07"/>
    <w:rsid w:val="002A1277"/>
    <w:rsid w:val="002A1772"/>
    <w:rsid w:val="002A2161"/>
    <w:rsid w:val="002A29F2"/>
    <w:rsid w:val="002A3BD8"/>
    <w:rsid w:val="002A3C2E"/>
    <w:rsid w:val="002A4706"/>
    <w:rsid w:val="002A4845"/>
    <w:rsid w:val="002A50A9"/>
    <w:rsid w:val="002A5F57"/>
    <w:rsid w:val="002A6CBF"/>
    <w:rsid w:val="002A6D63"/>
    <w:rsid w:val="002A70B7"/>
    <w:rsid w:val="002A748F"/>
    <w:rsid w:val="002B02E8"/>
    <w:rsid w:val="002B0384"/>
    <w:rsid w:val="002B1377"/>
    <w:rsid w:val="002B14CD"/>
    <w:rsid w:val="002B2304"/>
    <w:rsid w:val="002B25B2"/>
    <w:rsid w:val="002B25DE"/>
    <w:rsid w:val="002B2668"/>
    <w:rsid w:val="002B2B8E"/>
    <w:rsid w:val="002B2EF8"/>
    <w:rsid w:val="002B323C"/>
    <w:rsid w:val="002B3244"/>
    <w:rsid w:val="002B3E0D"/>
    <w:rsid w:val="002B3E89"/>
    <w:rsid w:val="002B484C"/>
    <w:rsid w:val="002B4D3E"/>
    <w:rsid w:val="002B5C17"/>
    <w:rsid w:val="002B5D34"/>
    <w:rsid w:val="002B6133"/>
    <w:rsid w:val="002B695A"/>
    <w:rsid w:val="002B6BB4"/>
    <w:rsid w:val="002B73E2"/>
    <w:rsid w:val="002B7904"/>
    <w:rsid w:val="002B79DA"/>
    <w:rsid w:val="002B7F97"/>
    <w:rsid w:val="002C0110"/>
    <w:rsid w:val="002C0304"/>
    <w:rsid w:val="002C079D"/>
    <w:rsid w:val="002C096A"/>
    <w:rsid w:val="002C12D6"/>
    <w:rsid w:val="002C18B7"/>
    <w:rsid w:val="002C1B26"/>
    <w:rsid w:val="002C1F28"/>
    <w:rsid w:val="002C23BF"/>
    <w:rsid w:val="002C24D7"/>
    <w:rsid w:val="002C286D"/>
    <w:rsid w:val="002C2CAC"/>
    <w:rsid w:val="002C2F4E"/>
    <w:rsid w:val="002C30BA"/>
    <w:rsid w:val="002C33B7"/>
    <w:rsid w:val="002C3578"/>
    <w:rsid w:val="002C3ED6"/>
    <w:rsid w:val="002C418B"/>
    <w:rsid w:val="002C4201"/>
    <w:rsid w:val="002C468E"/>
    <w:rsid w:val="002C4D33"/>
    <w:rsid w:val="002C522A"/>
    <w:rsid w:val="002C64F3"/>
    <w:rsid w:val="002C6996"/>
    <w:rsid w:val="002C69F6"/>
    <w:rsid w:val="002C6C5B"/>
    <w:rsid w:val="002C7537"/>
    <w:rsid w:val="002D00C7"/>
    <w:rsid w:val="002D030C"/>
    <w:rsid w:val="002D0399"/>
    <w:rsid w:val="002D0882"/>
    <w:rsid w:val="002D1067"/>
    <w:rsid w:val="002D11C6"/>
    <w:rsid w:val="002D1252"/>
    <w:rsid w:val="002D17E3"/>
    <w:rsid w:val="002D2739"/>
    <w:rsid w:val="002D2B07"/>
    <w:rsid w:val="002D2DC4"/>
    <w:rsid w:val="002D2FA5"/>
    <w:rsid w:val="002D3AE3"/>
    <w:rsid w:val="002D3F6E"/>
    <w:rsid w:val="002D3FB5"/>
    <w:rsid w:val="002D4760"/>
    <w:rsid w:val="002D516B"/>
    <w:rsid w:val="002D51C1"/>
    <w:rsid w:val="002D527A"/>
    <w:rsid w:val="002D5811"/>
    <w:rsid w:val="002D5FBC"/>
    <w:rsid w:val="002D6978"/>
    <w:rsid w:val="002D6A0C"/>
    <w:rsid w:val="002D6A9D"/>
    <w:rsid w:val="002D72DE"/>
    <w:rsid w:val="002D7651"/>
    <w:rsid w:val="002D7BAD"/>
    <w:rsid w:val="002D7BFC"/>
    <w:rsid w:val="002E029F"/>
    <w:rsid w:val="002E090F"/>
    <w:rsid w:val="002E11C3"/>
    <w:rsid w:val="002E130D"/>
    <w:rsid w:val="002E1ADD"/>
    <w:rsid w:val="002E1AFB"/>
    <w:rsid w:val="002E1EDB"/>
    <w:rsid w:val="002E20E4"/>
    <w:rsid w:val="002E2255"/>
    <w:rsid w:val="002E2470"/>
    <w:rsid w:val="002E2C27"/>
    <w:rsid w:val="002E2D64"/>
    <w:rsid w:val="002E2F63"/>
    <w:rsid w:val="002E339C"/>
    <w:rsid w:val="002E4150"/>
    <w:rsid w:val="002E43D0"/>
    <w:rsid w:val="002E49A6"/>
    <w:rsid w:val="002E5EF1"/>
    <w:rsid w:val="002E6EAB"/>
    <w:rsid w:val="002E7799"/>
    <w:rsid w:val="002E7F57"/>
    <w:rsid w:val="002F013B"/>
    <w:rsid w:val="002F03EF"/>
    <w:rsid w:val="002F0511"/>
    <w:rsid w:val="002F0637"/>
    <w:rsid w:val="002F094A"/>
    <w:rsid w:val="002F0E98"/>
    <w:rsid w:val="002F1617"/>
    <w:rsid w:val="002F209C"/>
    <w:rsid w:val="002F2AA4"/>
    <w:rsid w:val="002F37A8"/>
    <w:rsid w:val="002F37D0"/>
    <w:rsid w:val="002F3E25"/>
    <w:rsid w:val="002F4243"/>
    <w:rsid w:val="002F4E32"/>
    <w:rsid w:val="002F5021"/>
    <w:rsid w:val="002F50A5"/>
    <w:rsid w:val="002F50FC"/>
    <w:rsid w:val="002F5497"/>
    <w:rsid w:val="002F56B6"/>
    <w:rsid w:val="002F6391"/>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E6A"/>
    <w:rsid w:val="00301FBA"/>
    <w:rsid w:val="00302CD2"/>
    <w:rsid w:val="00302D9D"/>
    <w:rsid w:val="0030300D"/>
    <w:rsid w:val="00303208"/>
    <w:rsid w:val="00303427"/>
    <w:rsid w:val="0030350B"/>
    <w:rsid w:val="00303543"/>
    <w:rsid w:val="00303716"/>
    <w:rsid w:val="00303B0B"/>
    <w:rsid w:val="00303BB4"/>
    <w:rsid w:val="00304129"/>
    <w:rsid w:val="00304177"/>
    <w:rsid w:val="00304DDA"/>
    <w:rsid w:val="00304E0B"/>
    <w:rsid w:val="00304EE1"/>
    <w:rsid w:val="00305CF4"/>
    <w:rsid w:val="00305F56"/>
    <w:rsid w:val="00307BFD"/>
    <w:rsid w:val="00307CF9"/>
    <w:rsid w:val="00307E09"/>
    <w:rsid w:val="00307E4B"/>
    <w:rsid w:val="00307F21"/>
    <w:rsid w:val="00310430"/>
    <w:rsid w:val="003114FA"/>
    <w:rsid w:val="00311BEA"/>
    <w:rsid w:val="00311D79"/>
    <w:rsid w:val="00312B38"/>
    <w:rsid w:val="00313799"/>
    <w:rsid w:val="00313907"/>
    <w:rsid w:val="00313A44"/>
    <w:rsid w:val="00313E37"/>
    <w:rsid w:val="00314D1E"/>
    <w:rsid w:val="00315073"/>
    <w:rsid w:val="00315241"/>
    <w:rsid w:val="003153BB"/>
    <w:rsid w:val="003159D9"/>
    <w:rsid w:val="0031729F"/>
    <w:rsid w:val="003174F8"/>
    <w:rsid w:val="003175E9"/>
    <w:rsid w:val="00317FD8"/>
    <w:rsid w:val="003204FD"/>
    <w:rsid w:val="00320B2A"/>
    <w:rsid w:val="00320F20"/>
    <w:rsid w:val="00321558"/>
    <w:rsid w:val="00321743"/>
    <w:rsid w:val="00322176"/>
    <w:rsid w:val="00322BE4"/>
    <w:rsid w:val="00322F9A"/>
    <w:rsid w:val="00322FA8"/>
    <w:rsid w:val="0032450A"/>
    <w:rsid w:val="00324DD1"/>
    <w:rsid w:val="00325472"/>
    <w:rsid w:val="00325769"/>
    <w:rsid w:val="00325AC3"/>
    <w:rsid w:val="00326155"/>
    <w:rsid w:val="00326B55"/>
    <w:rsid w:val="00327425"/>
    <w:rsid w:val="00330509"/>
    <w:rsid w:val="003308A9"/>
    <w:rsid w:val="00330C3B"/>
    <w:rsid w:val="0033105F"/>
    <w:rsid w:val="003310A7"/>
    <w:rsid w:val="003311C5"/>
    <w:rsid w:val="00331432"/>
    <w:rsid w:val="00331492"/>
    <w:rsid w:val="00331D03"/>
    <w:rsid w:val="00332972"/>
    <w:rsid w:val="0033309B"/>
    <w:rsid w:val="00333789"/>
    <w:rsid w:val="00333B5E"/>
    <w:rsid w:val="0033470F"/>
    <w:rsid w:val="00334766"/>
    <w:rsid w:val="00334E1E"/>
    <w:rsid w:val="00335348"/>
    <w:rsid w:val="00335F25"/>
    <w:rsid w:val="00336631"/>
    <w:rsid w:val="003368A9"/>
    <w:rsid w:val="00337244"/>
    <w:rsid w:val="00337793"/>
    <w:rsid w:val="00337851"/>
    <w:rsid w:val="00337863"/>
    <w:rsid w:val="00337CA7"/>
    <w:rsid w:val="00340786"/>
    <w:rsid w:val="00340CE0"/>
    <w:rsid w:val="003418A7"/>
    <w:rsid w:val="00342205"/>
    <w:rsid w:val="003423EB"/>
    <w:rsid w:val="003429F1"/>
    <w:rsid w:val="00342B71"/>
    <w:rsid w:val="00342EDD"/>
    <w:rsid w:val="0034309B"/>
    <w:rsid w:val="00343737"/>
    <w:rsid w:val="00344353"/>
    <w:rsid w:val="00344B38"/>
    <w:rsid w:val="00344F04"/>
    <w:rsid w:val="003459AC"/>
    <w:rsid w:val="003464BD"/>
    <w:rsid w:val="00346D46"/>
    <w:rsid w:val="00346E32"/>
    <w:rsid w:val="0034755B"/>
    <w:rsid w:val="00347A59"/>
    <w:rsid w:val="00350336"/>
    <w:rsid w:val="00350EF3"/>
    <w:rsid w:val="00351513"/>
    <w:rsid w:val="00351BD9"/>
    <w:rsid w:val="00352C2B"/>
    <w:rsid w:val="00352F76"/>
    <w:rsid w:val="0035338B"/>
    <w:rsid w:val="003533A4"/>
    <w:rsid w:val="0035368F"/>
    <w:rsid w:val="00354E8D"/>
    <w:rsid w:val="0035525B"/>
    <w:rsid w:val="003554A7"/>
    <w:rsid w:val="00355C2D"/>
    <w:rsid w:val="00355C89"/>
    <w:rsid w:val="00356698"/>
    <w:rsid w:val="00356CE8"/>
    <w:rsid w:val="00357974"/>
    <w:rsid w:val="003579F2"/>
    <w:rsid w:val="003579F9"/>
    <w:rsid w:val="00360058"/>
    <w:rsid w:val="00360470"/>
    <w:rsid w:val="00360BE6"/>
    <w:rsid w:val="00360D78"/>
    <w:rsid w:val="00361524"/>
    <w:rsid w:val="003615A7"/>
    <w:rsid w:val="00361EAF"/>
    <w:rsid w:val="00361FC7"/>
    <w:rsid w:val="00362463"/>
    <w:rsid w:val="0036257D"/>
    <w:rsid w:val="003628B0"/>
    <w:rsid w:val="00363014"/>
    <w:rsid w:val="0036316C"/>
    <w:rsid w:val="00363315"/>
    <w:rsid w:val="0036333F"/>
    <w:rsid w:val="003636BA"/>
    <w:rsid w:val="00363C1A"/>
    <w:rsid w:val="00363E99"/>
    <w:rsid w:val="00364563"/>
    <w:rsid w:val="00364580"/>
    <w:rsid w:val="00364D6E"/>
    <w:rsid w:val="00365690"/>
    <w:rsid w:val="0036577B"/>
    <w:rsid w:val="00365959"/>
    <w:rsid w:val="00366ACD"/>
    <w:rsid w:val="00367033"/>
    <w:rsid w:val="003674D9"/>
    <w:rsid w:val="00367850"/>
    <w:rsid w:val="0037017F"/>
    <w:rsid w:val="00370192"/>
    <w:rsid w:val="00370377"/>
    <w:rsid w:val="00370CE8"/>
    <w:rsid w:val="00371321"/>
    <w:rsid w:val="00371384"/>
    <w:rsid w:val="00371EEF"/>
    <w:rsid w:val="00372965"/>
    <w:rsid w:val="00372C6F"/>
    <w:rsid w:val="00373E32"/>
    <w:rsid w:val="0037459F"/>
    <w:rsid w:val="003748CB"/>
    <w:rsid w:val="00374CB3"/>
    <w:rsid w:val="00375136"/>
    <w:rsid w:val="00375A02"/>
    <w:rsid w:val="00375C31"/>
    <w:rsid w:val="00376467"/>
    <w:rsid w:val="00376A38"/>
    <w:rsid w:val="00377E04"/>
    <w:rsid w:val="00377FA0"/>
    <w:rsid w:val="00380210"/>
    <w:rsid w:val="00380F3E"/>
    <w:rsid w:val="00380F49"/>
    <w:rsid w:val="003810AB"/>
    <w:rsid w:val="00381745"/>
    <w:rsid w:val="00381764"/>
    <w:rsid w:val="00382167"/>
    <w:rsid w:val="003823D5"/>
    <w:rsid w:val="0038363F"/>
    <w:rsid w:val="00383E33"/>
    <w:rsid w:val="003849E0"/>
    <w:rsid w:val="00384DDA"/>
    <w:rsid w:val="00385316"/>
    <w:rsid w:val="00385328"/>
    <w:rsid w:val="003854E9"/>
    <w:rsid w:val="0038577D"/>
    <w:rsid w:val="00385C8A"/>
    <w:rsid w:val="00386827"/>
    <w:rsid w:val="0038746F"/>
    <w:rsid w:val="003878ED"/>
    <w:rsid w:val="00387FF5"/>
    <w:rsid w:val="00390575"/>
    <w:rsid w:val="003906CD"/>
    <w:rsid w:val="00391125"/>
    <w:rsid w:val="0039136E"/>
    <w:rsid w:val="00391F0E"/>
    <w:rsid w:val="003922B1"/>
    <w:rsid w:val="0039296F"/>
    <w:rsid w:val="00392AFB"/>
    <w:rsid w:val="003930B5"/>
    <w:rsid w:val="0039334A"/>
    <w:rsid w:val="00393394"/>
    <w:rsid w:val="00393468"/>
    <w:rsid w:val="00393585"/>
    <w:rsid w:val="003935B9"/>
    <w:rsid w:val="00395CCF"/>
    <w:rsid w:val="00396338"/>
    <w:rsid w:val="00396749"/>
    <w:rsid w:val="003967B0"/>
    <w:rsid w:val="00396958"/>
    <w:rsid w:val="00396B1E"/>
    <w:rsid w:val="00396BCA"/>
    <w:rsid w:val="00396E17"/>
    <w:rsid w:val="0039723A"/>
    <w:rsid w:val="00397280"/>
    <w:rsid w:val="003973DD"/>
    <w:rsid w:val="003A06C5"/>
    <w:rsid w:val="003A0890"/>
    <w:rsid w:val="003A0A29"/>
    <w:rsid w:val="003A0C97"/>
    <w:rsid w:val="003A1AF7"/>
    <w:rsid w:val="003A221F"/>
    <w:rsid w:val="003A257E"/>
    <w:rsid w:val="003A25F4"/>
    <w:rsid w:val="003A295A"/>
    <w:rsid w:val="003A3159"/>
    <w:rsid w:val="003A39C7"/>
    <w:rsid w:val="003A3AC4"/>
    <w:rsid w:val="003A3D0E"/>
    <w:rsid w:val="003A3D9A"/>
    <w:rsid w:val="003A409D"/>
    <w:rsid w:val="003A4129"/>
    <w:rsid w:val="003A420E"/>
    <w:rsid w:val="003A4801"/>
    <w:rsid w:val="003A48A3"/>
    <w:rsid w:val="003A4AAF"/>
    <w:rsid w:val="003A4B2E"/>
    <w:rsid w:val="003A54BC"/>
    <w:rsid w:val="003A5737"/>
    <w:rsid w:val="003A589B"/>
    <w:rsid w:val="003A58AF"/>
    <w:rsid w:val="003A7236"/>
    <w:rsid w:val="003A7911"/>
    <w:rsid w:val="003B019B"/>
    <w:rsid w:val="003B01E4"/>
    <w:rsid w:val="003B088E"/>
    <w:rsid w:val="003B15B7"/>
    <w:rsid w:val="003B1EA1"/>
    <w:rsid w:val="003B1F25"/>
    <w:rsid w:val="003B27DF"/>
    <w:rsid w:val="003B2E07"/>
    <w:rsid w:val="003B3951"/>
    <w:rsid w:val="003B3BDF"/>
    <w:rsid w:val="003B44AF"/>
    <w:rsid w:val="003B46C7"/>
    <w:rsid w:val="003B4719"/>
    <w:rsid w:val="003B4787"/>
    <w:rsid w:val="003B4F0C"/>
    <w:rsid w:val="003B50BA"/>
    <w:rsid w:val="003B5452"/>
    <w:rsid w:val="003B5717"/>
    <w:rsid w:val="003B5B2E"/>
    <w:rsid w:val="003B5CAF"/>
    <w:rsid w:val="003B5EA5"/>
    <w:rsid w:val="003B6166"/>
    <w:rsid w:val="003B64E5"/>
    <w:rsid w:val="003B6534"/>
    <w:rsid w:val="003B6D41"/>
    <w:rsid w:val="003B76CE"/>
    <w:rsid w:val="003B7749"/>
    <w:rsid w:val="003B7C7B"/>
    <w:rsid w:val="003C0E58"/>
    <w:rsid w:val="003C14B1"/>
    <w:rsid w:val="003C1591"/>
    <w:rsid w:val="003C199E"/>
    <w:rsid w:val="003C2280"/>
    <w:rsid w:val="003C2AA7"/>
    <w:rsid w:val="003C2F47"/>
    <w:rsid w:val="003C3846"/>
    <w:rsid w:val="003C44D1"/>
    <w:rsid w:val="003C4733"/>
    <w:rsid w:val="003C4F06"/>
    <w:rsid w:val="003C5A14"/>
    <w:rsid w:val="003C5D9C"/>
    <w:rsid w:val="003C5DE7"/>
    <w:rsid w:val="003C6080"/>
    <w:rsid w:val="003C6592"/>
    <w:rsid w:val="003C667C"/>
    <w:rsid w:val="003C7335"/>
    <w:rsid w:val="003C7651"/>
    <w:rsid w:val="003C7879"/>
    <w:rsid w:val="003C79DB"/>
    <w:rsid w:val="003D029E"/>
    <w:rsid w:val="003D067C"/>
    <w:rsid w:val="003D0906"/>
    <w:rsid w:val="003D13D8"/>
    <w:rsid w:val="003D15B7"/>
    <w:rsid w:val="003D15ED"/>
    <w:rsid w:val="003D1608"/>
    <w:rsid w:val="003D20E1"/>
    <w:rsid w:val="003D2486"/>
    <w:rsid w:val="003D295A"/>
    <w:rsid w:val="003D2A35"/>
    <w:rsid w:val="003D321B"/>
    <w:rsid w:val="003D35FA"/>
    <w:rsid w:val="003D39EF"/>
    <w:rsid w:val="003D41BA"/>
    <w:rsid w:val="003D41C7"/>
    <w:rsid w:val="003D420B"/>
    <w:rsid w:val="003D45E1"/>
    <w:rsid w:val="003D4CC1"/>
    <w:rsid w:val="003D529E"/>
    <w:rsid w:val="003D5427"/>
    <w:rsid w:val="003D6474"/>
    <w:rsid w:val="003D664F"/>
    <w:rsid w:val="003D6670"/>
    <w:rsid w:val="003D6A09"/>
    <w:rsid w:val="003D6F67"/>
    <w:rsid w:val="003D707F"/>
    <w:rsid w:val="003D71D5"/>
    <w:rsid w:val="003D74EF"/>
    <w:rsid w:val="003D7671"/>
    <w:rsid w:val="003E0CAF"/>
    <w:rsid w:val="003E1122"/>
    <w:rsid w:val="003E12C9"/>
    <w:rsid w:val="003E1604"/>
    <w:rsid w:val="003E1766"/>
    <w:rsid w:val="003E18F5"/>
    <w:rsid w:val="003E1A61"/>
    <w:rsid w:val="003E21C5"/>
    <w:rsid w:val="003E279B"/>
    <w:rsid w:val="003E2AB7"/>
    <w:rsid w:val="003E2F36"/>
    <w:rsid w:val="003E2FB3"/>
    <w:rsid w:val="003E37A0"/>
    <w:rsid w:val="003E393E"/>
    <w:rsid w:val="003E3CFE"/>
    <w:rsid w:val="003E4AE0"/>
    <w:rsid w:val="003E507E"/>
    <w:rsid w:val="003E5394"/>
    <w:rsid w:val="003E678B"/>
    <w:rsid w:val="003E6CCA"/>
    <w:rsid w:val="003E6D93"/>
    <w:rsid w:val="003E76C6"/>
    <w:rsid w:val="003F0186"/>
    <w:rsid w:val="003F038A"/>
    <w:rsid w:val="003F0555"/>
    <w:rsid w:val="003F09E9"/>
    <w:rsid w:val="003F0D0F"/>
    <w:rsid w:val="003F11D8"/>
    <w:rsid w:val="003F1222"/>
    <w:rsid w:val="003F1303"/>
    <w:rsid w:val="003F1AAC"/>
    <w:rsid w:val="003F1C6D"/>
    <w:rsid w:val="003F1D12"/>
    <w:rsid w:val="003F1E3F"/>
    <w:rsid w:val="003F1ECD"/>
    <w:rsid w:val="003F2C12"/>
    <w:rsid w:val="003F3195"/>
    <w:rsid w:val="003F32A8"/>
    <w:rsid w:val="003F34C4"/>
    <w:rsid w:val="003F3673"/>
    <w:rsid w:val="003F3760"/>
    <w:rsid w:val="003F465F"/>
    <w:rsid w:val="003F47AB"/>
    <w:rsid w:val="003F4B6C"/>
    <w:rsid w:val="003F4DAF"/>
    <w:rsid w:val="003F5A39"/>
    <w:rsid w:val="003F6039"/>
    <w:rsid w:val="003F67D7"/>
    <w:rsid w:val="003F7144"/>
    <w:rsid w:val="003F74EF"/>
    <w:rsid w:val="00400195"/>
    <w:rsid w:val="00400758"/>
    <w:rsid w:val="00400A6B"/>
    <w:rsid w:val="00400A77"/>
    <w:rsid w:val="00401262"/>
    <w:rsid w:val="00401B6E"/>
    <w:rsid w:val="0040291B"/>
    <w:rsid w:val="00404123"/>
    <w:rsid w:val="00404B91"/>
    <w:rsid w:val="00404BB2"/>
    <w:rsid w:val="0040541F"/>
    <w:rsid w:val="00405424"/>
    <w:rsid w:val="00405C8A"/>
    <w:rsid w:val="00406889"/>
    <w:rsid w:val="00406DEE"/>
    <w:rsid w:val="00406E48"/>
    <w:rsid w:val="004072DC"/>
    <w:rsid w:val="00407C6C"/>
    <w:rsid w:val="00410081"/>
    <w:rsid w:val="00410502"/>
    <w:rsid w:val="00410E96"/>
    <w:rsid w:val="00410F5C"/>
    <w:rsid w:val="00411C1D"/>
    <w:rsid w:val="00411FD7"/>
    <w:rsid w:val="0041242B"/>
    <w:rsid w:val="00412A04"/>
    <w:rsid w:val="00412C22"/>
    <w:rsid w:val="00412C54"/>
    <w:rsid w:val="00412DB7"/>
    <w:rsid w:val="0041307A"/>
    <w:rsid w:val="00413397"/>
    <w:rsid w:val="00413D02"/>
    <w:rsid w:val="00413DF7"/>
    <w:rsid w:val="004141EF"/>
    <w:rsid w:val="00414FC0"/>
    <w:rsid w:val="004150A8"/>
    <w:rsid w:val="004158E1"/>
    <w:rsid w:val="00415B20"/>
    <w:rsid w:val="00417B00"/>
    <w:rsid w:val="00417E9B"/>
    <w:rsid w:val="00417ECD"/>
    <w:rsid w:val="00420473"/>
    <w:rsid w:val="00420694"/>
    <w:rsid w:val="00420703"/>
    <w:rsid w:val="0042081E"/>
    <w:rsid w:val="00420E0C"/>
    <w:rsid w:val="00421989"/>
    <w:rsid w:val="00421C02"/>
    <w:rsid w:val="00422163"/>
    <w:rsid w:val="00422B00"/>
    <w:rsid w:val="0042331A"/>
    <w:rsid w:val="00423479"/>
    <w:rsid w:val="00424B49"/>
    <w:rsid w:val="00424BC0"/>
    <w:rsid w:val="00424CD9"/>
    <w:rsid w:val="00424EE9"/>
    <w:rsid w:val="00425365"/>
    <w:rsid w:val="00425A9F"/>
    <w:rsid w:val="00425C82"/>
    <w:rsid w:val="004261C5"/>
    <w:rsid w:val="004267BD"/>
    <w:rsid w:val="00426D00"/>
    <w:rsid w:val="00427071"/>
    <w:rsid w:val="00427AC9"/>
    <w:rsid w:val="0043000A"/>
    <w:rsid w:val="0043033C"/>
    <w:rsid w:val="00430A35"/>
    <w:rsid w:val="00430E1F"/>
    <w:rsid w:val="004312F7"/>
    <w:rsid w:val="004318F3"/>
    <w:rsid w:val="0043232C"/>
    <w:rsid w:val="00432C14"/>
    <w:rsid w:val="00432D80"/>
    <w:rsid w:val="00432EC8"/>
    <w:rsid w:val="00433ACC"/>
    <w:rsid w:val="004341E9"/>
    <w:rsid w:val="00434323"/>
    <w:rsid w:val="00434720"/>
    <w:rsid w:val="00434C76"/>
    <w:rsid w:val="00434CA4"/>
    <w:rsid w:val="00434F97"/>
    <w:rsid w:val="00436AF2"/>
    <w:rsid w:val="00436D44"/>
    <w:rsid w:val="004379FE"/>
    <w:rsid w:val="00440C07"/>
    <w:rsid w:val="00440C48"/>
    <w:rsid w:val="00440E3B"/>
    <w:rsid w:val="0044111B"/>
    <w:rsid w:val="00441985"/>
    <w:rsid w:val="00441E7C"/>
    <w:rsid w:val="00441F13"/>
    <w:rsid w:val="00441FF4"/>
    <w:rsid w:val="004437DC"/>
    <w:rsid w:val="004443AB"/>
    <w:rsid w:val="00444624"/>
    <w:rsid w:val="0044486A"/>
    <w:rsid w:val="004448DB"/>
    <w:rsid w:val="004450D0"/>
    <w:rsid w:val="00445D17"/>
    <w:rsid w:val="00445E64"/>
    <w:rsid w:val="00445F93"/>
    <w:rsid w:val="0044645D"/>
    <w:rsid w:val="00446746"/>
    <w:rsid w:val="00446778"/>
    <w:rsid w:val="004473E1"/>
    <w:rsid w:val="00447435"/>
    <w:rsid w:val="00447467"/>
    <w:rsid w:val="00447BE4"/>
    <w:rsid w:val="00447CC7"/>
    <w:rsid w:val="004501C4"/>
    <w:rsid w:val="0045342A"/>
    <w:rsid w:val="00453531"/>
    <w:rsid w:val="004539F3"/>
    <w:rsid w:val="00453E52"/>
    <w:rsid w:val="00453F61"/>
    <w:rsid w:val="00454F37"/>
    <w:rsid w:val="00455072"/>
    <w:rsid w:val="004551C5"/>
    <w:rsid w:val="0045536D"/>
    <w:rsid w:val="0045563A"/>
    <w:rsid w:val="00455C0B"/>
    <w:rsid w:val="0045615C"/>
    <w:rsid w:val="00457452"/>
    <w:rsid w:val="00457539"/>
    <w:rsid w:val="00460676"/>
    <w:rsid w:val="00460A2F"/>
    <w:rsid w:val="00460DFC"/>
    <w:rsid w:val="00461390"/>
    <w:rsid w:val="00462344"/>
    <w:rsid w:val="00462792"/>
    <w:rsid w:val="00462882"/>
    <w:rsid w:val="00462EC3"/>
    <w:rsid w:val="00463713"/>
    <w:rsid w:val="00464A54"/>
    <w:rsid w:val="00464B57"/>
    <w:rsid w:val="00464F15"/>
    <w:rsid w:val="00465E1C"/>
    <w:rsid w:val="00466288"/>
    <w:rsid w:val="00466633"/>
    <w:rsid w:val="00466917"/>
    <w:rsid w:val="00466A68"/>
    <w:rsid w:val="00466E1F"/>
    <w:rsid w:val="00467A07"/>
    <w:rsid w:val="00467DDF"/>
    <w:rsid w:val="00467E6F"/>
    <w:rsid w:val="0047087C"/>
    <w:rsid w:val="004709CF"/>
    <w:rsid w:val="00470D72"/>
    <w:rsid w:val="004712BA"/>
    <w:rsid w:val="004715DB"/>
    <w:rsid w:val="004717FC"/>
    <w:rsid w:val="00471DBD"/>
    <w:rsid w:val="00472AD8"/>
    <w:rsid w:val="00472D57"/>
    <w:rsid w:val="0047319E"/>
    <w:rsid w:val="0047343D"/>
    <w:rsid w:val="004737AB"/>
    <w:rsid w:val="004737D2"/>
    <w:rsid w:val="00474861"/>
    <w:rsid w:val="004749D1"/>
    <w:rsid w:val="004756A4"/>
    <w:rsid w:val="004757DD"/>
    <w:rsid w:val="00475A00"/>
    <w:rsid w:val="00475DE8"/>
    <w:rsid w:val="0047620B"/>
    <w:rsid w:val="004765C1"/>
    <w:rsid w:val="00476839"/>
    <w:rsid w:val="00477156"/>
    <w:rsid w:val="00477886"/>
    <w:rsid w:val="00480314"/>
    <w:rsid w:val="00480836"/>
    <w:rsid w:val="0048093C"/>
    <w:rsid w:val="00480C6C"/>
    <w:rsid w:val="004813F4"/>
    <w:rsid w:val="00481755"/>
    <w:rsid w:val="00481909"/>
    <w:rsid w:val="00483EBC"/>
    <w:rsid w:val="004842F9"/>
    <w:rsid w:val="004847E2"/>
    <w:rsid w:val="004856FD"/>
    <w:rsid w:val="0048633C"/>
    <w:rsid w:val="004865F3"/>
    <w:rsid w:val="00487507"/>
    <w:rsid w:val="00487663"/>
    <w:rsid w:val="004877CE"/>
    <w:rsid w:val="00487AA1"/>
    <w:rsid w:val="00487D87"/>
    <w:rsid w:val="0049089F"/>
    <w:rsid w:val="0049099D"/>
    <w:rsid w:val="00490E4A"/>
    <w:rsid w:val="004913DD"/>
    <w:rsid w:val="004914C9"/>
    <w:rsid w:val="00491AF2"/>
    <w:rsid w:val="00491FB0"/>
    <w:rsid w:val="00492077"/>
    <w:rsid w:val="004920BE"/>
    <w:rsid w:val="004923E3"/>
    <w:rsid w:val="00492652"/>
    <w:rsid w:val="004930C9"/>
    <w:rsid w:val="004937B0"/>
    <w:rsid w:val="00493F13"/>
    <w:rsid w:val="004954B5"/>
    <w:rsid w:val="00495607"/>
    <w:rsid w:val="00495774"/>
    <w:rsid w:val="00495F75"/>
    <w:rsid w:val="00496151"/>
    <w:rsid w:val="00496379"/>
    <w:rsid w:val="004968A8"/>
    <w:rsid w:val="004969CB"/>
    <w:rsid w:val="00496CB2"/>
    <w:rsid w:val="00497689"/>
    <w:rsid w:val="00497B8B"/>
    <w:rsid w:val="004A0111"/>
    <w:rsid w:val="004A0A58"/>
    <w:rsid w:val="004A0E9E"/>
    <w:rsid w:val="004A0FBA"/>
    <w:rsid w:val="004A1431"/>
    <w:rsid w:val="004A16AC"/>
    <w:rsid w:val="004A1B28"/>
    <w:rsid w:val="004A1C37"/>
    <w:rsid w:val="004A20D4"/>
    <w:rsid w:val="004A2BF9"/>
    <w:rsid w:val="004A2C3A"/>
    <w:rsid w:val="004A39B3"/>
    <w:rsid w:val="004A3A16"/>
    <w:rsid w:val="004A443B"/>
    <w:rsid w:val="004A5BC6"/>
    <w:rsid w:val="004A6087"/>
    <w:rsid w:val="004A67DF"/>
    <w:rsid w:val="004A69F3"/>
    <w:rsid w:val="004A73AA"/>
    <w:rsid w:val="004B014F"/>
    <w:rsid w:val="004B0A99"/>
    <w:rsid w:val="004B0B98"/>
    <w:rsid w:val="004B14D9"/>
    <w:rsid w:val="004B20AC"/>
    <w:rsid w:val="004B2450"/>
    <w:rsid w:val="004B32FC"/>
    <w:rsid w:val="004B39AC"/>
    <w:rsid w:val="004B3CEC"/>
    <w:rsid w:val="004B4071"/>
    <w:rsid w:val="004B41CA"/>
    <w:rsid w:val="004B41D3"/>
    <w:rsid w:val="004B4228"/>
    <w:rsid w:val="004B4A3D"/>
    <w:rsid w:val="004B5ADF"/>
    <w:rsid w:val="004B5DC2"/>
    <w:rsid w:val="004B5EF3"/>
    <w:rsid w:val="004B66C4"/>
    <w:rsid w:val="004B67FA"/>
    <w:rsid w:val="004B702C"/>
    <w:rsid w:val="004B7411"/>
    <w:rsid w:val="004B74DA"/>
    <w:rsid w:val="004B7C2B"/>
    <w:rsid w:val="004C009E"/>
    <w:rsid w:val="004C0413"/>
    <w:rsid w:val="004C1CED"/>
    <w:rsid w:val="004C1F3B"/>
    <w:rsid w:val="004C2707"/>
    <w:rsid w:val="004C30CA"/>
    <w:rsid w:val="004C376F"/>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D0314"/>
    <w:rsid w:val="004D0661"/>
    <w:rsid w:val="004D0892"/>
    <w:rsid w:val="004D15F0"/>
    <w:rsid w:val="004D1AD3"/>
    <w:rsid w:val="004D311F"/>
    <w:rsid w:val="004D377C"/>
    <w:rsid w:val="004D47C1"/>
    <w:rsid w:val="004D4B5F"/>
    <w:rsid w:val="004D4EF0"/>
    <w:rsid w:val="004D52E2"/>
    <w:rsid w:val="004D54BD"/>
    <w:rsid w:val="004D6524"/>
    <w:rsid w:val="004D68BE"/>
    <w:rsid w:val="004D6BD9"/>
    <w:rsid w:val="004D6CE6"/>
    <w:rsid w:val="004D789A"/>
    <w:rsid w:val="004E0134"/>
    <w:rsid w:val="004E0695"/>
    <w:rsid w:val="004E081A"/>
    <w:rsid w:val="004E09DC"/>
    <w:rsid w:val="004E0F90"/>
    <w:rsid w:val="004E1162"/>
    <w:rsid w:val="004E13CC"/>
    <w:rsid w:val="004E1731"/>
    <w:rsid w:val="004E1D47"/>
    <w:rsid w:val="004E20A2"/>
    <w:rsid w:val="004E24CA"/>
    <w:rsid w:val="004E2A05"/>
    <w:rsid w:val="004E31BA"/>
    <w:rsid w:val="004E3872"/>
    <w:rsid w:val="004E3966"/>
    <w:rsid w:val="004E3AFB"/>
    <w:rsid w:val="004E3D62"/>
    <w:rsid w:val="004E4295"/>
    <w:rsid w:val="004E43D2"/>
    <w:rsid w:val="004E45A3"/>
    <w:rsid w:val="004E4646"/>
    <w:rsid w:val="004E46DA"/>
    <w:rsid w:val="004E4E79"/>
    <w:rsid w:val="004E59B2"/>
    <w:rsid w:val="004E5B4A"/>
    <w:rsid w:val="004E5E56"/>
    <w:rsid w:val="004E604F"/>
    <w:rsid w:val="004E73E8"/>
    <w:rsid w:val="004E74EC"/>
    <w:rsid w:val="004E7BF8"/>
    <w:rsid w:val="004E7DEA"/>
    <w:rsid w:val="004F0914"/>
    <w:rsid w:val="004F141F"/>
    <w:rsid w:val="004F2000"/>
    <w:rsid w:val="004F2318"/>
    <w:rsid w:val="004F24FB"/>
    <w:rsid w:val="004F26ED"/>
    <w:rsid w:val="004F2F44"/>
    <w:rsid w:val="004F2F68"/>
    <w:rsid w:val="004F3176"/>
    <w:rsid w:val="004F3D32"/>
    <w:rsid w:val="004F4735"/>
    <w:rsid w:val="004F539C"/>
    <w:rsid w:val="004F5B6B"/>
    <w:rsid w:val="004F5B94"/>
    <w:rsid w:val="004F63B9"/>
    <w:rsid w:val="004F709F"/>
    <w:rsid w:val="004F7288"/>
    <w:rsid w:val="004F767C"/>
    <w:rsid w:val="00500010"/>
    <w:rsid w:val="005001BC"/>
    <w:rsid w:val="00500BFA"/>
    <w:rsid w:val="00500DD6"/>
    <w:rsid w:val="005013E6"/>
    <w:rsid w:val="00501648"/>
    <w:rsid w:val="00501C83"/>
    <w:rsid w:val="005024E0"/>
    <w:rsid w:val="0050271A"/>
    <w:rsid w:val="00502E71"/>
    <w:rsid w:val="00503A88"/>
    <w:rsid w:val="005042A1"/>
    <w:rsid w:val="005042BC"/>
    <w:rsid w:val="00504C80"/>
    <w:rsid w:val="005061E5"/>
    <w:rsid w:val="005062B4"/>
    <w:rsid w:val="00506384"/>
    <w:rsid w:val="00506F08"/>
    <w:rsid w:val="005074FD"/>
    <w:rsid w:val="00507B6A"/>
    <w:rsid w:val="005104CF"/>
    <w:rsid w:val="00510E7E"/>
    <w:rsid w:val="00510F27"/>
    <w:rsid w:val="00511504"/>
    <w:rsid w:val="005119C0"/>
    <w:rsid w:val="00511B57"/>
    <w:rsid w:val="00511EE9"/>
    <w:rsid w:val="00513759"/>
    <w:rsid w:val="00514262"/>
    <w:rsid w:val="00514327"/>
    <w:rsid w:val="00514D54"/>
    <w:rsid w:val="00515531"/>
    <w:rsid w:val="005156C2"/>
    <w:rsid w:val="005159CD"/>
    <w:rsid w:val="00515C6E"/>
    <w:rsid w:val="005160E2"/>
    <w:rsid w:val="005161AD"/>
    <w:rsid w:val="00516BBA"/>
    <w:rsid w:val="00516CBD"/>
    <w:rsid w:val="00516EB9"/>
    <w:rsid w:val="005170B4"/>
    <w:rsid w:val="0051752A"/>
    <w:rsid w:val="00517CD0"/>
    <w:rsid w:val="00517F39"/>
    <w:rsid w:val="00517FBF"/>
    <w:rsid w:val="005211AC"/>
    <w:rsid w:val="0052127C"/>
    <w:rsid w:val="00521371"/>
    <w:rsid w:val="005214E2"/>
    <w:rsid w:val="00521531"/>
    <w:rsid w:val="00521617"/>
    <w:rsid w:val="00522945"/>
    <w:rsid w:val="00523070"/>
    <w:rsid w:val="00523380"/>
    <w:rsid w:val="005239B7"/>
    <w:rsid w:val="00523BD2"/>
    <w:rsid w:val="00523CBE"/>
    <w:rsid w:val="00523FAF"/>
    <w:rsid w:val="00524146"/>
    <w:rsid w:val="00524713"/>
    <w:rsid w:val="00524C53"/>
    <w:rsid w:val="00524EA5"/>
    <w:rsid w:val="00525257"/>
    <w:rsid w:val="00525345"/>
    <w:rsid w:val="00525B14"/>
    <w:rsid w:val="00525B7E"/>
    <w:rsid w:val="00525D95"/>
    <w:rsid w:val="005260E6"/>
    <w:rsid w:val="0052633F"/>
    <w:rsid w:val="0052674D"/>
    <w:rsid w:val="00526B74"/>
    <w:rsid w:val="00526DB4"/>
    <w:rsid w:val="00527332"/>
    <w:rsid w:val="00527901"/>
    <w:rsid w:val="00527AC5"/>
    <w:rsid w:val="00527EDB"/>
    <w:rsid w:val="0053043B"/>
    <w:rsid w:val="00530B61"/>
    <w:rsid w:val="00530FDE"/>
    <w:rsid w:val="0053152B"/>
    <w:rsid w:val="00531CF0"/>
    <w:rsid w:val="00531E6A"/>
    <w:rsid w:val="0053288C"/>
    <w:rsid w:val="00532B67"/>
    <w:rsid w:val="00532B8D"/>
    <w:rsid w:val="00532E70"/>
    <w:rsid w:val="00533A1F"/>
    <w:rsid w:val="005342A1"/>
    <w:rsid w:val="00534CF1"/>
    <w:rsid w:val="0053580A"/>
    <w:rsid w:val="0053590B"/>
    <w:rsid w:val="00535D0B"/>
    <w:rsid w:val="00536119"/>
    <w:rsid w:val="00536390"/>
    <w:rsid w:val="0053646A"/>
    <w:rsid w:val="0053674A"/>
    <w:rsid w:val="00536EB8"/>
    <w:rsid w:val="0053709A"/>
    <w:rsid w:val="00537407"/>
    <w:rsid w:val="00537415"/>
    <w:rsid w:val="00540B24"/>
    <w:rsid w:val="005415DB"/>
    <w:rsid w:val="005416BB"/>
    <w:rsid w:val="005418E2"/>
    <w:rsid w:val="00541A87"/>
    <w:rsid w:val="00541CC7"/>
    <w:rsid w:val="00541D3C"/>
    <w:rsid w:val="005420B3"/>
    <w:rsid w:val="00542445"/>
    <w:rsid w:val="005426DA"/>
    <w:rsid w:val="00542F7E"/>
    <w:rsid w:val="00543B10"/>
    <w:rsid w:val="00544D59"/>
    <w:rsid w:val="00545235"/>
    <w:rsid w:val="005452F5"/>
    <w:rsid w:val="00546054"/>
    <w:rsid w:val="005466DD"/>
    <w:rsid w:val="00546765"/>
    <w:rsid w:val="00546871"/>
    <w:rsid w:val="00547879"/>
    <w:rsid w:val="005479F1"/>
    <w:rsid w:val="00547B59"/>
    <w:rsid w:val="00547D22"/>
    <w:rsid w:val="00547E58"/>
    <w:rsid w:val="00547FD8"/>
    <w:rsid w:val="00550288"/>
    <w:rsid w:val="005509A3"/>
    <w:rsid w:val="00550D79"/>
    <w:rsid w:val="005517D2"/>
    <w:rsid w:val="00551840"/>
    <w:rsid w:val="00551D2E"/>
    <w:rsid w:val="00552143"/>
    <w:rsid w:val="005523C9"/>
    <w:rsid w:val="00552767"/>
    <w:rsid w:val="005529F1"/>
    <w:rsid w:val="00552DD1"/>
    <w:rsid w:val="00553279"/>
    <w:rsid w:val="0055332C"/>
    <w:rsid w:val="005536CF"/>
    <w:rsid w:val="0055394B"/>
    <w:rsid w:val="00553C93"/>
    <w:rsid w:val="00553FA6"/>
    <w:rsid w:val="0055409C"/>
    <w:rsid w:val="00554124"/>
    <w:rsid w:val="0055413D"/>
    <w:rsid w:val="005544B3"/>
    <w:rsid w:val="005548D7"/>
    <w:rsid w:val="00554E40"/>
    <w:rsid w:val="00554F97"/>
    <w:rsid w:val="00554FAB"/>
    <w:rsid w:val="005550E1"/>
    <w:rsid w:val="005554C2"/>
    <w:rsid w:val="00555ED2"/>
    <w:rsid w:val="00556C0A"/>
    <w:rsid w:val="00557071"/>
    <w:rsid w:val="0055775F"/>
    <w:rsid w:val="00557E0E"/>
    <w:rsid w:val="00557E48"/>
    <w:rsid w:val="00560BE0"/>
    <w:rsid w:val="00561891"/>
    <w:rsid w:val="00562A60"/>
    <w:rsid w:val="00562AE4"/>
    <w:rsid w:val="00564889"/>
    <w:rsid w:val="00564B27"/>
    <w:rsid w:val="00564C9B"/>
    <w:rsid w:val="00564DE4"/>
    <w:rsid w:val="00564FA7"/>
    <w:rsid w:val="00565386"/>
    <w:rsid w:val="00565A20"/>
    <w:rsid w:val="005661AF"/>
    <w:rsid w:val="005668D1"/>
    <w:rsid w:val="0056691D"/>
    <w:rsid w:val="00567355"/>
    <w:rsid w:val="005679D6"/>
    <w:rsid w:val="00567D22"/>
    <w:rsid w:val="00567F89"/>
    <w:rsid w:val="00567F9E"/>
    <w:rsid w:val="00567FC1"/>
    <w:rsid w:val="0057013D"/>
    <w:rsid w:val="0057038E"/>
    <w:rsid w:val="00570A13"/>
    <w:rsid w:val="00570B11"/>
    <w:rsid w:val="005710C0"/>
    <w:rsid w:val="005718EC"/>
    <w:rsid w:val="00572252"/>
    <w:rsid w:val="00572297"/>
    <w:rsid w:val="00572482"/>
    <w:rsid w:val="005728D8"/>
    <w:rsid w:val="00572C96"/>
    <w:rsid w:val="00572D93"/>
    <w:rsid w:val="005730AB"/>
    <w:rsid w:val="005730C8"/>
    <w:rsid w:val="00573521"/>
    <w:rsid w:val="00573774"/>
    <w:rsid w:val="00573EAB"/>
    <w:rsid w:val="005748E5"/>
    <w:rsid w:val="005750C2"/>
    <w:rsid w:val="0057515A"/>
    <w:rsid w:val="00575BC1"/>
    <w:rsid w:val="005766AA"/>
    <w:rsid w:val="00576B32"/>
    <w:rsid w:val="00576DE4"/>
    <w:rsid w:val="00577129"/>
    <w:rsid w:val="005777C5"/>
    <w:rsid w:val="0058007A"/>
    <w:rsid w:val="00580CD8"/>
    <w:rsid w:val="00580F61"/>
    <w:rsid w:val="00580F93"/>
    <w:rsid w:val="005828F1"/>
    <w:rsid w:val="00582E34"/>
    <w:rsid w:val="005830F2"/>
    <w:rsid w:val="005835DA"/>
    <w:rsid w:val="00583C3B"/>
    <w:rsid w:val="005843CD"/>
    <w:rsid w:val="00585A77"/>
    <w:rsid w:val="00585ABE"/>
    <w:rsid w:val="00585DEE"/>
    <w:rsid w:val="00585E2D"/>
    <w:rsid w:val="00585F7D"/>
    <w:rsid w:val="00585FAF"/>
    <w:rsid w:val="0058606B"/>
    <w:rsid w:val="00586239"/>
    <w:rsid w:val="0058649D"/>
    <w:rsid w:val="005868D0"/>
    <w:rsid w:val="005875DB"/>
    <w:rsid w:val="00587993"/>
    <w:rsid w:val="00587B01"/>
    <w:rsid w:val="0059095A"/>
    <w:rsid w:val="00590BA5"/>
    <w:rsid w:val="00590F0B"/>
    <w:rsid w:val="005912B0"/>
    <w:rsid w:val="005914A0"/>
    <w:rsid w:val="00591C47"/>
    <w:rsid w:val="00591C73"/>
    <w:rsid w:val="005922B5"/>
    <w:rsid w:val="005923EC"/>
    <w:rsid w:val="005928C5"/>
    <w:rsid w:val="00593297"/>
    <w:rsid w:val="005932E4"/>
    <w:rsid w:val="005935DA"/>
    <w:rsid w:val="0059381A"/>
    <w:rsid w:val="00593C34"/>
    <w:rsid w:val="00594879"/>
    <w:rsid w:val="00594E6B"/>
    <w:rsid w:val="00595AB2"/>
    <w:rsid w:val="00596854"/>
    <w:rsid w:val="005978A0"/>
    <w:rsid w:val="00597A30"/>
    <w:rsid w:val="00597A74"/>
    <w:rsid w:val="00597E5D"/>
    <w:rsid w:val="00597FA3"/>
    <w:rsid w:val="005A0129"/>
    <w:rsid w:val="005A0EFB"/>
    <w:rsid w:val="005A1885"/>
    <w:rsid w:val="005A21BC"/>
    <w:rsid w:val="005A2571"/>
    <w:rsid w:val="005A3963"/>
    <w:rsid w:val="005A3CA5"/>
    <w:rsid w:val="005A44CA"/>
    <w:rsid w:val="005A4CCA"/>
    <w:rsid w:val="005A5A32"/>
    <w:rsid w:val="005A5C2A"/>
    <w:rsid w:val="005A5C9B"/>
    <w:rsid w:val="005A6AC4"/>
    <w:rsid w:val="005A6AE8"/>
    <w:rsid w:val="005A7007"/>
    <w:rsid w:val="005A72D7"/>
    <w:rsid w:val="005A73B5"/>
    <w:rsid w:val="005A7911"/>
    <w:rsid w:val="005A7BE4"/>
    <w:rsid w:val="005B035A"/>
    <w:rsid w:val="005B0468"/>
    <w:rsid w:val="005B0BCF"/>
    <w:rsid w:val="005B10D9"/>
    <w:rsid w:val="005B1589"/>
    <w:rsid w:val="005B197F"/>
    <w:rsid w:val="005B1C5D"/>
    <w:rsid w:val="005B2434"/>
    <w:rsid w:val="005B2748"/>
    <w:rsid w:val="005B2B3E"/>
    <w:rsid w:val="005B2C29"/>
    <w:rsid w:val="005B32E1"/>
    <w:rsid w:val="005B3401"/>
    <w:rsid w:val="005B3653"/>
    <w:rsid w:val="005B3700"/>
    <w:rsid w:val="005B372F"/>
    <w:rsid w:val="005B3AF5"/>
    <w:rsid w:val="005B4024"/>
    <w:rsid w:val="005B4374"/>
    <w:rsid w:val="005B4559"/>
    <w:rsid w:val="005B4689"/>
    <w:rsid w:val="005B5237"/>
    <w:rsid w:val="005B54E9"/>
    <w:rsid w:val="005B5773"/>
    <w:rsid w:val="005B5BCD"/>
    <w:rsid w:val="005B6604"/>
    <w:rsid w:val="005B6C1F"/>
    <w:rsid w:val="005B7212"/>
    <w:rsid w:val="005B77C7"/>
    <w:rsid w:val="005B79D1"/>
    <w:rsid w:val="005B7B29"/>
    <w:rsid w:val="005B7BF4"/>
    <w:rsid w:val="005C0F0A"/>
    <w:rsid w:val="005C109C"/>
    <w:rsid w:val="005C1D39"/>
    <w:rsid w:val="005C1D42"/>
    <w:rsid w:val="005C2439"/>
    <w:rsid w:val="005C2746"/>
    <w:rsid w:val="005C2B9F"/>
    <w:rsid w:val="005C2F7B"/>
    <w:rsid w:val="005C32A6"/>
    <w:rsid w:val="005C3FEE"/>
    <w:rsid w:val="005C4796"/>
    <w:rsid w:val="005C4E3B"/>
    <w:rsid w:val="005C4F64"/>
    <w:rsid w:val="005C5AE4"/>
    <w:rsid w:val="005C5C59"/>
    <w:rsid w:val="005C5F0E"/>
    <w:rsid w:val="005C60CB"/>
    <w:rsid w:val="005C70EE"/>
    <w:rsid w:val="005C71AA"/>
    <w:rsid w:val="005C73FB"/>
    <w:rsid w:val="005C7C55"/>
    <w:rsid w:val="005C7FB2"/>
    <w:rsid w:val="005D051A"/>
    <w:rsid w:val="005D0A1C"/>
    <w:rsid w:val="005D114B"/>
    <w:rsid w:val="005D2250"/>
    <w:rsid w:val="005D25CB"/>
    <w:rsid w:val="005D30DB"/>
    <w:rsid w:val="005D3640"/>
    <w:rsid w:val="005D3712"/>
    <w:rsid w:val="005D3747"/>
    <w:rsid w:val="005D4088"/>
    <w:rsid w:val="005D43CB"/>
    <w:rsid w:val="005D4951"/>
    <w:rsid w:val="005D6209"/>
    <w:rsid w:val="005D6312"/>
    <w:rsid w:val="005D707E"/>
    <w:rsid w:val="005D7574"/>
    <w:rsid w:val="005D7867"/>
    <w:rsid w:val="005D7EEA"/>
    <w:rsid w:val="005D7F1C"/>
    <w:rsid w:val="005E0670"/>
    <w:rsid w:val="005E0989"/>
    <w:rsid w:val="005E0A3F"/>
    <w:rsid w:val="005E0F68"/>
    <w:rsid w:val="005E0FB0"/>
    <w:rsid w:val="005E12E0"/>
    <w:rsid w:val="005E1717"/>
    <w:rsid w:val="005E1A9F"/>
    <w:rsid w:val="005E1E33"/>
    <w:rsid w:val="005E2907"/>
    <w:rsid w:val="005E2B9E"/>
    <w:rsid w:val="005E3057"/>
    <w:rsid w:val="005E3375"/>
    <w:rsid w:val="005E3957"/>
    <w:rsid w:val="005E3EA2"/>
    <w:rsid w:val="005E42E3"/>
    <w:rsid w:val="005E5002"/>
    <w:rsid w:val="005E50DF"/>
    <w:rsid w:val="005E53B2"/>
    <w:rsid w:val="005E59EE"/>
    <w:rsid w:val="005E5D7B"/>
    <w:rsid w:val="005E6143"/>
    <w:rsid w:val="005E618A"/>
    <w:rsid w:val="005E6419"/>
    <w:rsid w:val="005E6475"/>
    <w:rsid w:val="005E670D"/>
    <w:rsid w:val="005E6B8D"/>
    <w:rsid w:val="005E6F26"/>
    <w:rsid w:val="005E70F7"/>
    <w:rsid w:val="005E7BE5"/>
    <w:rsid w:val="005E7E1E"/>
    <w:rsid w:val="005F0E48"/>
    <w:rsid w:val="005F120A"/>
    <w:rsid w:val="005F1247"/>
    <w:rsid w:val="005F12B4"/>
    <w:rsid w:val="005F162B"/>
    <w:rsid w:val="005F32FC"/>
    <w:rsid w:val="005F33C2"/>
    <w:rsid w:val="005F374A"/>
    <w:rsid w:val="005F3781"/>
    <w:rsid w:val="005F3C83"/>
    <w:rsid w:val="005F4066"/>
    <w:rsid w:val="005F4EE3"/>
    <w:rsid w:val="005F5068"/>
    <w:rsid w:val="005F585D"/>
    <w:rsid w:val="005F5AD1"/>
    <w:rsid w:val="005F5F63"/>
    <w:rsid w:val="005F6133"/>
    <w:rsid w:val="005F65F9"/>
    <w:rsid w:val="005F661F"/>
    <w:rsid w:val="005F6BAB"/>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9EF"/>
    <w:rsid w:val="006031AD"/>
    <w:rsid w:val="00603524"/>
    <w:rsid w:val="00603C32"/>
    <w:rsid w:val="006040AB"/>
    <w:rsid w:val="006043AE"/>
    <w:rsid w:val="00604699"/>
    <w:rsid w:val="006046D4"/>
    <w:rsid w:val="0060482E"/>
    <w:rsid w:val="00604F99"/>
    <w:rsid w:val="00605D5C"/>
    <w:rsid w:val="00606840"/>
    <w:rsid w:val="006073CE"/>
    <w:rsid w:val="0060764B"/>
    <w:rsid w:val="00607658"/>
    <w:rsid w:val="00607B0C"/>
    <w:rsid w:val="00610BF6"/>
    <w:rsid w:val="00610DF4"/>
    <w:rsid w:val="00610E61"/>
    <w:rsid w:val="00611140"/>
    <w:rsid w:val="006114AE"/>
    <w:rsid w:val="006124DD"/>
    <w:rsid w:val="006127AB"/>
    <w:rsid w:val="0061290D"/>
    <w:rsid w:val="00612DE7"/>
    <w:rsid w:val="006130EE"/>
    <w:rsid w:val="006131CE"/>
    <w:rsid w:val="006138C0"/>
    <w:rsid w:val="00613A29"/>
    <w:rsid w:val="00613EF5"/>
    <w:rsid w:val="0061441E"/>
    <w:rsid w:val="006147E5"/>
    <w:rsid w:val="006149DB"/>
    <w:rsid w:val="00615836"/>
    <w:rsid w:val="00615D2C"/>
    <w:rsid w:val="00615DFD"/>
    <w:rsid w:val="00616104"/>
    <w:rsid w:val="00616AAF"/>
    <w:rsid w:val="006173C1"/>
    <w:rsid w:val="00617584"/>
    <w:rsid w:val="006176D9"/>
    <w:rsid w:val="00617B03"/>
    <w:rsid w:val="00617E61"/>
    <w:rsid w:val="0062059F"/>
    <w:rsid w:val="00620605"/>
    <w:rsid w:val="00620751"/>
    <w:rsid w:val="006211CD"/>
    <w:rsid w:val="00621247"/>
    <w:rsid w:val="006226A2"/>
    <w:rsid w:val="00622E44"/>
    <w:rsid w:val="00623453"/>
    <w:rsid w:val="00623C52"/>
    <w:rsid w:val="00624692"/>
    <w:rsid w:val="00624A65"/>
    <w:rsid w:val="00625445"/>
    <w:rsid w:val="0062612B"/>
    <w:rsid w:val="006267F7"/>
    <w:rsid w:val="0062731C"/>
    <w:rsid w:val="006309E0"/>
    <w:rsid w:val="006311F1"/>
    <w:rsid w:val="006314C2"/>
    <w:rsid w:val="00631843"/>
    <w:rsid w:val="00631C37"/>
    <w:rsid w:val="0063209E"/>
    <w:rsid w:val="006320EC"/>
    <w:rsid w:val="0063233E"/>
    <w:rsid w:val="0063260C"/>
    <w:rsid w:val="006326C5"/>
    <w:rsid w:val="00632A6F"/>
    <w:rsid w:val="00632AF3"/>
    <w:rsid w:val="00633754"/>
    <w:rsid w:val="006337E6"/>
    <w:rsid w:val="00633965"/>
    <w:rsid w:val="0063405A"/>
    <w:rsid w:val="00635743"/>
    <w:rsid w:val="00635AD4"/>
    <w:rsid w:val="00636B48"/>
    <w:rsid w:val="00636CD7"/>
    <w:rsid w:val="00636CE4"/>
    <w:rsid w:val="0063794E"/>
    <w:rsid w:val="00637AF9"/>
    <w:rsid w:val="00640454"/>
    <w:rsid w:val="00641023"/>
    <w:rsid w:val="006412EB"/>
    <w:rsid w:val="00641482"/>
    <w:rsid w:val="00641A26"/>
    <w:rsid w:val="0064274E"/>
    <w:rsid w:val="00642AF6"/>
    <w:rsid w:val="00642E5B"/>
    <w:rsid w:val="00642EEF"/>
    <w:rsid w:val="0064302D"/>
    <w:rsid w:val="006438FE"/>
    <w:rsid w:val="00644D2E"/>
    <w:rsid w:val="006459AD"/>
    <w:rsid w:val="006464AC"/>
    <w:rsid w:val="006469C2"/>
    <w:rsid w:val="00646A3A"/>
    <w:rsid w:val="00646F69"/>
    <w:rsid w:val="00647013"/>
    <w:rsid w:val="00647C7E"/>
    <w:rsid w:val="00650178"/>
    <w:rsid w:val="006502ED"/>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B3C"/>
    <w:rsid w:val="00653F1C"/>
    <w:rsid w:val="0065423E"/>
    <w:rsid w:val="00654637"/>
    <w:rsid w:val="0065486D"/>
    <w:rsid w:val="00654A03"/>
    <w:rsid w:val="00654CF7"/>
    <w:rsid w:val="00654D82"/>
    <w:rsid w:val="00654FEE"/>
    <w:rsid w:val="0065544D"/>
    <w:rsid w:val="006554E5"/>
    <w:rsid w:val="00656380"/>
    <w:rsid w:val="00656AE0"/>
    <w:rsid w:val="00656BDE"/>
    <w:rsid w:val="00656DBF"/>
    <w:rsid w:val="00657160"/>
    <w:rsid w:val="006573F5"/>
    <w:rsid w:val="006577FA"/>
    <w:rsid w:val="006600B7"/>
    <w:rsid w:val="00660629"/>
    <w:rsid w:val="006608F8"/>
    <w:rsid w:val="00660C93"/>
    <w:rsid w:val="00661B4C"/>
    <w:rsid w:val="00661BE3"/>
    <w:rsid w:val="00662282"/>
    <w:rsid w:val="006629AB"/>
    <w:rsid w:val="0066339D"/>
    <w:rsid w:val="006637F7"/>
    <w:rsid w:val="00663ECC"/>
    <w:rsid w:val="00664431"/>
    <w:rsid w:val="00664474"/>
    <w:rsid w:val="0066448E"/>
    <w:rsid w:val="00664D95"/>
    <w:rsid w:val="00664FC5"/>
    <w:rsid w:val="00665539"/>
    <w:rsid w:val="00665594"/>
    <w:rsid w:val="006658F0"/>
    <w:rsid w:val="00665F0E"/>
    <w:rsid w:val="006662BA"/>
    <w:rsid w:val="00666332"/>
    <w:rsid w:val="0066642F"/>
    <w:rsid w:val="006666FD"/>
    <w:rsid w:val="00666DDF"/>
    <w:rsid w:val="006673D9"/>
    <w:rsid w:val="006678C9"/>
    <w:rsid w:val="00667D51"/>
    <w:rsid w:val="00667DB3"/>
    <w:rsid w:val="00670491"/>
    <w:rsid w:val="00670F01"/>
    <w:rsid w:val="00670F08"/>
    <w:rsid w:val="00671112"/>
    <w:rsid w:val="006711CD"/>
    <w:rsid w:val="00671274"/>
    <w:rsid w:val="006714CE"/>
    <w:rsid w:val="00672021"/>
    <w:rsid w:val="006724B7"/>
    <w:rsid w:val="00672626"/>
    <w:rsid w:val="00672876"/>
    <w:rsid w:val="00672DD5"/>
    <w:rsid w:val="00672F78"/>
    <w:rsid w:val="0067339C"/>
    <w:rsid w:val="006734BE"/>
    <w:rsid w:val="006735F3"/>
    <w:rsid w:val="00673D32"/>
    <w:rsid w:val="00674859"/>
    <w:rsid w:val="00675366"/>
    <w:rsid w:val="006759CB"/>
    <w:rsid w:val="00675D32"/>
    <w:rsid w:val="00675E99"/>
    <w:rsid w:val="006760DF"/>
    <w:rsid w:val="0067611A"/>
    <w:rsid w:val="0067626D"/>
    <w:rsid w:val="0067642C"/>
    <w:rsid w:val="00676A74"/>
    <w:rsid w:val="00676B58"/>
    <w:rsid w:val="00676D5D"/>
    <w:rsid w:val="00680148"/>
    <w:rsid w:val="00680F5B"/>
    <w:rsid w:val="006815AE"/>
    <w:rsid w:val="00682164"/>
    <w:rsid w:val="006821A3"/>
    <w:rsid w:val="0068230C"/>
    <w:rsid w:val="00682BA5"/>
    <w:rsid w:val="00682FA5"/>
    <w:rsid w:val="0068316A"/>
    <w:rsid w:val="006834D8"/>
    <w:rsid w:val="006835B1"/>
    <w:rsid w:val="00683AC0"/>
    <w:rsid w:val="00683CCE"/>
    <w:rsid w:val="00683DEA"/>
    <w:rsid w:val="00683F05"/>
    <w:rsid w:val="006843EE"/>
    <w:rsid w:val="00684B43"/>
    <w:rsid w:val="00684D70"/>
    <w:rsid w:val="006858F0"/>
    <w:rsid w:val="00685937"/>
    <w:rsid w:val="00685DBD"/>
    <w:rsid w:val="0068612F"/>
    <w:rsid w:val="00686EF0"/>
    <w:rsid w:val="00687B93"/>
    <w:rsid w:val="00687E4C"/>
    <w:rsid w:val="00687F21"/>
    <w:rsid w:val="00690A36"/>
    <w:rsid w:val="00690B2B"/>
    <w:rsid w:val="00690C85"/>
    <w:rsid w:val="0069106C"/>
    <w:rsid w:val="00691433"/>
    <w:rsid w:val="006914E7"/>
    <w:rsid w:val="006916AA"/>
    <w:rsid w:val="00691D6E"/>
    <w:rsid w:val="00692436"/>
    <w:rsid w:val="00692D16"/>
    <w:rsid w:val="00692FF7"/>
    <w:rsid w:val="006930BD"/>
    <w:rsid w:val="0069324C"/>
    <w:rsid w:val="00694761"/>
    <w:rsid w:val="00694840"/>
    <w:rsid w:val="0069509B"/>
    <w:rsid w:val="006951E2"/>
    <w:rsid w:val="006960FC"/>
    <w:rsid w:val="006964C6"/>
    <w:rsid w:val="00696852"/>
    <w:rsid w:val="00697379"/>
    <w:rsid w:val="006976BB"/>
    <w:rsid w:val="006978ED"/>
    <w:rsid w:val="00697AF3"/>
    <w:rsid w:val="006A015F"/>
    <w:rsid w:val="006A114F"/>
    <w:rsid w:val="006A184C"/>
    <w:rsid w:val="006A2C78"/>
    <w:rsid w:val="006A3481"/>
    <w:rsid w:val="006A361D"/>
    <w:rsid w:val="006A3870"/>
    <w:rsid w:val="006A3AF9"/>
    <w:rsid w:val="006A433E"/>
    <w:rsid w:val="006A454B"/>
    <w:rsid w:val="006A46C0"/>
    <w:rsid w:val="006A4D83"/>
    <w:rsid w:val="006A4E72"/>
    <w:rsid w:val="006A4F97"/>
    <w:rsid w:val="006A52EE"/>
    <w:rsid w:val="006A6E5D"/>
    <w:rsid w:val="006A756A"/>
    <w:rsid w:val="006A7E3F"/>
    <w:rsid w:val="006B020C"/>
    <w:rsid w:val="006B07A9"/>
    <w:rsid w:val="006B1105"/>
    <w:rsid w:val="006B1158"/>
    <w:rsid w:val="006B15AD"/>
    <w:rsid w:val="006B3446"/>
    <w:rsid w:val="006B38BE"/>
    <w:rsid w:val="006B3921"/>
    <w:rsid w:val="006B3D8C"/>
    <w:rsid w:val="006B4618"/>
    <w:rsid w:val="006B4AFB"/>
    <w:rsid w:val="006B4F01"/>
    <w:rsid w:val="006B58A1"/>
    <w:rsid w:val="006B5C2D"/>
    <w:rsid w:val="006B618C"/>
    <w:rsid w:val="006B70F4"/>
    <w:rsid w:val="006B7470"/>
    <w:rsid w:val="006B74D3"/>
    <w:rsid w:val="006B7656"/>
    <w:rsid w:val="006B7810"/>
    <w:rsid w:val="006B7845"/>
    <w:rsid w:val="006B7867"/>
    <w:rsid w:val="006C00BB"/>
    <w:rsid w:val="006C0638"/>
    <w:rsid w:val="006C09E4"/>
    <w:rsid w:val="006C0ED8"/>
    <w:rsid w:val="006C102B"/>
    <w:rsid w:val="006C1144"/>
    <w:rsid w:val="006C1185"/>
    <w:rsid w:val="006C16F4"/>
    <w:rsid w:val="006C1B63"/>
    <w:rsid w:val="006C1F97"/>
    <w:rsid w:val="006C2872"/>
    <w:rsid w:val="006C2881"/>
    <w:rsid w:val="006C3181"/>
    <w:rsid w:val="006C3DDE"/>
    <w:rsid w:val="006C4A1A"/>
    <w:rsid w:val="006C4C5E"/>
    <w:rsid w:val="006C57B2"/>
    <w:rsid w:val="006C6B6F"/>
    <w:rsid w:val="006C7528"/>
    <w:rsid w:val="006C77ED"/>
    <w:rsid w:val="006C783F"/>
    <w:rsid w:val="006C798A"/>
    <w:rsid w:val="006C7A48"/>
    <w:rsid w:val="006C7E40"/>
    <w:rsid w:val="006D05DB"/>
    <w:rsid w:val="006D0894"/>
    <w:rsid w:val="006D179A"/>
    <w:rsid w:val="006D1EAB"/>
    <w:rsid w:val="006D21E9"/>
    <w:rsid w:val="006D22F6"/>
    <w:rsid w:val="006D257F"/>
    <w:rsid w:val="006D311A"/>
    <w:rsid w:val="006D341F"/>
    <w:rsid w:val="006D35EA"/>
    <w:rsid w:val="006D37AF"/>
    <w:rsid w:val="006D3A1F"/>
    <w:rsid w:val="006D3A52"/>
    <w:rsid w:val="006D4403"/>
    <w:rsid w:val="006D4720"/>
    <w:rsid w:val="006D4DF2"/>
    <w:rsid w:val="006D4FA9"/>
    <w:rsid w:val="006D5019"/>
    <w:rsid w:val="006D501E"/>
    <w:rsid w:val="006D50CD"/>
    <w:rsid w:val="006D5274"/>
    <w:rsid w:val="006D5A63"/>
    <w:rsid w:val="006D5B26"/>
    <w:rsid w:val="006D5D56"/>
    <w:rsid w:val="006D6D49"/>
    <w:rsid w:val="006D6DB7"/>
    <w:rsid w:val="006D70E0"/>
    <w:rsid w:val="006D7856"/>
    <w:rsid w:val="006D7A8B"/>
    <w:rsid w:val="006E0181"/>
    <w:rsid w:val="006E0F71"/>
    <w:rsid w:val="006E13AE"/>
    <w:rsid w:val="006E16AA"/>
    <w:rsid w:val="006E3498"/>
    <w:rsid w:val="006E3C64"/>
    <w:rsid w:val="006E3D8A"/>
    <w:rsid w:val="006E4199"/>
    <w:rsid w:val="006E43F6"/>
    <w:rsid w:val="006E450A"/>
    <w:rsid w:val="006E46D5"/>
    <w:rsid w:val="006E4CA2"/>
    <w:rsid w:val="006E4D80"/>
    <w:rsid w:val="006E4E3E"/>
    <w:rsid w:val="006E532B"/>
    <w:rsid w:val="006E5464"/>
    <w:rsid w:val="006E5EE8"/>
    <w:rsid w:val="006E6B3E"/>
    <w:rsid w:val="006E6D3C"/>
    <w:rsid w:val="006E7108"/>
    <w:rsid w:val="006E718A"/>
    <w:rsid w:val="006E71F1"/>
    <w:rsid w:val="006E78A2"/>
    <w:rsid w:val="006E7D1E"/>
    <w:rsid w:val="006F0766"/>
    <w:rsid w:val="006F0B1D"/>
    <w:rsid w:val="006F0F53"/>
    <w:rsid w:val="006F195F"/>
    <w:rsid w:val="006F1CEE"/>
    <w:rsid w:val="006F1F96"/>
    <w:rsid w:val="006F21DA"/>
    <w:rsid w:val="006F2870"/>
    <w:rsid w:val="006F28CA"/>
    <w:rsid w:val="006F2D05"/>
    <w:rsid w:val="006F2DD0"/>
    <w:rsid w:val="006F3AED"/>
    <w:rsid w:val="006F5A43"/>
    <w:rsid w:val="006F618D"/>
    <w:rsid w:val="006F61DF"/>
    <w:rsid w:val="006F650B"/>
    <w:rsid w:val="006F67AF"/>
    <w:rsid w:val="006F69CF"/>
    <w:rsid w:val="006F70EF"/>
    <w:rsid w:val="007014EC"/>
    <w:rsid w:val="007018F0"/>
    <w:rsid w:val="007019F6"/>
    <w:rsid w:val="00701F04"/>
    <w:rsid w:val="0070267F"/>
    <w:rsid w:val="00702733"/>
    <w:rsid w:val="00702CAB"/>
    <w:rsid w:val="00703521"/>
    <w:rsid w:val="0070383F"/>
    <w:rsid w:val="00703DA0"/>
    <w:rsid w:val="0070438D"/>
    <w:rsid w:val="00704407"/>
    <w:rsid w:val="00704FF7"/>
    <w:rsid w:val="007052B0"/>
    <w:rsid w:val="00705558"/>
    <w:rsid w:val="00705B86"/>
    <w:rsid w:val="00705E27"/>
    <w:rsid w:val="00705F5D"/>
    <w:rsid w:val="007061E9"/>
    <w:rsid w:val="007064D2"/>
    <w:rsid w:val="00706583"/>
    <w:rsid w:val="007069ED"/>
    <w:rsid w:val="00707AA3"/>
    <w:rsid w:val="007102A7"/>
    <w:rsid w:val="007103DD"/>
    <w:rsid w:val="007107DF"/>
    <w:rsid w:val="007108F1"/>
    <w:rsid w:val="00710FA6"/>
    <w:rsid w:val="00710FBC"/>
    <w:rsid w:val="007110D8"/>
    <w:rsid w:val="00711275"/>
    <w:rsid w:val="0071251B"/>
    <w:rsid w:val="007125DE"/>
    <w:rsid w:val="00712750"/>
    <w:rsid w:val="00712967"/>
    <w:rsid w:val="0071312F"/>
    <w:rsid w:val="0071384D"/>
    <w:rsid w:val="00713A49"/>
    <w:rsid w:val="00713A52"/>
    <w:rsid w:val="00713B49"/>
    <w:rsid w:val="00713BAD"/>
    <w:rsid w:val="00713CCA"/>
    <w:rsid w:val="00713ED4"/>
    <w:rsid w:val="00713EF8"/>
    <w:rsid w:val="00714427"/>
    <w:rsid w:val="00714741"/>
    <w:rsid w:val="00714C37"/>
    <w:rsid w:val="00714C8E"/>
    <w:rsid w:val="007156A6"/>
    <w:rsid w:val="0071574D"/>
    <w:rsid w:val="00715DF7"/>
    <w:rsid w:val="00715E0F"/>
    <w:rsid w:val="00716567"/>
    <w:rsid w:val="00716847"/>
    <w:rsid w:val="00716F33"/>
    <w:rsid w:val="0071747F"/>
    <w:rsid w:val="00717754"/>
    <w:rsid w:val="00717B7A"/>
    <w:rsid w:val="00720BDD"/>
    <w:rsid w:val="0072101F"/>
    <w:rsid w:val="007212CB"/>
    <w:rsid w:val="0072166A"/>
    <w:rsid w:val="00721EE9"/>
    <w:rsid w:val="00722732"/>
    <w:rsid w:val="0072369E"/>
    <w:rsid w:val="007238A9"/>
    <w:rsid w:val="00723B94"/>
    <w:rsid w:val="00723E43"/>
    <w:rsid w:val="007240EE"/>
    <w:rsid w:val="007243FC"/>
    <w:rsid w:val="00724512"/>
    <w:rsid w:val="00724D36"/>
    <w:rsid w:val="00724E80"/>
    <w:rsid w:val="00724F48"/>
    <w:rsid w:val="00724FD0"/>
    <w:rsid w:val="00725400"/>
    <w:rsid w:val="0072604F"/>
    <w:rsid w:val="00726BFF"/>
    <w:rsid w:val="00727213"/>
    <w:rsid w:val="0072742F"/>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F0F"/>
    <w:rsid w:val="0073510D"/>
    <w:rsid w:val="00735BBB"/>
    <w:rsid w:val="00735C53"/>
    <w:rsid w:val="00736743"/>
    <w:rsid w:val="00736E50"/>
    <w:rsid w:val="007373FD"/>
    <w:rsid w:val="00737A7A"/>
    <w:rsid w:val="00737FE5"/>
    <w:rsid w:val="007401D9"/>
    <w:rsid w:val="00740460"/>
    <w:rsid w:val="0074051D"/>
    <w:rsid w:val="00740F24"/>
    <w:rsid w:val="00741B45"/>
    <w:rsid w:val="00741E2F"/>
    <w:rsid w:val="00741EC9"/>
    <w:rsid w:val="0074246F"/>
    <w:rsid w:val="007429ED"/>
    <w:rsid w:val="00742A67"/>
    <w:rsid w:val="007430CA"/>
    <w:rsid w:val="007436A4"/>
    <w:rsid w:val="00743DC3"/>
    <w:rsid w:val="00743F94"/>
    <w:rsid w:val="00744E39"/>
    <w:rsid w:val="007450A7"/>
    <w:rsid w:val="00745692"/>
    <w:rsid w:val="007464FB"/>
    <w:rsid w:val="0074704B"/>
    <w:rsid w:val="00747741"/>
    <w:rsid w:val="00747A9B"/>
    <w:rsid w:val="00747D86"/>
    <w:rsid w:val="007501D2"/>
    <w:rsid w:val="0075064B"/>
    <w:rsid w:val="00750C6B"/>
    <w:rsid w:val="00750DF9"/>
    <w:rsid w:val="00750EB3"/>
    <w:rsid w:val="00751212"/>
    <w:rsid w:val="0075198E"/>
    <w:rsid w:val="00752066"/>
    <w:rsid w:val="00752071"/>
    <w:rsid w:val="007529C8"/>
    <w:rsid w:val="00753B48"/>
    <w:rsid w:val="00753EB2"/>
    <w:rsid w:val="0075428E"/>
    <w:rsid w:val="007542B0"/>
    <w:rsid w:val="00754429"/>
    <w:rsid w:val="00754696"/>
    <w:rsid w:val="00754B16"/>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71"/>
    <w:rsid w:val="00762FDB"/>
    <w:rsid w:val="00763152"/>
    <w:rsid w:val="00763648"/>
    <w:rsid w:val="00763A62"/>
    <w:rsid w:val="007640A5"/>
    <w:rsid w:val="0076489E"/>
    <w:rsid w:val="007648E6"/>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27F1"/>
    <w:rsid w:val="00772CAA"/>
    <w:rsid w:val="00772D55"/>
    <w:rsid w:val="00772EF8"/>
    <w:rsid w:val="007730CC"/>
    <w:rsid w:val="0077322E"/>
    <w:rsid w:val="00773772"/>
    <w:rsid w:val="00774716"/>
    <w:rsid w:val="0077484D"/>
    <w:rsid w:val="00774DE7"/>
    <w:rsid w:val="007752F8"/>
    <w:rsid w:val="007759E0"/>
    <w:rsid w:val="00775AF6"/>
    <w:rsid w:val="00776409"/>
    <w:rsid w:val="007766A4"/>
    <w:rsid w:val="00776784"/>
    <w:rsid w:val="007767C5"/>
    <w:rsid w:val="00776B05"/>
    <w:rsid w:val="007770A7"/>
    <w:rsid w:val="0077785A"/>
    <w:rsid w:val="00777E17"/>
    <w:rsid w:val="00780319"/>
    <w:rsid w:val="007803D0"/>
    <w:rsid w:val="00780ABC"/>
    <w:rsid w:val="00780EBC"/>
    <w:rsid w:val="0078138E"/>
    <w:rsid w:val="007815EB"/>
    <w:rsid w:val="00781659"/>
    <w:rsid w:val="0078251F"/>
    <w:rsid w:val="00783029"/>
    <w:rsid w:val="007830F5"/>
    <w:rsid w:val="007832BD"/>
    <w:rsid w:val="0078359E"/>
    <w:rsid w:val="007837AB"/>
    <w:rsid w:val="007841D6"/>
    <w:rsid w:val="00784A2F"/>
    <w:rsid w:val="00784D35"/>
    <w:rsid w:val="00784E3D"/>
    <w:rsid w:val="007850B5"/>
    <w:rsid w:val="00786292"/>
    <w:rsid w:val="00786515"/>
    <w:rsid w:val="007866E5"/>
    <w:rsid w:val="00786C75"/>
    <w:rsid w:val="00787276"/>
    <w:rsid w:val="0078727E"/>
    <w:rsid w:val="00790251"/>
    <w:rsid w:val="00790C39"/>
    <w:rsid w:val="0079130C"/>
    <w:rsid w:val="007919BA"/>
    <w:rsid w:val="00792348"/>
    <w:rsid w:val="00792849"/>
    <w:rsid w:val="00792BF4"/>
    <w:rsid w:val="00792F8D"/>
    <w:rsid w:val="00793281"/>
    <w:rsid w:val="007950CE"/>
    <w:rsid w:val="007957B6"/>
    <w:rsid w:val="007961AA"/>
    <w:rsid w:val="0079645D"/>
    <w:rsid w:val="00796BDD"/>
    <w:rsid w:val="00796C8D"/>
    <w:rsid w:val="00797250"/>
    <w:rsid w:val="007977B0"/>
    <w:rsid w:val="00797848"/>
    <w:rsid w:val="00797A1F"/>
    <w:rsid w:val="007A0DF3"/>
    <w:rsid w:val="007A10A3"/>
    <w:rsid w:val="007A126F"/>
    <w:rsid w:val="007A12F9"/>
    <w:rsid w:val="007A1642"/>
    <w:rsid w:val="007A2B3E"/>
    <w:rsid w:val="007A3260"/>
    <w:rsid w:val="007A3376"/>
    <w:rsid w:val="007A34B2"/>
    <w:rsid w:val="007A41D4"/>
    <w:rsid w:val="007A4208"/>
    <w:rsid w:val="007A445E"/>
    <w:rsid w:val="007A4EC2"/>
    <w:rsid w:val="007A50B2"/>
    <w:rsid w:val="007A62E3"/>
    <w:rsid w:val="007A6B37"/>
    <w:rsid w:val="007A7191"/>
    <w:rsid w:val="007A7205"/>
    <w:rsid w:val="007A7314"/>
    <w:rsid w:val="007A78EA"/>
    <w:rsid w:val="007B008F"/>
    <w:rsid w:val="007B04F5"/>
    <w:rsid w:val="007B110E"/>
    <w:rsid w:val="007B3315"/>
    <w:rsid w:val="007B3369"/>
    <w:rsid w:val="007B3549"/>
    <w:rsid w:val="007B3621"/>
    <w:rsid w:val="007B442C"/>
    <w:rsid w:val="007B4A82"/>
    <w:rsid w:val="007B523F"/>
    <w:rsid w:val="007B52A7"/>
    <w:rsid w:val="007B6007"/>
    <w:rsid w:val="007B626B"/>
    <w:rsid w:val="007B64AA"/>
    <w:rsid w:val="007B7198"/>
    <w:rsid w:val="007B7302"/>
    <w:rsid w:val="007B7451"/>
    <w:rsid w:val="007B7497"/>
    <w:rsid w:val="007B7D81"/>
    <w:rsid w:val="007B7F69"/>
    <w:rsid w:val="007C1025"/>
    <w:rsid w:val="007C1321"/>
    <w:rsid w:val="007C1790"/>
    <w:rsid w:val="007C18CB"/>
    <w:rsid w:val="007C1FFB"/>
    <w:rsid w:val="007C2392"/>
    <w:rsid w:val="007C24EE"/>
    <w:rsid w:val="007C2A25"/>
    <w:rsid w:val="007C3B8A"/>
    <w:rsid w:val="007C4568"/>
    <w:rsid w:val="007C4657"/>
    <w:rsid w:val="007C5910"/>
    <w:rsid w:val="007C5951"/>
    <w:rsid w:val="007C59F7"/>
    <w:rsid w:val="007C6C83"/>
    <w:rsid w:val="007C6DCF"/>
    <w:rsid w:val="007C6E65"/>
    <w:rsid w:val="007C73AC"/>
    <w:rsid w:val="007C7737"/>
    <w:rsid w:val="007C7BB9"/>
    <w:rsid w:val="007C7C33"/>
    <w:rsid w:val="007C7F1F"/>
    <w:rsid w:val="007D0044"/>
    <w:rsid w:val="007D06F4"/>
    <w:rsid w:val="007D18FE"/>
    <w:rsid w:val="007D2455"/>
    <w:rsid w:val="007D32B4"/>
    <w:rsid w:val="007D3AF7"/>
    <w:rsid w:val="007D434E"/>
    <w:rsid w:val="007D45C8"/>
    <w:rsid w:val="007D4BA8"/>
    <w:rsid w:val="007D4C28"/>
    <w:rsid w:val="007D4DEE"/>
    <w:rsid w:val="007D569F"/>
    <w:rsid w:val="007D59BC"/>
    <w:rsid w:val="007D5B05"/>
    <w:rsid w:val="007D653F"/>
    <w:rsid w:val="007D6F9A"/>
    <w:rsid w:val="007D716C"/>
    <w:rsid w:val="007D79D5"/>
    <w:rsid w:val="007E00E9"/>
    <w:rsid w:val="007E04BF"/>
    <w:rsid w:val="007E0DBB"/>
    <w:rsid w:val="007E0F97"/>
    <w:rsid w:val="007E100E"/>
    <w:rsid w:val="007E127A"/>
    <w:rsid w:val="007E1753"/>
    <w:rsid w:val="007E1904"/>
    <w:rsid w:val="007E1DD6"/>
    <w:rsid w:val="007E1F9F"/>
    <w:rsid w:val="007E2108"/>
    <w:rsid w:val="007E22C2"/>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6AE"/>
    <w:rsid w:val="007E59CA"/>
    <w:rsid w:val="007E66D8"/>
    <w:rsid w:val="007E6A95"/>
    <w:rsid w:val="007E75C0"/>
    <w:rsid w:val="007E786E"/>
    <w:rsid w:val="007F052C"/>
    <w:rsid w:val="007F07F3"/>
    <w:rsid w:val="007F1203"/>
    <w:rsid w:val="007F1230"/>
    <w:rsid w:val="007F178D"/>
    <w:rsid w:val="007F1A1F"/>
    <w:rsid w:val="007F1D41"/>
    <w:rsid w:val="007F1F03"/>
    <w:rsid w:val="007F2625"/>
    <w:rsid w:val="007F2F76"/>
    <w:rsid w:val="007F35DF"/>
    <w:rsid w:val="007F3E5C"/>
    <w:rsid w:val="007F406A"/>
    <w:rsid w:val="007F45BC"/>
    <w:rsid w:val="007F5114"/>
    <w:rsid w:val="007F54B2"/>
    <w:rsid w:val="007F54DE"/>
    <w:rsid w:val="007F59DB"/>
    <w:rsid w:val="007F65F9"/>
    <w:rsid w:val="007F65FF"/>
    <w:rsid w:val="007F68B7"/>
    <w:rsid w:val="007F6C61"/>
    <w:rsid w:val="007F78D5"/>
    <w:rsid w:val="007F7902"/>
    <w:rsid w:val="007F7CD3"/>
    <w:rsid w:val="0080016B"/>
    <w:rsid w:val="00801265"/>
    <w:rsid w:val="00801843"/>
    <w:rsid w:val="00801A73"/>
    <w:rsid w:val="008024AE"/>
    <w:rsid w:val="00802E04"/>
    <w:rsid w:val="0080396D"/>
    <w:rsid w:val="00803CEE"/>
    <w:rsid w:val="00803F6D"/>
    <w:rsid w:val="00803F9C"/>
    <w:rsid w:val="00804350"/>
    <w:rsid w:val="0080444A"/>
    <w:rsid w:val="008045CF"/>
    <w:rsid w:val="008045ED"/>
    <w:rsid w:val="00805103"/>
    <w:rsid w:val="00805E97"/>
    <w:rsid w:val="00805FD3"/>
    <w:rsid w:val="00806131"/>
    <w:rsid w:val="008069A6"/>
    <w:rsid w:val="00806CC1"/>
    <w:rsid w:val="00807560"/>
    <w:rsid w:val="00810546"/>
    <w:rsid w:val="00810653"/>
    <w:rsid w:val="00810935"/>
    <w:rsid w:val="00810D7B"/>
    <w:rsid w:val="00810DC0"/>
    <w:rsid w:val="00810E3C"/>
    <w:rsid w:val="00811441"/>
    <w:rsid w:val="00812597"/>
    <w:rsid w:val="00812786"/>
    <w:rsid w:val="008128C4"/>
    <w:rsid w:val="00813038"/>
    <w:rsid w:val="008138E4"/>
    <w:rsid w:val="00813BBB"/>
    <w:rsid w:val="00815198"/>
    <w:rsid w:val="00815CEC"/>
    <w:rsid w:val="008168A5"/>
    <w:rsid w:val="00816D7C"/>
    <w:rsid w:val="00817036"/>
    <w:rsid w:val="008170E9"/>
    <w:rsid w:val="00817314"/>
    <w:rsid w:val="00817AEB"/>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B89"/>
    <w:rsid w:val="0082235A"/>
    <w:rsid w:val="00822B95"/>
    <w:rsid w:val="00822EDB"/>
    <w:rsid w:val="008234DD"/>
    <w:rsid w:val="00823976"/>
    <w:rsid w:val="00823B36"/>
    <w:rsid w:val="00823C82"/>
    <w:rsid w:val="00823E43"/>
    <w:rsid w:val="00823F07"/>
    <w:rsid w:val="008241D8"/>
    <w:rsid w:val="008242AC"/>
    <w:rsid w:val="0082454A"/>
    <w:rsid w:val="0082661D"/>
    <w:rsid w:val="00830151"/>
    <w:rsid w:val="0083023D"/>
    <w:rsid w:val="00830423"/>
    <w:rsid w:val="008306CF"/>
    <w:rsid w:val="0083082F"/>
    <w:rsid w:val="00830D15"/>
    <w:rsid w:val="008314D1"/>
    <w:rsid w:val="0083168F"/>
    <w:rsid w:val="00831EED"/>
    <w:rsid w:val="00832056"/>
    <w:rsid w:val="008326E7"/>
    <w:rsid w:val="008328E3"/>
    <w:rsid w:val="00834161"/>
    <w:rsid w:val="00834BCD"/>
    <w:rsid w:val="00834FB3"/>
    <w:rsid w:val="00835288"/>
    <w:rsid w:val="008354B6"/>
    <w:rsid w:val="00835CC8"/>
    <w:rsid w:val="00835DBD"/>
    <w:rsid w:val="0083601A"/>
    <w:rsid w:val="00836054"/>
    <w:rsid w:val="008360FD"/>
    <w:rsid w:val="00836272"/>
    <w:rsid w:val="00836D0F"/>
    <w:rsid w:val="008374FC"/>
    <w:rsid w:val="00837BEB"/>
    <w:rsid w:val="00840198"/>
    <w:rsid w:val="00840441"/>
    <w:rsid w:val="008405E0"/>
    <w:rsid w:val="00840BC5"/>
    <w:rsid w:val="00840C3C"/>
    <w:rsid w:val="00840F7F"/>
    <w:rsid w:val="00841150"/>
    <w:rsid w:val="0084199D"/>
    <w:rsid w:val="00841D85"/>
    <w:rsid w:val="00842771"/>
    <w:rsid w:val="00842B7D"/>
    <w:rsid w:val="00842ECE"/>
    <w:rsid w:val="00843CBA"/>
    <w:rsid w:val="00843EAC"/>
    <w:rsid w:val="008442D2"/>
    <w:rsid w:val="00844697"/>
    <w:rsid w:val="00844985"/>
    <w:rsid w:val="00844A9F"/>
    <w:rsid w:val="00844E9A"/>
    <w:rsid w:val="00845606"/>
    <w:rsid w:val="0084568A"/>
    <w:rsid w:val="00845BDB"/>
    <w:rsid w:val="008461C8"/>
    <w:rsid w:val="008469B1"/>
    <w:rsid w:val="00846A1C"/>
    <w:rsid w:val="00846F2F"/>
    <w:rsid w:val="00847E54"/>
    <w:rsid w:val="00850A7B"/>
    <w:rsid w:val="00850E23"/>
    <w:rsid w:val="00850FB1"/>
    <w:rsid w:val="00851388"/>
    <w:rsid w:val="008519BC"/>
    <w:rsid w:val="00851BF8"/>
    <w:rsid w:val="00852345"/>
    <w:rsid w:val="00852638"/>
    <w:rsid w:val="00852D5C"/>
    <w:rsid w:val="00852F05"/>
    <w:rsid w:val="00853090"/>
    <w:rsid w:val="00853329"/>
    <w:rsid w:val="00853509"/>
    <w:rsid w:val="00853AF2"/>
    <w:rsid w:val="00853B02"/>
    <w:rsid w:val="00853BC8"/>
    <w:rsid w:val="0085437C"/>
    <w:rsid w:val="00854CCB"/>
    <w:rsid w:val="0085580B"/>
    <w:rsid w:val="00855C1C"/>
    <w:rsid w:val="00856043"/>
    <w:rsid w:val="008562F6"/>
    <w:rsid w:val="00856595"/>
    <w:rsid w:val="00856D8A"/>
    <w:rsid w:val="00856FC6"/>
    <w:rsid w:val="0085756E"/>
    <w:rsid w:val="008575D8"/>
    <w:rsid w:val="00860156"/>
    <w:rsid w:val="00860F01"/>
    <w:rsid w:val="00860F36"/>
    <w:rsid w:val="008612A8"/>
    <w:rsid w:val="008625C0"/>
    <w:rsid w:val="00862B00"/>
    <w:rsid w:val="00863FA2"/>
    <w:rsid w:val="00864133"/>
    <w:rsid w:val="00864BAC"/>
    <w:rsid w:val="00865223"/>
    <w:rsid w:val="00865250"/>
    <w:rsid w:val="00865264"/>
    <w:rsid w:val="0086592B"/>
    <w:rsid w:val="00866142"/>
    <w:rsid w:val="00866972"/>
    <w:rsid w:val="00867198"/>
    <w:rsid w:val="0086751D"/>
    <w:rsid w:val="00867903"/>
    <w:rsid w:val="00867EE1"/>
    <w:rsid w:val="00870084"/>
    <w:rsid w:val="00870638"/>
    <w:rsid w:val="00870888"/>
    <w:rsid w:val="00870FA2"/>
    <w:rsid w:val="00871528"/>
    <w:rsid w:val="008715A1"/>
    <w:rsid w:val="0087193A"/>
    <w:rsid w:val="00871B9F"/>
    <w:rsid w:val="00871CA8"/>
    <w:rsid w:val="008722DD"/>
    <w:rsid w:val="00872D49"/>
    <w:rsid w:val="008734C1"/>
    <w:rsid w:val="00874500"/>
    <w:rsid w:val="0087488B"/>
    <w:rsid w:val="00874A2B"/>
    <w:rsid w:val="00874B1E"/>
    <w:rsid w:val="00874BAA"/>
    <w:rsid w:val="00875CB8"/>
    <w:rsid w:val="00876987"/>
    <w:rsid w:val="008777AC"/>
    <w:rsid w:val="00877A4E"/>
    <w:rsid w:val="00880721"/>
    <w:rsid w:val="00880CE6"/>
    <w:rsid w:val="008811AC"/>
    <w:rsid w:val="00881978"/>
    <w:rsid w:val="00881C12"/>
    <w:rsid w:val="00881DA0"/>
    <w:rsid w:val="008828B3"/>
    <w:rsid w:val="00882DCD"/>
    <w:rsid w:val="00883399"/>
    <w:rsid w:val="0088368D"/>
    <w:rsid w:val="00883A3D"/>
    <w:rsid w:val="00883A43"/>
    <w:rsid w:val="00884394"/>
    <w:rsid w:val="0088475C"/>
    <w:rsid w:val="00884DE1"/>
    <w:rsid w:val="00885C38"/>
    <w:rsid w:val="00886D08"/>
    <w:rsid w:val="00887157"/>
    <w:rsid w:val="00887FDF"/>
    <w:rsid w:val="00891B29"/>
    <w:rsid w:val="0089296D"/>
    <w:rsid w:val="008930F0"/>
    <w:rsid w:val="00893D2C"/>
    <w:rsid w:val="00893F6D"/>
    <w:rsid w:val="008947AD"/>
    <w:rsid w:val="00895BF3"/>
    <w:rsid w:val="008967D5"/>
    <w:rsid w:val="00896D37"/>
    <w:rsid w:val="008971B1"/>
    <w:rsid w:val="00897432"/>
    <w:rsid w:val="00897E53"/>
    <w:rsid w:val="008A0A31"/>
    <w:rsid w:val="008A0DA6"/>
    <w:rsid w:val="008A1600"/>
    <w:rsid w:val="008A1EBC"/>
    <w:rsid w:val="008A1FA2"/>
    <w:rsid w:val="008A2E6F"/>
    <w:rsid w:val="008A3859"/>
    <w:rsid w:val="008A40CE"/>
    <w:rsid w:val="008A443A"/>
    <w:rsid w:val="008A4C9D"/>
    <w:rsid w:val="008A4FD2"/>
    <w:rsid w:val="008A50AB"/>
    <w:rsid w:val="008A5701"/>
    <w:rsid w:val="008A5DC0"/>
    <w:rsid w:val="008A680B"/>
    <w:rsid w:val="008A68CE"/>
    <w:rsid w:val="008A7090"/>
    <w:rsid w:val="008B041F"/>
    <w:rsid w:val="008B0629"/>
    <w:rsid w:val="008B07BC"/>
    <w:rsid w:val="008B1242"/>
    <w:rsid w:val="008B165E"/>
    <w:rsid w:val="008B19FD"/>
    <w:rsid w:val="008B21AD"/>
    <w:rsid w:val="008B2795"/>
    <w:rsid w:val="008B2B3C"/>
    <w:rsid w:val="008B327D"/>
    <w:rsid w:val="008B3C26"/>
    <w:rsid w:val="008B4705"/>
    <w:rsid w:val="008B4957"/>
    <w:rsid w:val="008B5D4B"/>
    <w:rsid w:val="008B6A86"/>
    <w:rsid w:val="008B70EF"/>
    <w:rsid w:val="008B7125"/>
    <w:rsid w:val="008C01D1"/>
    <w:rsid w:val="008C022C"/>
    <w:rsid w:val="008C0A2D"/>
    <w:rsid w:val="008C0F0C"/>
    <w:rsid w:val="008C248C"/>
    <w:rsid w:val="008C298A"/>
    <w:rsid w:val="008C30EB"/>
    <w:rsid w:val="008C326F"/>
    <w:rsid w:val="008C34B2"/>
    <w:rsid w:val="008C3788"/>
    <w:rsid w:val="008C3C39"/>
    <w:rsid w:val="008C48B0"/>
    <w:rsid w:val="008C50E6"/>
    <w:rsid w:val="008C541E"/>
    <w:rsid w:val="008C57A8"/>
    <w:rsid w:val="008C635B"/>
    <w:rsid w:val="008C6976"/>
    <w:rsid w:val="008C6B7D"/>
    <w:rsid w:val="008C7074"/>
    <w:rsid w:val="008C73F7"/>
    <w:rsid w:val="008C750D"/>
    <w:rsid w:val="008C7604"/>
    <w:rsid w:val="008D006B"/>
    <w:rsid w:val="008D0DFE"/>
    <w:rsid w:val="008D1038"/>
    <w:rsid w:val="008D1112"/>
    <w:rsid w:val="008D14BB"/>
    <w:rsid w:val="008D176B"/>
    <w:rsid w:val="008D196A"/>
    <w:rsid w:val="008D1A01"/>
    <w:rsid w:val="008D1F29"/>
    <w:rsid w:val="008D2835"/>
    <w:rsid w:val="008D3DDA"/>
    <w:rsid w:val="008D3FF4"/>
    <w:rsid w:val="008D4678"/>
    <w:rsid w:val="008D4831"/>
    <w:rsid w:val="008D48C6"/>
    <w:rsid w:val="008D53C2"/>
    <w:rsid w:val="008D53D8"/>
    <w:rsid w:val="008D5C9C"/>
    <w:rsid w:val="008D60BA"/>
    <w:rsid w:val="008D653F"/>
    <w:rsid w:val="008D67E9"/>
    <w:rsid w:val="008D73C3"/>
    <w:rsid w:val="008D73D2"/>
    <w:rsid w:val="008D78AA"/>
    <w:rsid w:val="008E09C3"/>
    <w:rsid w:val="008E0ACA"/>
    <w:rsid w:val="008E1192"/>
    <w:rsid w:val="008E13BD"/>
    <w:rsid w:val="008E182C"/>
    <w:rsid w:val="008E1C6A"/>
    <w:rsid w:val="008E20FF"/>
    <w:rsid w:val="008E272A"/>
    <w:rsid w:val="008E3521"/>
    <w:rsid w:val="008E3A2F"/>
    <w:rsid w:val="008E3AED"/>
    <w:rsid w:val="008E3C48"/>
    <w:rsid w:val="008E3DEE"/>
    <w:rsid w:val="008E4C75"/>
    <w:rsid w:val="008E513C"/>
    <w:rsid w:val="008E56F4"/>
    <w:rsid w:val="008E69DA"/>
    <w:rsid w:val="008E7038"/>
    <w:rsid w:val="008E72DC"/>
    <w:rsid w:val="008E75BF"/>
    <w:rsid w:val="008F0837"/>
    <w:rsid w:val="008F0D04"/>
    <w:rsid w:val="008F0DD5"/>
    <w:rsid w:val="008F1113"/>
    <w:rsid w:val="008F1134"/>
    <w:rsid w:val="008F1581"/>
    <w:rsid w:val="008F15D8"/>
    <w:rsid w:val="008F160D"/>
    <w:rsid w:val="008F1B20"/>
    <w:rsid w:val="008F1D9B"/>
    <w:rsid w:val="008F1EA8"/>
    <w:rsid w:val="008F1EB5"/>
    <w:rsid w:val="008F209F"/>
    <w:rsid w:val="008F21BA"/>
    <w:rsid w:val="008F2B13"/>
    <w:rsid w:val="008F2C55"/>
    <w:rsid w:val="008F3684"/>
    <w:rsid w:val="008F3E98"/>
    <w:rsid w:val="008F4D07"/>
    <w:rsid w:val="008F4F70"/>
    <w:rsid w:val="008F51BB"/>
    <w:rsid w:val="008F57F6"/>
    <w:rsid w:val="008F5D76"/>
    <w:rsid w:val="008F5E15"/>
    <w:rsid w:val="008F62EF"/>
    <w:rsid w:val="008F6AA6"/>
    <w:rsid w:val="008F6D8B"/>
    <w:rsid w:val="008F6F6F"/>
    <w:rsid w:val="008F7938"/>
    <w:rsid w:val="008F7B9C"/>
    <w:rsid w:val="009006AA"/>
    <w:rsid w:val="009012FB"/>
    <w:rsid w:val="009020AD"/>
    <w:rsid w:val="009020C8"/>
    <w:rsid w:val="0090215C"/>
    <w:rsid w:val="00903093"/>
    <w:rsid w:val="0090310A"/>
    <w:rsid w:val="009039C4"/>
    <w:rsid w:val="00903E34"/>
    <w:rsid w:val="0090512C"/>
    <w:rsid w:val="009051FB"/>
    <w:rsid w:val="0090557C"/>
    <w:rsid w:val="0090562D"/>
    <w:rsid w:val="00905B1C"/>
    <w:rsid w:val="00905E17"/>
    <w:rsid w:val="0090633F"/>
    <w:rsid w:val="0090641A"/>
    <w:rsid w:val="0090737E"/>
    <w:rsid w:val="00907E49"/>
    <w:rsid w:val="009108E1"/>
    <w:rsid w:val="00910E84"/>
    <w:rsid w:val="00911411"/>
    <w:rsid w:val="00911B8C"/>
    <w:rsid w:val="00911DA0"/>
    <w:rsid w:val="0091226D"/>
    <w:rsid w:val="00913197"/>
    <w:rsid w:val="0091353B"/>
    <w:rsid w:val="0091366D"/>
    <w:rsid w:val="00913C26"/>
    <w:rsid w:val="00914399"/>
    <w:rsid w:val="009144A5"/>
    <w:rsid w:val="009145A3"/>
    <w:rsid w:val="00914E08"/>
    <w:rsid w:val="0091562C"/>
    <w:rsid w:val="00915C6E"/>
    <w:rsid w:val="009160C9"/>
    <w:rsid w:val="0091667E"/>
    <w:rsid w:val="009167E2"/>
    <w:rsid w:val="0091680A"/>
    <w:rsid w:val="00916F6B"/>
    <w:rsid w:val="00917990"/>
    <w:rsid w:val="00917A63"/>
    <w:rsid w:val="00917BC5"/>
    <w:rsid w:val="00921262"/>
    <w:rsid w:val="00921588"/>
    <w:rsid w:val="009223FB"/>
    <w:rsid w:val="00922902"/>
    <w:rsid w:val="00922FE6"/>
    <w:rsid w:val="009231A5"/>
    <w:rsid w:val="00923559"/>
    <w:rsid w:val="009236A4"/>
    <w:rsid w:val="009240F6"/>
    <w:rsid w:val="0092429A"/>
    <w:rsid w:val="00924745"/>
    <w:rsid w:val="00924C97"/>
    <w:rsid w:val="0092503F"/>
    <w:rsid w:val="00925C80"/>
    <w:rsid w:val="00925E60"/>
    <w:rsid w:val="00926944"/>
    <w:rsid w:val="009269F4"/>
    <w:rsid w:val="00927292"/>
    <w:rsid w:val="009272C0"/>
    <w:rsid w:val="00927717"/>
    <w:rsid w:val="00927E90"/>
    <w:rsid w:val="00927EF1"/>
    <w:rsid w:val="0093004F"/>
    <w:rsid w:val="0093040B"/>
    <w:rsid w:val="00930DB4"/>
    <w:rsid w:val="00930E6C"/>
    <w:rsid w:val="00931682"/>
    <w:rsid w:val="0093211F"/>
    <w:rsid w:val="00932186"/>
    <w:rsid w:val="00932464"/>
    <w:rsid w:val="009325A8"/>
    <w:rsid w:val="0093296D"/>
    <w:rsid w:val="00933BBE"/>
    <w:rsid w:val="00934030"/>
    <w:rsid w:val="009343A4"/>
    <w:rsid w:val="009344DC"/>
    <w:rsid w:val="00934F91"/>
    <w:rsid w:val="00935767"/>
    <w:rsid w:val="00935852"/>
    <w:rsid w:val="0093657A"/>
    <w:rsid w:val="009366D4"/>
    <w:rsid w:val="009367C4"/>
    <w:rsid w:val="00936CD8"/>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40AF"/>
    <w:rsid w:val="00944627"/>
    <w:rsid w:val="00944890"/>
    <w:rsid w:val="009448F8"/>
    <w:rsid w:val="00944B8F"/>
    <w:rsid w:val="0094633A"/>
    <w:rsid w:val="009463C3"/>
    <w:rsid w:val="00946883"/>
    <w:rsid w:val="009475B1"/>
    <w:rsid w:val="00947D06"/>
    <w:rsid w:val="009501B4"/>
    <w:rsid w:val="009507B3"/>
    <w:rsid w:val="0095090A"/>
    <w:rsid w:val="00950CAC"/>
    <w:rsid w:val="00951176"/>
    <w:rsid w:val="00951C14"/>
    <w:rsid w:val="00951D98"/>
    <w:rsid w:val="00951E83"/>
    <w:rsid w:val="0095270C"/>
    <w:rsid w:val="00952D62"/>
    <w:rsid w:val="00953AB5"/>
    <w:rsid w:val="00953E5F"/>
    <w:rsid w:val="009544DF"/>
    <w:rsid w:val="00954BBF"/>
    <w:rsid w:val="00954CE2"/>
    <w:rsid w:val="009556AA"/>
    <w:rsid w:val="009557EA"/>
    <w:rsid w:val="00955A05"/>
    <w:rsid w:val="00955C91"/>
    <w:rsid w:val="00955DC8"/>
    <w:rsid w:val="00955F7B"/>
    <w:rsid w:val="009567AC"/>
    <w:rsid w:val="00956CC1"/>
    <w:rsid w:val="00956E59"/>
    <w:rsid w:val="0096006A"/>
    <w:rsid w:val="009606FD"/>
    <w:rsid w:val="00960E05"/>
    <w:rsid w:val="00961073"/>
    <w:rsid w:val="009619E6"/>
    <w:rsid w:val="00961C92"/>
    <w:rsid w:val="00961D25"/>
    <w:rsid w:val="00962004"/>
    <w:rsid w:val="00962749"/>
    <w:rsid w:val="0096283A"/>
    <w:rsid w:val="00962D3D"/>
    <w:rsid w:val="00962F63"/>
    <w:rsid w:val="00962FD6"/>
    <w:rsid w:val="009635FF"/>
    <w:rsid w:val="00963799"/>
    <w:rsid w:val="00963E5A"/>
    <w:rsid w:val="009645CF"/>
    <w:rsid w:val="009660E5"/>
    <w:rsid w:val="0096612D"/>
    <w:rsid w:val="009661FC"/>
    <w:rsid w:val="0096631B"/>
    <w:rsid w:val="00966977"/>
    <w:rsid w:val="009672EC"/>
    <w:rsid w:val="00967BB9"/>
    <w:rsid w:val="00967E84"/>
    <w:rsid w:val="00970EB8"/>
    <w:rsid w:val="00970FB3"/>
    <w:rsid w:val="00971228"/>
    <w:rsid w:val="00971857"/>
    <w:rsid w:val="00971C40"/>
    <w:rsid w:val="0097264F"/>
    <w:rsid w:val="009727C2"/>
    <w:rsid w:val="00973445"/>
    <w:rsid w:val="00973733"/>
    <w:rsid w:val="0097384D"/>
    <w:rsid w:val="009749AD"/>
    <w:rsid w:val="009750CE"/>
    <w:rsid w:val="00975816"/>
    <w:rsid w:val="00975E09"/>
    <w:rsid w:val="00976910"/>
    <w:rsid w:val="00976DCD"/>
    <w:rsid w:val="009772CA"/>
    <w:rsid w:val="009772D1"/>
    <w:rsid w:val="009810FB"/>
    <w:rsid w:val="009814F8"/>
    <w:rsid w:val="00982E94"/>
    <w:rsid w:val="0098306A"/>
    <w:rsid w:val="00983265"/>
    <w:rsid w:val="00983505"/>
    <w:rsid w:val="0098490F"/>
    <w:rsid w:val="0098552E"/>
    <w:rsid w:val="00985622"/>
    <w:rsid w:val="00986786"/>
    <w:rsid w:val="00986D0F"/>
    <w:rsid w:val="00986FE2"/>
    <w:rsid w:val="009875A2"/>
    <w:rsid w:val="00987A25"/>
    <w:rsid w:val="00987A4B"/>
    <w:rsid w:val="00987AE4"/>
    <w:rsid w:val="00987CE4"/>
    <w:rsid w:val="00987D06"/>
    <w:rsid w:val="00987F6E"/>
    <w:rsid w:val="00990210"/>
    <w:rsid w:val="00990212"/>
    <w:rsid w:val="00990A2E"/>
    <w:rsid w:val="00990D38"/>
    <w:rsid w:val="00991234"/>
    <w:rsid w:val="00991AB2"/>
    <w:rsid w:val="00991CB3"/>
    <w:rsid w:val="0099209A"/>
    <w:rsid w:val="009926DE"/>
    <w:rsid w:val="00992FD7"/>
    <w:rsid w:val="0099311B"/>
    <w:rsid w:val="009931B5"/>
    <w:rsid w:val="0099382C"/>
    <w:rsid w:val="00994293"/>
    <w:rsid w:val="009947C7"/>
    <w:rsid w:val="00994F58"/>
    <w:rsid w:val="009955F2"/>
    <w:rsid w:val="00995EA7"/>
    <w:rsid w:val="00996230"/>
    <w:rsid w:val="00996BA8"/>
    <w:rsid w:val="00996FC9"/>
    <w:rsid w:val="00997295"/>
    <w:rsid w:val="009973BB"/>
    <w:rsid w:val="009975EC"/>
    <w:rsid w:val="00997A43"/>
    <w:rsid w:val="00997C45"/>
    <w:rsid w:val="009A03A7"/>
    <w:rsid w:val="009A044E"/>
    <w:rsid w:val="009A067C"/>
    <w:rsid w:val="009A1227"/>
    <w:rsid w:val="009A1307"/>
    <w:rsid w:val="009A158A"/>
    <w:rsid w:val="009A2220"/>
    <w:rsid w:val="009A2AD3"/>
    <w:rsid w:val="009A2D3C"/>
    <w:rsid w:val="009A38EA"/>
    <w:rsid w:val="009A3E8B"/>
    <w:rsid w:val="009A3FA1"/>
    <w:rsid w:val="009A4373"/>
    <w:rsid w:val="009A4971"/>
    <w:rsid w:val="009A4AC9"/>
    <w:rsid w:val="009A50B6"/>
    <w:rsid w:val="009A52F8"/>
    <w:rsid w:val="009A5BBF"/>
    <w:rsid w:val="009A5BCC"/>
    <w:rsid w:val="009A5D58"/>
    <w:rsid w:val="009A5E4F"/>
    <w:rsid w:val="009A6453"/>
    <w:rsid w:val="009A7350"/>
    <w:rsid w:val="009A76FE"/>
    <w:rsid w:val="009A7BBC"/>
    <w:rsid w:val="009B0036"/>
    <w:rsid w:val="009B051D"/>
    <w:rsid w:val="009B0738"/>
    <w:rsid w:val="009B08E4"/>
    <w:rsid w:val="009B0977"/>
    <w:rsid w:val="009B09EA"/>
    <w:rsid w:val="009B15F6"/>
    <w:rsid w:val="009B1713"/>
    <w:rsid w:val="009B1721"/>
    <w:rsid w:val="009B1E96"/>
    <w:rsid w:val="009B23DC"/>
    <w:rsid w:val="009B27F7"/>
    <w:rsid w:val="009B2E77"/>
    <w:rsid w:val="009B3383"/>
    <w:rsid w:val="009B3F96"/>
    <w:rsid w:val="009B45A3"/>
    <w:rsid w:val="009B46C0"/>
    <w:rsid w:val="009B479F"/>
    <w:rsid w:val="009B4DFD"/>
    <w:rsid w:val="009B50FB"/>
    <w:rsid w:val="009B536C"/>
    <w:rsid w:val="009B62F2"/>
    <w:rsid w:val="009B6D9A"/>
    <w:rsid w:val="009B753E"/>
    <w:rsid w:val="009B78BC"/>
    <w:rsid w:val="009C0765"/>
    <w:rsid w:val="009C0F63"/>
    <w:rsid w:val="009C114E"/>
    <w:rsid w:val="009C12E9"/>
    <w:rsid w:val="009C2054"/>
    <w:rsid w:val="009C24EB"/>
    <w:rsid w:val="009C2594"/>
    <w:rsid w:val="009C2A6B"/>
    <w:rsid w:val="009C2C3F"/>
    <w:rsid w:val="009C2DE0"/>
    <w:rsid w:val="009C2E5A"/>
    <w:rsid w:val="009C30A3"/>
    <w:rsid w:val="009C318D"/>
    <w:rsid w:val="009C341D"/>
    <w:rsid w:val="009C3B6A"/>
    <w:rsid w:val="009C3FD0"/>
    <w:rsid w:val="009C547C"/>
    <w:rsid w:val="009C5806"/>
    <w:rsid w:val="009C5F2F"/>
    <w:rsid w:val="009C6341"/>
    <w:rsid w:val="009C653D"/>
    <w:rsid w:val="009C68D1"/>
    <w:rsid w:val="009C6A9E"/>
    <w:rsid w:val="009C6C06"/>
    <w:rsid w:val="009C721E"/>
    <w:rsid w:val="009C7B7E"/>
    <w:rsid w:val="009C7E43"/>
    <w:rsid w:val="009D06E2"/>
    <w:rsid w:val="009D0ADA"/>
    <w:rsid w:val="009D0CF2"/>
    <w:rsid w:val="009D1292"/>
    <w:rsid w:val="009D1F8D"/>
    <w:rsid w:val="009D1FAB"/>
    <w:rsid w:val="009D2787"/>
    <w:rsid w:val="009D2C24"/>
    <w:rsid w:val="009D3E39"/>
    <w:rsid w:val="009D4399"/>
    <w:rsid w:val="009D444A"/>
    <w:rsid w:val="009D464E"/>
    <w:rsid w:val="009D4E74"/>
    <w:rsid w:val="009D4F20"/>
    <w:rsid w:val="009D4F9E"/>
    <w:rsid w:val="009D56E3"/>
    <w:rsid w:val="009D5B81"/>
    <w:rsid w:val="009D62F2"/>
    <w:rsid w:val="009D7B2B"/>
    <w:rsid w:val="009E0201"/>
    <w:rsid w:val="009E05D6"/>
    <w:rsid w:val="009E0DD4"/>
    <w:rsid w:val="009E13D7"/>
    <w:rsid w:val="009E1E3D"/>
    <w:rsid w:val="009E202C"/>
    <w:rsid w:val="009E28B9"/>
    <w:rsid w:val="009E2E3B"/>
    <w:rsid w:val="009E3980"/>
    <w:rsid w:val="009E3B55"/>
    <w:rsid w:val="009E43F8"/>
    <w:rsid w:val="009E4599"/>
    <w:rsid w:val="009E469A"/>
    <w:rsid w:val="009E5682"/>
    <w:rsid w:val="009E5806"/>
    <w:rsid w:val="009E6012"/>
    <w:rsid w:val="009E6B24"/>
    <w:rsid w:val="009E7B1F"/>
    <w:rsid w:val="009E7C7C"/>
    <w:rsid w:val="009E7EDD"/>
    <w:rsid w:val="009F0907"/>
    <w:rsid w:val="009F0AA2"/>
    <w:rsid w:val="009F1097"/>
    <w:rsid w:val="009F1983"/>
    <w:rsid w:val="009F1F41"/>
    <w:rsid w:val="009F23BD"/>
    <w:rsid w:val="009F24FC"/>
    <w:rsid w:val="009F28DA"/>
    <w:rsid w:val="009F2913"/>
    <w:rsid w:val="009F38CE"/>
    <w:rsid w:val="009F3C50"/>
    <w:rsid w:val="009F3FDB"/>
    <w:rsid w:val="009F425D"/>
    <w:rsid w:val="009F42B3"/>
    <w:rsid w:val="009F48AA"/>
    <w:rsid w:val="009F4E34"/>
    <w:rsid w:val="009F532D"/>
    <w:rsid w:val="009F583B"/>
    <w:rsid w:val="009F5ABB"/>
    <w:rsid w:val="009F6253"/>
    <w:rsid w:val="009F6ACC"/>
    <w:rsid w:val="009F6B67"/>
    <w:rsid w:val="009F7087"/>
    <w:rsid w:val="009F7DA5"/>
    <w:rsid w:val="009F7F00"/>
    <w:rsid w:val="00A00672"/>
    <w:rsid w:val="00A00F9E"/>
    <w:rsid w:val="00A012DB"/>
    <w:rsid w:val="00A01594"/>
    <w:rsid w:val="00A01A2C"/>
    <w:rsid w:val="00A01B11"/>
    <w:rsid w:val="00A0283A"/>
    <w:rsid w:val="00A02887"/>
    <w:rsid w:val="00A02FCC"/>
    <w:rsid w:val="00A03F4D"/>
    <w:rsid w:val="00A04318"/>
    <w:rsid w:val="00A0457F"/>
    <w:rsid w:val="00A04927"/>
    <w:rsid w:val="00A0497C"/>
    <w:rsid w:val="00A04BBC"/>
    <w:rsid w:val="00A04BE9"/>
    <w:rsid w:val="00A04F4B"/>
    <w:rsid w:val="00A04FFB"/>
    <w:rsid w:val="00A0585A"/>
    <w:rsid w:val="00A0695D"/>
    <w:rsid w:val="00A06E12"/>
    <w:rsid w:val="00A10AC7"/>
    <w:rsid w:val="00A10DA5"/>
    <w:rsid w:val="00A11319"/>
    <w:rsid w:val="00A11A60"/>
    <w:rsid w:val="00A1248A"/>
    <w:rsid w:val="00A12A2D"/>
    <w:rsid w:val="00A13915"/>
    <w:rsid w:val="00A13C4E"/>
    <w:rsid w:val="00A13F87"/>
    <w:rsid w:val="00A14560"/>
    <w:rsid w:val="00A14628"/>
    <w:rsid w:val="00A14D7C"/>
    <w:rsid w:val="00A14E53"/>
    <w:rsid w:val="00A15418"/>
    <w:rsid w:val="00A16B7B"/>
    <w:rsid w:val="00A178E7"/>
    <w:rsid w:val="00A178FD"/>
    <w:rsid w:val="00A17F7B"/>
    <w:rsid w:val="00A20195"/>
    <w:rsid w:val="00A2025F"/>
    <w:rsid w:val="00A20303"/>
    <w:rsid w:val="00A2032E"/>
    <w:rsid w:val="00A20829"/>
    <w:rsid w:val="00A20C72"/>
    <w:rsid w:val="00A225C6"/>
    <w:rsid w:val="00A23F13"/>
    <w:rsid w:val="00A240BF"/>
    <w:rsid w:val="00A242E1"/>
    <w:rsid w:val="00A24643"/>
    <w:rsid w:val="00A249A0"/>
    <w:rsid w:val="00A249F7"/>
    <w:rsid w:val="00A24B24"/>
    <w:rsid w:val="00A24B51"/>
    <w:rsid w:val="00A24C80"/>
    <w:rsid w:val="00A24E4F"/>
    <w:rsid w:val="00A252C3"/>
    <w:rsid w:val="00A26FE8"/>
    <w:rsid w:val="00A2728D"/>
    <w:rsid w:val="00A3027C"/>
    <w:rsid w:val="00A30A76"/>
    <w:rsid w:val="00A30E02"/>
    <w:rsid w:val="00A30EB9"/>
    <w:rsid w:val="00A31367"/>
    <w:rsid w:val="00A32CAE"/>
    <w:rsid w:val="00A3371D"/>
    <w:rsid w:val="00A33C2B"/>
    <w:rsid w:val="00A341C0"/>
    <w:rsid w:val="00A348D3"/>
    <w:rsid w:val="00A3523E"/>
    <w:rsid w:val="00A352BC"/>
    <w:rsid w:val="00A3673A"/>
    <w:rsid w:val="00A3707D"/>
    <w:rsid w:val="00A37822"/>
    <w:rsid w:val="00A37C8C"/>
    <w:rsid w:val="00A37DB5"/>
    <w:rsid w:val="00A37E59"/>
    <w:rsid w:val="00A37FEC"/>
    <w:rsid w:val="00A40757"/>
    <w:rsid w:val="00A4079A"/>
    <w:rsid w:val="00A40A62"/>
    <w:rsid w:val="00A40BF6"/>
    <w:rsid w:val="00A40C5B"/>
    <w:rsid w:val="00A40D9E"/>
    <w:rsid w:val="00A40E17"/>
    <w:rsid w:val="00A412B4"/>
    <w:rsid w:val="00A415A9"/>
    <w:rsid w:val="00A41767"/>
    <w:rsid w:val="00A42538"/>
    <w:rsid w:val="00A42AAE"/>
    <w:rsid w:val="00A43680"/>
    <w:rsid w:val="00A43CB2"/>
    <w:rsid w:val="00A44286"/>
    <w:rsid w:val="00A4460E"/>
    <w:rsid w:val="00A446ED"/>
    <w:rsid w:val="00A44794"/>
    <w:rsid w:val="00A44E0A"/>
    <w:rsid w:val="00A44F16"/>
    <w:rsid w:val="00A4514A"/>
    <w:rsid w:val="00A4544B"/>
    <w:rsid w:val="00A45793"/>
    <w:rsid w:val="00A45AAA"/>
    <w:rsid w:val="00A4612A"/>
    <w:rsid w:val="00A461A9"/>
    <w:rsid w:val="00A463B8"/>
    <w:rsid w:val="00A46541"/>
    <w:rsid w:val="00A473A0"/>
    <w:rsid w:val="00A47613"/>
    <w:rsid w:val="00A50017"/>
    <w:rsid w:val="00A5097F"/>
    <w:rsid w:val="00A50A2F"/>
    <w:rsid w:val="00A517D9"/>
    <w:rsid w:val="00A51A64"/>
    <w:rsid w:val="00A51A85"/>
    <w:rsid w:val="00A53E27"/>
    <w:rsid w:val="00A54707"/>
    <w:rsid w:val="00A555A6"/>
    <w:rsid w:val="00A555DC"/>
    <w:rsid w:val="00A556DE"/>
    <w:rsid w:val="00A55B03"/>
    <w:rsid w:val="00A55DC7"/>
    <w:rsid w:val="00A56DCA"/>
    <w:rsid w:val="00A57514"/>
    <w:rsid w:val="00A57824"/>
    <w:rsid w:val="00A606AE"/>
    <w:rsid w:val="00A608D2"/>
    <w:rsid w:val="00A60A7C"/>
    <w:rsid w:val="00A60AD2"/>
    <w:rsid w:val="00A60DB5"/>
    <w:rsid w:val="00A62F1B"/>
    <w:rsid w:val="00A63118"/>
    <w:rsid w:val="00A63947"/>
    <w:rsid w:val="00A63F11"/>
    <w:rsid w:val="00A64063"/>
    <w:rsid w:val="00A64B40"/>
    <w:rsid w:val="00A64DD4"/>
    <w:rsid w:val="00A6526E"/>
    <w:rsid w:val="00A6574A"/>
    <w:rsid w:val="00A66962"/>
    <w:rsid w:val="00A66988"/>
    <w:rsid w:val="00A66F0B"/>
    <w:rsid w:val="00A67BA0"/>
    <w:rsid w:val="00A70049"/>
    <w:rsid w:val="00A700D2"/>
    <w:rsid w:val="00A71831"/>
    <w:rsid w:val="00A72295"/>
    <w:rsid w:val="00A72310"/>
    <w:rsid w:val="00A72611"/>
    <w:rsid w:val="00A72FE5"/>
    <w:rsid w:val="00A73091"/>
    <w:rsid w:val="00A7328B"/>
    <w:rsid w:val="00A73DA1"/>
    <w:rsid w:val="00A73EF0"/>
    <w:rsid w:val="00A74112"/>
    <w:rsid w:val="00A74B3D"/>
    <w:rsid w:val="00A7504B"/>
    <w:rsid w:val="00A75A7C"/>
    <w:rsid w:val="00A76160"/>
    <w:rsid w:val="00A76521"/>
    <w:rsid w:val="00A77154"/>
    <w:rsid w:val="00A77462"/>
    <w:rsid w:val="00A775F1"/>
    <w:rsid w:val="00A7792B"/>
    <w:rsid w:val="00A8034E"/>
    <w:rsid w:val="00A80774"/>
    <w:rsid w:val="00A80BD2"/>
    <w:rsid w:val="00A80E6F"/>
    <w:rsid w:val="00A81005"/>
    <w:rsid w:val="00A81543"/>
    <w:rsid w:val="00A81A39"/>
    <w:rsid w:val="00A825FF"/>
    <w:rsid w:val="00A8294F"/>
    <w:rsid w:val="00A8297B"/>
    <w:rsid w:val="00A8413F"/>
    <w:rsid w:val="00A841C9"/>
    <w:rsid w:val="00A84E08"/>
    <w:rsid w:val="00A851FA"/>
    <w:rsid w:val="00A85602"/>
    <w:rsid w:val="00A85A19"/>
    <w:rsid w:val="00A8631F"/>
    <w:rsid w:val="00A87D49"/>
    <w:rsid w:val="00A90030"/>
    <w:rsid w:val="00A90046"/>
    <w:rsid w:val="00A90542"/>
    <w:rsid w:val="00A90A3E"/>
    <w:rsid w:val="00A9101B"/>
    <w:rsid w:val="00A91662"/>
    <w:rsid w:val="00A91A56"/>
    <w:rsid w:val="00A91A5F"/>
    <w:rsid w:val="00A91FD2"/>
    <w:rsid w:val="00A93845"/>
    <w:rsid w:val="00A93DD6"/>
    <w:rsid w:val="00A93E60"/>
    <w:rsid w:val="00A94AD1"/>
    <w:rsid w:val="00A94ED5"/>
    <w:rsid w:val="00A953AC"/>
    <w:rsid w:val="00A95437"/>
    <w:rsid w:val="00A95523"/>
    <w:rsid w:val="00A95BDD"/>
    <w:rsid w:val="00A96705"/>
    <w:rsid w:val="00A968C9"/>
    <w:rsid w:val="00A9696C"/>
    <w:rsid w:val="00A977AE"/>
    <w:rsid w:val="00A977B0"/>
    <w:rsid w:val="00AA07C3"/>
    <w:rsid w:val="00AA0987"/>
    <w:rsid w:val="00AA1E72"/>
    <w:rsid w:val="00AA274A"/>
    <w:rsid w:val="00AA2F11"/>
    <w:rsid w:val="00AA3595"/>
    <w:rsid w:val="00AA3F6D"/>
    <w:rsid w:val="00AA3FD0"/>
    <w:rsid w:val="00AA4582"/>
    <w:rsid w:val="00AA5177"/>
    <w:rsid w:val="00AA54D3"/>
    <w:rsid w:val="00AA55C7"/>
    <w:rsid w:val="00AA5D97"/>
    <w:rsid w:val="00AA6367"/>
    <w:rsid w:val="00AA67FF"/>
    <w:rsid w:val="00AA6F87"/>
    <w:rsid w:val="00AA7215"/>
    <w:rsid w:val="00AA7CAF"/>
    <w:rsid w:val="00AB0046"/>
    <w:rsid w:val="00AB08CE"/>
    <w:rsid w:val="00AB0C38"/>
    <w:rsid w:val="00AB1750"/>
    <w:rsid w:val="00AB1878"/>
    <w:rsid w:val="00AB1C75"/>
    <w:rsid w:val="00AB1E7B"/>
    <w:rsid w:val="00AB241B"/>
    <w:rsid w:val="00AB24F1"/>
    <w:rsid w:val="00AB365E"/>
    <w:rsid w:val="00AB443B"/>
    <w:rsid w:val="00AB44CD"/>
    <w:rsid w:val="00AB4667"/>
    <w:rsid w:val="00AB46C3"/>
    <w:rsid w:val="00AB4E1B"/>
    <w:rsid w:val="00AB4EA7"/>
    <w:rsid w:val="00AB4FEF"/>
    <w:rsid w:val="00AB57F6"/>
    <w:rsid w:val="00AB5AF3"/>
    <w:rsid w:val="00AB5DEE"/>
    <w:rsid w:val="00AB5E4E"/>
    <w:rsid w:val="00AB638D"/>
    <w:rsid w:val="00AB6B43"/>
    <w:rsid w:val="00AB6E51"/>
    <w:rsid w:val="00AB76E0"/>
    <w:rsid w:val="00AB7A71"/>
    <w:rsid w:val="00AB7C65"/>
    <w:rsid w:val="00AC0076"/>
    <w:rsid w:val="00AC0A98"/>
    <w:rsid w:val="00AC1729"/>
    <w:rsid w:val="00AC2954"/>
    <w:rsid w:val="00AC2E5B"/>
    <w:rsid w:val="00AC3200"/>
    <w:rsid w:val="00AC3300"/>
    <w:rsid w:val="00AC414B"/>
    <w:rsid w:val="00AC41AA"/>
    <w:rsid w:val="00AC420C"/>
    <w:rsid w:val="00AC49A6"/>
    <w:rsid w:val="00AC50F2"/>
    <w:rsid w:val="00AC539F"/>
    <w:rsid w:val="00AC559C"/>
    <w:rsid w:val="00AC563F"/>
    <w:rsid w:val="00AC6147"/>
    <w:rsid w:val="00AC6261"/>
    <w:rsid w:val="00AC63A4"/>
    <w:rsid w:val="00AC645F"/>
    <w:rsid w:val="00AC6DDB"/>
    <w:rsid w:val="00AC779C"/>
    <w:rsid w:val="00AD06C1"/>
    <w:rsid w:val="00AD0B87"/>
    <w:rsid w:val="00AD119D"/>
    <w:rsid w:val="00AD12AC"/>
    <w:rsid w:val="00AD1536"/>
    <w:rsid w:val="00AD1C9E"/>
    <w:rsid w:val="00AD27B4"/>
    <w:rsid w:val="00AD32F7"/>
    <w:rsid w:val="00AD3A95"/>
    <w:rsid w:val="00AD3DB0"/>
    <w:rsid w:val="00AD44E5"/>
    <w:rsid w:val="00AD4519"/>
    <w:rsid w:val="00AD481E"/>
    <w:rsid w:val="00AD584B"/>
    <w:rsid w:val="00AD5DC0"/>
    <w:rsid w:val="00AD5ED6"/>
    <w:rsid w:val="00AD5F24"/>
    <w:rsid w:val="00AD5FD7"/>
    <w:rsid w:val="00AD6061"/>
    <w:rsid w:val="00AD63D3"/>
    <w:rsid w:val="00AD65BA"/>
    <w:rsid w:val="00AD6851"/>
    <w:rsid w:val="00AD6B5D"/>
    <w:rsid w:val="00AD7027"/>
    <w:rsid w:val="00AE11ED"/>
    <w:rsid w:val="00AE120E"/>
    <w:rsid w:val="00AE17A1"/>
    <w:rsid w:val="00AE22BE"/>
    <w:rsid w:val="00AE244F"/>
    <w:rsid w:val="00AE35CD"/>
    <w:rsid w:val="00AE5544"/>
    <w:rsid w:val="00AE6D16"/>
    <w:rsid w:val="00AE6E66"/>
    <w:rsid w:val="00AE70AA"/>
    <w:rsid w:val="00AE73F3"/>
    <w:rsid w:val="00AF0271"/>
    <w:rsid w:val="00AF099F"/>
    <w:rsid w:val="00AF1218"/>
    <w:rsid w:val="00AF1248"/>
    <w:rsid w:val="00AF12CD"/>
    <w:rsid w:val="00AF190A"/>
    <w:rsid w:val="00AF1BD5"/>
    <w:rsid w:val="00AF1CA0"/>
    <w:rsid w:val="00AF1E89"/>
    <w:rsid w:val="00AF1FFD"/>
    <w:rsid w:val="00AF205D"/>
    <w:rsid w:val="00AF242C"/>
    <w:rsid w:val="00AF26D1"/>
    <w:rsid w:val="00AF3022"/>
    <w:rsid w:val="00AF312A"/>
    <w:rsid w:val="00AF3241"/>
    <w:rsid w:val="00AF3A3C"/>
    <w:rsid w:val="00AF3E31"/>
    <w:rsid w:val="00AF4109"/>
    <w:rsid w:val="00AF4235"/>
    <w:rsid w:val="00AF489E"/>
    <w:rsid w:val="00AF5E98"/>
    <w:rsid w:val="00AF5ED0"/>
    <w:rsid w:val="00AF68D2"/>
    <w:rsid w:val="00AF732C"/>
    <w:rsid w:val="00AF74C8"/>
    <w:rsid w:val="00AF7B4A"/>
    <w:rsid w:val="00AF7DE7"/>
    <w:rsid w:val="00B00085"/>
    <w:rsid w:val="00B00966"/>
    <w:rsid w:val="00B00DE8"/>
    <w:rsid w:val="00B011F2"/>
    <w:rsid w:val="00B01EA9"/>
    <w:rsid w:val="00B0214A"/>
    <w:rsid w:val="00B0247F"/>
    <w:rsid w:val="00B02A41"/>
    <w:rsid w:val="00B02B0D"/>
    <w:rsid w:val="00B0343C"/>
    <w:rsid w:val="00B036E0"/>
    <w:rsid w:val="00B03AF2"/>
    <w:rsid w:val="00B03C0C"/>
    <w:rsid w:val="00B03D11"/>
    <w:rsid w:val="00B04268"/>
    <w:rsid w:val="00B049D7"/>
    <w:rsid w:val="00B04A6B"/>
    <w:rsid w:val="00B04F49"/>
    <w:rsid w:val="00B05191"/>
    <w:rsid w:val="00B0527D"/>
    <w:rsid w:val="00B0532B"/>
    <w:rsid w:val="00B05EF9"/>
    <w:rsid w:val="00B067C3"/>
    <w:rsid w:val="00B06952"/>
    <w:rsid w:val="00B06E02"/>
    <w:rsid w:val="00B07348"/>
    <w:rsid w:val="00B0772A"/>
    <w:rsid w:val="00B07CFD"/>
    <w:rsid w:val="00B100AC"/>
    <w:rsid w:val="00B103A6"/>
    <w:rsid w:val="00B1053E"/>
    <w:rsid w:val="00B10A61"/>
    <w:rsid w:val="00B110AB"/>
    <w:rsid w:val="00B110C1"/>
    <w:rsid w:val="00B12935"/>
    <w:rsid w:val="00B129B7"/>
    <w:rsid w:val="00B12B2D"/>
    <w:rsid w:val="00B13128"/>
    <w:rsid w:val="00B13721"/>
    <w:rsid w:val="00B13C4B"/>
    <w:rsid w:val="00B14EA1"/>
    <w:rsid w:val="00B16262"/>
    <w:rsid w:val="00B16A1D"/>
    <w:rsid w:val="00B16BE0"/>
    <w:rsid w:val="00B16C80"/>
    <w:rsid w:val="00B170A3"/>
    <w:rsid w:val="00B1783A"/>
    <w:rsid w:val="00B17ADD"/>
    <w:rsid w:val="00B17B02"/>
    <w:rsid w:val="00B20173"/>
    <w:rsid w:val="00B201FA"/>
    <w:rsid w:val="00B20366"/>
    <w:rsid w:val="00B209F4"/>
    <w:rsid w:val="00B20BB9"/>
    <w:rsid w:val="00B20F01"/>
    <w:rsid w:val="00B2122C"/>
    <w:rsid w:val="00B21242"/>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623A"/>
    <w:rsid w:val="00B26519"/>
    <w:rsid w:val="00B26E23"/>
    <w:rsid w:val="00B27B66"/>
    <w:rsid w:val="00B3002A"/>
    <w:rsid w:val="00B30909"/>
    <w:rsid w:val="00B30A94"/>
    <w:rsid w:val="00B30B56"/>
    <w:rsid w:val="00B30BDE"/>
    <w:rsid w:val="00B30CDD"/>
    <w:rsid w:val="00B30D6F"/>
    <w:rsid w:val="00B31061"/>
    <w:rsid w:val="00B31322"/>
    <w:rsid w:val="00B31606"/>
    <w:rsid w:val="00B31D49"/>
    <w:rsid w:val="00B32126"/>
    <w:rsid w:val="00B329C7"/>
    <w:rsid w:val="00B33729"/>
    <w:rsid w:val="00B33DC4"/>
    <w:rsid w:val="00B34F16"/>
    <w:rsid w:val="00B35DC3"/>
    <w:rsid w:val="00B3677B"/>
    <w:rsid w:val="00B369D3"/>
    <w:rsid w:val="00B36A14"/>
    <w:rsid w:val="00B3738D"/>
    <w:rsid w:val="00B378BA"/>
    <w:rsid w:val="00B37E05"/>
    <w:rsid w:val="00B37E10"/>
    <w:rsid w:val="00B37F65"/>
    <w:rsid w:val="00B37F8A"/>
    <w:rsid w:val="00B40B2F"/>
    <w:rsid w:val="00B40BE5"/>
    <w:rsid w:val="00B40C9B"/>
    <w:rsid w:val="00B40E83"/>
    <w:rsid w:val="00B414B6"/>
    <w:rsid w:val="00B4152F"/>
    <w:rsid w:val="00B417F7"/>
    <w:rsid w:val="00B418FB"/>
    <w:rsid w:val="00B41A74"/>
    <w:rsid w:val="00B41DDD"/>
    <w:rsid w:val="00B41FED"/>
    <w:rsid w:val="00B421CC"/>
    <w:rsid w:val="00B42914"/>
    <w:rsid w:val="00B42F86"/>
    <w:rsid w:val="00B432B9"/>
    <w:rsid w:val="00B4333D"/>
    <w:rsid w:val="00B43A5C"/>
    <w:rsid w:val="00B43CE3"/>
    <w:rsid w:val="00B43E7F"/>
    <w:rsid w:val="00B44C1C"/>
    <w:rsid w:val="00B45BCB"/>
    <w:rsid w:val="00B45C7E"/>
    <w:rsid w:val="00B45D1C"/>
    <w:rsid w:val="00B46240"/>
    <w:rsid w:val="00B4647C"/>
    <w:rsid w:val="00B466BC"/>
    <w:rsid w:val="00B47270"/>
    <w:rsid w:val="00B47730"/>
    <w:rsid w:val="00B50E5D"/>
    <w:rsid w:val="00B51846"/>
    <w:rsid w:val="00B5196B"/>
    <w:rsid w:val="00B5197A"/>
    <w:rsid w:val="00B51B93"/>
    <w:rsid w:val="00B52123"/>
    <w:rsid w:val="00B52192"/>
    <w:rsid w:val="00B529DF"/>
    <w:rsid w:val="00B529E2"/>
    <w:rsid w:val="00B52E1C"/>
    <w:rsid w:val="00B53232"/>
    <w:rsid w:val="00B534FA"/>
    <w:rsid w:val="00B538A7"/>
    <w:rsid w:val="00B53EDF"/>
    <w:rsid w:val="00B542CF"/>
    <w:rsid w:val="00B5493B"/>
    <w:rsid w:val="00B5559A"/>
    <w:rsid w:val="00B5581C"/>
    <w:rsid w:val="00B55E9E"/>
    <w:rsid w:val="00B565F1"/>
    <w:rsid w:val="00B566E2"/>
    <w:rsid w:val="00B56995"/>
    <w:rsid w:val="00B56E2A"/>
    <w:rsid w:val="00B5703E"/>
    <w:rsid w:val="00B573FE"/>
    <w:rsid w:val="00B57DC1"/>
    <w:rsid w:val="00B602EC"/>
    <w:rsid w:val="00B6079A"/>
    <w:rsid w:val="00B608A3"/>
    <w:rsid w:val="00B60FE8"/>
    <w:rsid w:val="00B6108F"/>
    <w:rsid w:val="00B6120B"/>
    <w:rsid w:val="00B61317"/>
    <w:rsid w:val="00B61869"/>
    <w:rsid w:val="00B61C85"/>
    <w:rsid w:val="00B625C3"/>
    <w:rsid w:val="00B62756"/>
    <w:rsid w:val="00B63FEA"/>
    <w:rsid w:val="00B64205"/>
    <w:rsid w:val="00B6423F"/>
    <w:rsid w:val="00B64340"/>
    <w:rsid w:val="00B64364"/>
    <w:rsid w:val="00B646BF"/>
    <w:rsid w:val="00B64906"/>
    <w:rsid w:val="00B64941"/>
    <w:rsid w:val="00B654DB"/>
    <w:rsid w:val="00B657E8"/>
    <w:rsid w:val="00B65833"/>
    <w:rsid w:val="00B65A2D"/>
    <w:rsid w:val="00B65BBE"/>
    <w:rsid w:val="00B66261"/>
    <w:rsid w:val="00B66672"/>
    <w:rsid w:val="00B669A6"/>
    <w:rsid w:val="00B67B77"/>
    <w:rsid w:val="00B703AF"/>
    <w:rsid w:val="00B708FB"/>
    <w:rsid w:val="00B70BA5"/>
    <w:rsid w:val="00B711C3"/>
    <w:rsid w:val="00B712BE"/>
    <w:rsid w:val="00B716C8"/>
    <w:rsid w:val="00B721C7"/>
    <w:rsid w:val="00B72BCF"/>
    <w:rsid w:val="00B72E9D"/>
    <w:rsid w:val="00B73395"/>
    <w:rsid w:val="00B7353A"/>
    <w:rsid w:val="00B73850"/>
    <w:rsid w:val="00B738DC"/>
    <w:rsid w:val="00B7424D"/>
    <w:rsid w:val="00B74475"/>
    <w:rsid w:val="00B74858"/>
    <w:rsid w:val="00B74A09"/>
    <w:rsid w:val="00B74A3A"/>
    <w:rsid w:val="00B74D9E"/>
    <w:rsid w:val="00B75DEF"/>
    <w:rsid w:val="00B76064"/>
    <w:rsid w:val="00B76D84"/>
    <w:rsid w:val="00B77876"/>
    <w:rsid w:val="00B80307"/>
    <w:rsid w:val="00B809F2"/>
    <w:rsid w:val="00B80E88"/>
    <w:rsid w:val="00B81142"/>
    <w:rsid w:val="00B816B8"/>
    <w:rsid w:val="00B82272"/>
    <w:rsid w:val="00B82360"/>
    <w:rsid w:val="00B82B78"/>
    <w:rsid w:val="00B832B4"/>
    <w:rsid w:val="00B834AF"/>
    <w:rsid w:val="00B83D67"/>
    <w:rsid w:val="00B83E74"/>
    <w:rsid w:val="00B843FE"/>
    <w:rsid w:val="00B84D8D"/>
    <w:rsid w:val="00B84E02"/>
    <w:rsid w:val="00B85F9A"/>
    <w:rsid w:val="00B8608B"/>
    <w:rsid w:val="00B86279"/>
    <w:rsid w:val="00B86568"/>
    <w:rsid w:val="00B86928"/>
    <w:rsid w:val="00B86B13"/>
    <w:rsid w:val="00B87435"/>
    <w:rsid w:val="00B87481"/>
    <w:rsid w:val="00B87995"/>
    <w:rsid w:val="00B90241"/>
    <w:rsid w:val="00B906CA"/>
    <w:rsid w:val="00B907BB"/>
    <w:rsid w:val="00B90A20"/>
    <w:rsid w:val="00B90D42"/>
    <w:rsid w:val="00B90E95"/>
    <w:rsid w:val="00B9144F"/>
    <w:rsid w:val="00B91922"/>
    <w:rsid w:val="00B924EC"/>
    <w:rsid w:val="00B93219"/>
    <w:rsid w:val="00B93271"/>
    <w:rsid w:val="00B9341C"/>
    <w:rsid w:val="00B9351A"/>
    <w:rsid w:val="00B93839"/>
    <w:rsid w:val="00B93FD2"/>
    <w:rsid w:val="00B942AC"/>
    <w:rsid w:val="00B95110"/>
    <w:rsid w:val="00B95876"/>
    <w:rsid w:val="00B96172"/>
    <w:rsid w:val="00B9621C"/>
    <w:rsid w:val="00B9632D"/>
    <w:rsid w:val="00B9667A"/>
    <w:rsid w:val="00B97227"/>
    <w:rsid w:val="00B976B5"/>
    <w:rsid w:val="00B979B5"/>
    <w:rsid w:val="00BA099B"/>
    <w:rsid w:val="00BA0C6C"/>
    <w:rsid w:val="00BA1530"/>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DAE"/>
    <w:rsid w:val="00BB0DBD"/>
    <w:rsid w:val="00BB0FA6"/>
    <w:rsid w:val="00BB1069"/>
    <w:rsid w:val="00BB106E"/>
    <w:rsid w:val="00BB11E9"/>
    <w:rsid w:val="00BB14D2"/>
    <w:rsid w:val="00BB1BC3"/>
    <w:rsid w:val="00BB27DB"/>
    <w:rsid w:val="00BB2AD2"/>
    <w:rsid w:val="00BB3D38"/>
    <w:rsid w:val="00BB3D3C"/>
    <w:rsid w:val="00BB45A9"/>
    <w:rsid w:val="00BB4A49"/>
    <w:rsid w:val="00BB4F85"/>
    <w:rsid w:val="00BB5024"/>
    <w:rsid w:val="00BB55DF"/>
    <w:rsid w:val="00BB5FA3"/>
    <w:rsid w:val="00BB6BEE"/>
    <w:rsid w:val="00BB6DC9"/>
    <w:rsid w:val="00BB6EB8"/>
    <w:rsid w:val="00BB76BF"/>
    <w:rsid w:val="00BC02C9"/>
    <w:rsid w:val="00BC0416"/>
    <w:rsid w:val="00BC11F6"/>
    <w:rsid w:val="00BC1E67"/>
    <w:rsid w:val="00BC2554"/>
    <w:rsid w:val="00BC2583"/>
    <w:rsid w:val="00BC2620"/>
    <w:rsid w:val="00BC280E"/>
    <w:rsid w:val="00BC2D54"/>
    <w:rsid w:val="00BC3134"/>
    <w:rsid w:val="00BC376A"/>
    <w:rsid w:val="00BC392D"/>
    <w:rsid w:val="00BC4CB2"/>
    <w:rsid w:val="00BC6426"/>
    <w:rsid w:val="00BC65A3"/>
    <w:rsid w:val="00BC6902"/>
    <w:rsid w:val="00BC6B51"/>
    <w:rsid w:val="00BC7265"/>
    <w:rsid w:val="00BC7C00"/>
    <w:rsid w:val="00BD01E6"/>
    <w:rsid w:val="00BD0223"/>
    <w:rsid w:val="00BD0265"/>
    <w:rsid w:val="00BD0457"/>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A9D"/>
    <w:rsid w:val="00BD4E44"/>
    <w:rsid w:val="00BD6A65"/>
    <w:rsid w:val="00BD6C15"/>
    <w:rsid w:val="00BD756E"/>
    <w:rsid w:val="00BD76D4"/>
    <w:rsid w:val="00BD775F"/>
    <w:rsid w:val="00BD7A60"/>
    <w:rsid w:val="00BE16B2"/>
    <w:rsid w:val="00BE1C49"/>
    <w:rsid w:val="00BE1D60"/>
    <w:rsid w:val="00BE1D66"/>
    <w:rsid w:val="00BE1F9B"/>
    <w:rsid w:val="00BE2100"/>
    <w:rsid w:val="00BE2721"/>
    <w:rsid w:val="00BE3398"/>
    <w:rsid w:val="00BE3676"/>
    <w:rsid w:val="00BE4005"/>
    <w:rsid w:val="00BE44BE"/>
    <w:rsid w:val="00BE4E66"/>
    <w:rsid w:val="00BE52A7"/>
    <w:rsid w:val="00BE564B"/>
    <w:rsid w:val="00BE58FC"/>
    <w:rsid w:val="00BE5A27"/>
    <w:rsid w:val="00BE5C73"/>
    <w:rsid w:val="00BE6677"/>
    <w:rsid w:val="00BE7049"/>
    <w:rsid w:val="00BE708F"/>
    <w:rsid w:val="00BE74A3"/>
    <w:rsid w:val="00BE7723"/>
    <w:rsid w:val="00BE7A79"/>
    <w:rsid w:val="00BF10F5"/>
    <w:rsid w:val="00BF1593"/>
    <w:rsid w:val="00BF196E"/>
    <w:rsid w:val="00BF3625"/>
    <w:rsid w:val="00BF3781"/>
    <w:rsid w:val="00BF3966"/>
    <w:rsid w:val="00BF3A53"/>
    <w:rsid w:val="00BF3B6B"/>
    <w:rsid w:val="00BF41E2"/>
    <w:rsid w:val="00BF466D"/>
    <w:rsid w:val="00BF5443"/>
    <w:rsid w:val="00BF5729"/>
    <w:rsid w:val="00BF5936"/>
    <w:rsid w:val="00BF62D3"/>
    <w:rsid w:val="00BF662F"/>
    <w:rsid w:val="00BF7316"/>
    <w:rsid w:val="00BF7DD9"/>
    <w:rsid w:val="00C0025C"/>
    <w:rsid w:val="00C0099A"/>
    <w:rsid w:val="00C00B59"/>
    <w:rsid w:val="00C00CBC"/>
    <w:rsid w:val="00C012E6"/>
    <w:rsid w:val="00C02276"/>
    <w:rsid w:val="00C024A9"/>
    <w:rsid w:val="00C02536"/>
    <w:rsid w:val="00C02C91"/>
    <w:rsid w:val="00C032BF"/>
    <w:rsid w:val="00C0398A"/>
    <w:rsid w:val="00C03A0A"/>
    <w:rsid w:val="00C03B14"/>
    <w:rsid w:val="00C04181"/>
    <w:rsid w:val="00C0419A"/>
    <w:rsid w:val="00C04331"/>
    <w:rsid w:val="00C04B0A"/>
    <w:rsid w:val="00C05184"/>
    <w:rsid w:val="00C06F91"/>
    <w:rsid w:val="00C07085"/>
    <w:rsid w:val="00C07293"/>
    <w:rsid w:val="00C07C2B"/>
    <w:rsid w:val="00C1022A"/>
    <w:rsid w:val="00C10F9E"/>
    <w:rsid w:val="00C12A73"/>
    <w:rsid w:val="00C13515"/>
    <w:rsid w:val="00C13E1A"/>
    <w:rsid w:val="00C14078"/>
    <w:rsid w:val="00C14CAF"/>
    <w:rsid w:val="00C1518C"/>
    <w:rsid w:val="00C156DF"/>
    <w:rsid w:val="00C157CD"/>
    <w:rsid w:val="00C15913"/>
    <w:rsid w:val="00C15AEF"/>
    <w:rsid w:val="00C16110"/>
    <w:rsid w:val="00C1636B"/>
    <w:rsid w:val="00C1715B"/>
    <w:rsid w:val="00C17244"/>
    <w:rsid w:val="00C173DC"/>
    <w:rsid w:val="00C17491"/>
    <w:rsid w:val="00C17775"/>
    <w:rsid w:val="00C20200"/>
    <w:rsid w:val="00C2042B"/>
    <w:rsid w:val="00C205BF"/>
    <w:rsid w:val="00C20631"/>
    <w:rsid w:val="00C20868"/>
    <w:rsid w:val="00C22592"/>
    <w:rsid w:val="00C2259C"/>
    <w:rsid w:val="00C22672"/>
    <w:rsid w:val="00C22C28"/>
    <w:rsid w:val="00C23B2D"/>
    <w:rsid w:val="00C2406A"/>
    <w:rsid w:val="00C2409D"/>
    <w:rsid w:val="00C248F3"/>
    <w:rsid w:val="00C24A17"/>
    <w:rsid w:val="00C24AE4"/>
    <w:rsid w:val="00C24DBE"/>
    <w:rsid w:val="00C25290"/>
    <w:rsid w:val="00C25683"/>
    <w:rsid w:val="00C25FA5"/>
    <w:rsid w:val="00C26351"/>
    <w:rsid w:val="00C26FED"/>
    <w:rsid w:val="00C27662"/>
    <w:rsid w:val="00C27DB0"/>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C17"/>
    <w:rsid w:val="00C36431"/>
    <w:rsid w:val="00C3669A"/>
    <w:rsid w:val="00C36700"/>
    <w:rsid w:val="00C36718"/>
    <w:rsid w:val="00C3675D"/>
    <w:rsid w:val="00C36DB2"/>
    <w:rsid w:val="00C370BE"/>
    <w:rsid w:val="00C370E6"/>
    <w:rsid w:val="00C3726E"/>
    <w:rsid w:val="00C373E3"/>
    <w:rsid w:val="00C3755D"/>
    <w:rsid w:val="00C37918"/>
    <w:rsid w:val="00C3796D"/>
    <w:rsid w:val="00C4018A"/>
    <w:rsid w:val="00C40557"/>
    <w:rsid w:val="00C41216"/>
    <w:rsid w:val="00C41F11"/>
    <w:rsid w:val="00C422BA"/>
    <w:rsid w:val="00C423D5"/>
    <w:rsid w:val="00C4277C"/>
    <w:rsid w:val="00C42992"/>
    <w:rsid w:val="00C42B66"/>
    <w:rsid w:val="00C430C7"/>
    <w:rsid w:val="00C431F9"/>
    <w:rsid w:val="00C4338C"/>
    <w:rsid w:val="00C4395A"/>
    <w:rsid w:val="00C43C1A"/>
    <w:rsid w:val="00C43EE2"/>
    <w:rsid w:val="00C441F1"/>
    <w:rsid w:val="00C445D2"/>
    <w:rsid w:val="00C44EEA"/>
    <w:rsid w:val="00C454D3"/>
    <w:rsid w:val="00C45F7B"/>
    <w:rsid w:val="00C45F9A"/>
    <w:rsid w:val="00C4733D"/>
    <w:rsid w:val="00C474EF"/>
    <w:rsid w:val="00C47586"/>
    <w:rsid w:val="00C47D8D"/>
    <w:rsid w:val="00C50227"/>
    <w:rsid w:val="00C50296"/>
    <w:rsid w:val="00C50631"/>
    <w:rsid w:val="00C5090E"/>
    <w:rsid w:val="00C50B51"/>
    <w:rsid w:val="00C50B99"/>
    <w:rsid w:val="00C514DD"/>
    <w:rsid w:val="00C5196B"/>
    <w:rsid w:val="00C522AE"/>
    <w:rsid w:val="00C52625"/>
    <w:rsid w:val="00C52B8B"/>
    <w:rsid w:val="00C52C8E"/>
    <w:rsid w:val="00C52EE1"/>
    <w:rsid w:val="00C536AD"/>
    <w:rsid w:val="00C53A72"/>
    <w:rsid w:val="00C53B42"/>
    <w:rsid w:val="00C53FE2"/>
    <w:rsid w:val="00C54440"/>
    <w:rsid w:val="00C544EB"/>
    <w:rsid w:val="00C54510"/>
    <w:rsid w:val="00C54573"/>
    <w:rsid w:val="00C54A11"/>
    <w:rsid w:val="00C54BB2"/>
    <w:rsid w:val="00C54FCA"/>
    <w:rsid w:val="00C55A10"/>
    <w:rsid w:val="00C5641A"/>
    <w:rsid w:val="00C56BDE"/>
    <w:rsid w:val="00C56F84"/>
    <w:rsid w:val="00C57040"/>
    <w:rsid w:val="00C5705A"/>
    <w:rsid w:val="00C570F8"/>
    <w:rsid w:val="00C571FE"/>
    <w:rsid w:val="00C5757B"/>
    <w:rsid w:val="00C60682"/>
    <w:rsid w:val="00C61620"/>
    <w:rsid w:val="00C6163A"/>
    <w:rsid w:val="00C61C61"/>
    <w:rsid w:val="00C61CDC"/>
    <w:rsid w:val="00C62849"/>
    <w:rsid w:val="00C62B54"/>
    <w:rsid w:val="00C63BFF"/>
    <w:rsid w:val="00C63E05"/>
    <w:rsid w:val="00C64633"/>
    <w:rsid w:val="00C647A9"/>
    <w:rsid w:val="00C652D4"/>
    <w:rsid w:val="00C65416"/>
    <w:rsid w:val="00C65450"/>
    <w:rsid w:val="00C659A2"/>
    <w:rsid w:val="00C660F5"/>
    <w:rsid w:val="00C664A3"/>
    <w:rsid w:val="00C66B1D"/>
    <w:rsid w:val="00C66F48"/>
    <w:rsid w:val="00C66F7C"/>
    <w:rsid w:val="00C67DE6"/>
    <w:rsid w:val="00C70400"/>
    <w:rsid w:val="00C70992"/>
    <w:rsid w:val="00C70DD2"/>
    <w:rsid w:val="00C70E7B"/>
    <w:rsid w:val="00C70FB7"/>
    <w:rsid w:val="00C7158C"/>
    <w:rsid w:val="00C71A83"/>
    <w:rsid w:val="00C71C93"/>
    <w:rsid w:val="00C71ECC"/>
    <w:rsid w:val="00C7257C"/>
    <w:rsid w:val="00C72624"/>
    <w:rsid w:val="00C72B02"/>
    <w:rsid w:val="00C73541"/>
    <w:rsid w:val="00C73808"/>
    <w:rsid w:val="00C7384F"/>
    <w:rsid w:val="00C73984"/>
    <w:rsid w:val="00C74044"/>
    <w:rsid w:val="00C74314"/>
    <w:rsid w:val="00C747F6"/>
    <w:rsid w:val="00C74DAC"/>
    <w:rsid w:val="00C75F99"/>
    <w:rsid w:val="00C76712"/>
    <w:rsid w:val="00C76DEC"/>
    <w:rsid w:val="00C76F0B"/>
    <w:rsid w:val="00C772BA"/>
    <w:rsid w:val="00C77324"/>
    <w:rsid w:val="00C77A13"/>
    <w:rsid w:val="00C80BC1"/>
    <w:rsid w:val="00C80C93"/>
    <w:rsid w:val="00C80F1A"/>
    <w:rsid w:val="00C813BD"/>
    <w:rsid w:val="00C818E7"/>
    <w:rsid w:val="00C81F7E"/>
    <w:rsid w:val="00C823FA"/>
    <w:rsid w:val="00C828FC"/>
    <w:rsid w:val="00C82AA2"/>
    <w:rsid w:val="00C82AD3"/>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F2E"/>
    <w:rsid w:val="00C910DB"/>
    <w:rsid w:val="00C91166"/>
    <w:rsid w:val="00C917EE"/>
    <w:rsid w:val="00C9192D"/>
    <w:rsid w:val="00C91A45"/>
    <w:rsid w:val="00C92174"/>
    <w:rsid w:val="00C93859"/>
    <w:rsid w:val="00C93B71"/>
    <w:rsid w:val="00C942FA"/>
    <w:rsid w:val="00C94BBF"/>
    <w:rsid w:val="00C956DB"/>
    <w:rsid w:val="00C95C27"/>
    <w:rsid w:val="00C95DF8"/>
    <w:rsid w:val="00C95E32"/>
    <w:rsid w:val="00C9617A"/>
    <w:rsid w:val="00C96244"/>
    <w:rsid w:val="00C9678B"/>
    <w:rsid w:val="00C9680B"/>
    <w:rsid w:val="00C96FF7"/>
    <w:rsid w:val="00C977E8"/>
    <w:rsid w:val="00C97F61"/>
    <w:rsid w:val="00CA0B2C"/>
    <w:rsid w:val="00CA0F20"/>
    <w:rsid w:val="00CA17BD"/>
    <w:rsid w:val="00CA1A2A"/>
    <w:rsid w:val="00CA1D02"/>
    <w:rsid w:val="00CA1DC5"/>
    <w:rsid w:val="00CA22C4"/>
    <w:rsid w:val="00CA2753"/>
    <w:rsid w:val="00CA2BE7"/>
    <w:rsid w:val="00CA2D3F"/>
    <w:rsid w:val="00CA2F18"/>
    <w:rsid w:val="00CA34ED"/>
    <w:rsid w:val="00CA3F79"/>
    <w:rsid w:val="00CA413E"/>
    <w:rsid w:val="00CA4187"/>
    <w:rsid w:val="00CA41AB"/>
    <w:rsid w:val="00CA45AD"/>
    <w:rsid w:val="00CA46B8"/>
    <w:rsid w:val="00CA4B97"/>
    <w:rsid w:val="00CA4D46"/>
    <w:rsid w:val="00CA5E8D"/>
    <w:rsid w:val="00CA68C9"/>
    <w:rsid w:val="00CA69AE"/>
    <w:rsid w:val="00CA78F9"/>
    <w:rsid w:val="00CA7C01"/>
    <w:rsid w:val="00CA7CA8"/>
    <w:rsid w:val="00CA7EB4"/>
    <w:rsid w:val="00CB019A"/>
    <w:rsid w:val="00CB0ED7"/>
    <w:rsid w:val="00CB15CA"/>
    <w:rsid w:val="00CB19A5"/>
    <w:rsid w:val="00CB1C7E"/>
    <w:rsid w:val="00CB2E15"/>
    <w:rsid w:val="00CB2E79"/>
    <w:rsid w:val="00CB2FA2"/>
    <w:rsid w:val="00CB3013"/>
    <w:rsid w:val="00CB39AF"/>
    <w:rsid w:val="00CB3AA1"/>
    <w:rsid w:val="00CB3CB9"/>
    <w:rsid w:val="00CB49E4"/>
    <w:rsid w:val="00CB54D4"/>
    <w:rsid w:val="00CB57A1"/>
    <w:rsid w:val="00CB57D8"/>
    <w:rsid w:val="00CB59ED"/>
    <w:rsid w:val="00CB5A40"/>
    <w:rsid w:val="00CB5EAF"/>
    <w:rsid w:val="00CB5FC6"/>
    <w:rsid w:val="00CB6ED8"/>
    <w:rsid w:val="00CB7771"/>
    <w:rsid w:val="00CB7A7A"/>
    <w:rsid w:val="00CB7FEE"/>
    <w:rsid w:val="00CC0687"/>
    <w:rsid w:val="00CC0B06"/>
    <w:rsid w:val="00CC1AAA"/>
    <w:rsid w:val="00CC1E51"/>
    <w:rsid w:val="00CC1F5F"/>
    <w:rsid w:val="00CC20C0"/>
    <w:rsid w:val="00CC2882"/>
    <w:rsid w:val="00CC2F61"/>
    <w:rsid w:val="00CC3186"/>
    <w:rsid w:val="00CC341C"/>
    <w:rsid w:val="00CC4022"/>
    <w:rsid w:val="00CC404A"/>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1BF5"/>
    <w:rsid w:val="00CD1C94"/>
    <w:rsid w:val="00CD22D3"/>
    <w:rsid w:val="00CD2A1F"/>
    <w:rsid w:val="00CD2F95"/>
    <w:rsid w:val="00CD3064"/>
    <w:rsid w:val="00CD3441"/>
    <w:rsid w:val="00CD35CC"/>
    <w:rsid w:val="00CD390B"/>
    <w:rsid w:val="00CD394B"/>
    <w:rsid w:val="00CD4152"/>
    <w:rsid w:val="00CD43A3"/>
    <w:rsid w:val="00CD4483"/>
    <w:rsid w:val="00CD46ED"/>
    <w:rsid w:val="00CD477E"/>
    <w:rsid w:val="00CD4B7F"/>
    <w:rsid w:val="00CD4C41"/>
    <w:rsid w:val="00CD5355"/>
    <w:rsid w:val="00CD5CE1"/>
    <w:rsid w:val="00CD5D72"/>
    <w:rsid w:val="00CD61A5"/>
    <w:rsid w:val="00CD628F"/>
    <w:rsid w:val="00CD62FE"/>
    <w:rsid w:val="00CD766B"/>
    <w:rsid w:val="00CD7D58"/>
    <w:rsid w:val="00CD7EB6"/>
    <w:rsid w:val="00CD7FBB"/>
    <w:rsid w:val="00CE04DE"/>
    <w:rsid w:val="00CE09A2"/>
    <w:rsid w:val="00CE0E84"/>
    <w:rsid w:val="00CE10B1"/>
    <w:rsid w:val="00CE14D6"/>
    <w:rsid w:val="00CE153D"/>
    <w:rsid w:val="00CE1D7B"/>
    <w:rsid w:val="00CE2118"/>
    <w:rsid w:val="00CE243F"/>
    <w:rsid w:val="00CE25FD"/>
    <w:rsid w:val="00CE3175"/>
    <w:rsid w:val="00CE3293"/>
    <w:rsid w:val="00CE3C6D"/>
    <w:rsid w:val="00CE3C82"/>
    <w:rsid w:val="00CE43B1"/>
    <w:rsid w:val="00CE45DB"/>
    <w:rsid w:val="00CE4BCF"/>
    <w:rsid w:val="00CE537D"/>
    <w:rsid w:val="00CE5414"/>
    <w:rsid w:val="00CE55AA"/>
    <w:rsid w:val="00CE5E44"/>
    <w:rsid w:val="00CE6D9E"/>
    <w:rsid w:val="00CE6DB4"/>
    <w:rsid w:val="00CE774E"/>
    <w:rsid w:val="00CE794B"/>
    <w:rsid w:val="00CE7C39"/>
    <w:rsid w:val="00CF05EA"/>
    <w:rsid w:val="00CF088B"/>
    <w:rsid w:val="00CF0FB9"/>
    <w:rsid w:val="00CF248F"/>
    <w:rsid w:val="00CF2AB7"/>
    <w:rsid w:val="00CF3394"/>
    <w:rsid w:val="00CF3522"/>
    <w:rsid w:val="00CF370F"/>
    <w:rsid w:val="00CF3F37"/>
    <w:rsid w:val="00CF4A46"/>
    <w:rsid w:val="00CF4BD8"/>
    <w:rsid w:val="00CF581A"/>
    <w:rsid w:val="00CF6248"/>
    <w:rsid w:val="00CF63D1"/>
    <w:rsid w:val="00CF74C0"/>
    <w:rsid w:val="00CF7897"/>
    <w:rsid w:val="00CF7997"/>
    <w:rsid w:val="00CF7BFA"/>
    <w:rsid w:val="00D009E0"/>
    <w:rsid w:val="00D00DD6"/>
    <w:rsid w:val="00D01230"/>
    <w:rsid w:val="00D013D9"/>
    <w:rsid w:val="00D017A2"/>
    <w:rsid w:val="00D019BF"/>
    <w:rsid w:val="00D01E38"/>
    <w:rsid w:val="00D022BA"/>
    <w:rsid w:val="00D026AB"/>
    <w:rsid w:val="00D0283B"/>
    <w:rsid w:val="00D02ABB"/>
    <w:rsid w:val="00D03A98"/>
    <w:rsid w:val="00D03BB9"/>
    <w:rsid w:val="00D03D4D"/>
    <w:rsid w:val="00D03E69"/>
    <w:rsid w:val="00D03F6C"/>
    <w:rsid w:val="00D0415C"/>
    <w:rsid w:val="00D04983"/>
    <w:rsid w:val="00D05778"/>
    <w:rsid w:val="00D06937"/>
    <w:rsid w:val="00D070FF"/>
    <w:rsid w:val="00D075A4"/>
    <w:rsid w:val="00D07D94"/>
    <w:rsid w:val="00D10407"/>
    <w:rsid w:val="00D1058E"/>
    <w:rsid w:val="00D10AE5"/>
    <w:rsid w:val="00D11433"/>
    <w:rsid w:val="00D12059"/>
    <w:rsid w:val="00D1239D"/>
    <w:rsid w:val="00D125DE"/>
    <w:rsid w:val="00D12DF5"/>
    <w:rsid w:val="00D13777"/>
    <w:rsid w:val="00D13BB6"/>
    <w:rsid w:val="00D13C2D"/>
    <w:rsid w:val="00D1459C"/>
    <w:rsid w:val="00D151F0"/>
    <w:rsid w:val="00D156B6"/>
    <w:rsid w:val="00D15F8E"/>
    <w:rsid w:val="00D1690E"/>
    <w:rsid w:val="00D172D8"/>
    <w:rsid w:val="00D173A5"/>
    <w:rsid w:val="00D178E9"/>
    <w:rsid w:val="00D17AB7"/>
    <w:rsid w:val="00D17B3F"/>
    <w:rsid w:val="00D17F1D"/>
    <w:rsid w:val="00D219D5"/>
    <w:rsid w:val="00D2203E"/>
    <w:rsid w:val="00D2231C"/>
    <w:rsid w:val="00D2254A"/>
    <w:rsid w:val="00D22704"/>
    <w:rsid w:val="00D230FC"/>
    <w:rsid w:val="00D23513"/>
    <w:rsid w:val="00D237C9"/>
    <w:rsid w:val="00D23C31"/>
    <w:rsid w:val="00D242CF"/>
    <w:rsid w:val="00D24573"/>
    <w:rsid w:val="00D245E2"/>
    <w:rsid w:val="00D24A53"/>
    <w:rsid w:val="00D24C69"/>
    <w:rsid w:val="00D251CF"/>
    <w:rsid w:val="00D252B8"/>
    <w:rsid w:val="00D26621"/>
    <w:rsid w:val="00D267D6"/>
    <w:rsid w:val="00D26BEC"/>
    <w:rsid w:val="00D2729A"/>
    <w:rsid w:val="00D27506"/>
    <w:rsid w:val="00D27E6C"/>
    <w:rsid w:val="00D30F5A"/>
    <w:rsid w:val="00D3198D"/>
    <w:rsid w:val="00D31FC6"/>
    <w:rsid w:val="00D32EAB"/>
    <w:rsid w:val="00D3357B"/>
    <w:rsid w:val="00D34338"/>
    <w:rsid w:val="00D34688"/>
    <w:rsid w:val="00D35601"/>
    <w:rsid w:val="00D35F3B"/>
    <w:rsid w:val="00D36027"/>
    <w:rsid w:val="00D36337"/>
    <w:rsid w:val="00D363AA"/>
    <w:rsid w:val="00D36522"/>
    <w:rsid w:val="00D366B7"/>
    <w:rsid w:val="00D367F5"/>
    <w:rsid w:val="00D36C23"/>
    <w:rsid w:val="00D36FB2"/>
    <w:rsid w:val="00D375C7"/>
    <w:rsid w:val="00D3769E"/>
    <w:rsid w:val="00D40081"/>
    <w:rsid w:val="00D407D8"/>
    <w:rsid w:val="00D40EAF"/>
    <w:rsid w:val="00D41034"/>
    <w:rsid w:val="00D411A8"/>
    <w:rsid w:val="00D413DA"/>
    <w:rsid w:val="00D418A3"/>
    <w:rsid w:val="00D41B99"/>
    <w:rsid w:val="00D42249"/>
    <w:rsid w:val="00D4244A"/>
    <w:rsid w:val="00D42487"/>
    <w:rsid w:val="00D4341B"/>
    <w:rsid w:val="00D43539"/>
    <w:rsid w:val="00D43FBC"/>
    <w:rsid w:val="00D44522"/>
    <w:rsid w:val="00D44CC7"/>
    <w:rsid w:val="00D45865"/>
    <w:rsid w:val="00D45867"/>
    <w:rsid w:val="00D4595F"/>
    <w:rsid w:val="00D45CE3"/>
    <w:rsid w:val="00D46157"/>
    <w:rsid w:val="00D4646A"/>
    <w:rsid w:val="00D466A8"/>
    <w:rsid w:val="00D46A18"/>
    <w:rsid w:val="00D46BEF"/>
    <w:rsid w:val="00D47187"/>
    <w:rsid w:val="00D4751A"/>
    <w:rsid w:val="00D477E0"/>
    <w:rsid w:val="00D50011"/>
    <w:rsid w:val="00D500F2"/>
    <w:rsid w:val="00D5017E"/>
    <w:rsid w:val="00D501F5"/>
    <w:rsid w:val="00D508E4"/>
    <w:rsid w:val="00D50B2C"/>
    <w:rsid w:val="00D50EB3"/>
    <w:rsid w:val="00D519D2"/>
    <w:rsid w:val="00D52284"/>
    <w:rsid w:val="00D5322C"/>
    <w:rsid w:val="00D533A1"/>
    <w:rsid w:val="00D533BF"/>
    <w:rsid w:val="00D53841"/>
    <w:rsid w:val="00D53C05"/>
    <w:rsid w:val="00D546B8"/>
    <w:rsid w:val="00D55294"/>
    <w:rsid w:val="00D56ACF"/>
    <w:rsid w:val="00D56BDE"/>
    <w:rsid w:val="00D57152"/>
    <w:rsid w:val="00D57692"/>
    <w:rsid w:val="00D576D7"/>
    <w:rsid w:val="00D57AF1"/>
    <w:rsid w:val="00D57CBB"/>
    <w:rsid w:val="00D60236"/>
    <w:rsid w:val="00D6063B"/>
    <w:rsid w:val="00D60B43"/>
    <w:rsid w:val="00D60C45"/>
    <w:rsid w:val="00D614C7"/>
    <w:rsid w:val="00D61E9C"/>
    <w:rsid w:val="00D61F3D"/>
    <w:rsid w:val="00D61F93"/>
    <w:rsid w:val="00D623A8"/>
    <w:rsid w:val="00D62545"/>
    <w:rsid w:val="00D62EEF"/>
    <w:rsid w:val="00D6312F"/>
    <w:rsid w:val="00D633BB"/>
    <w:rsid w:val="00D63A3E"/>
    <w:rsid w:val="00D63D69"/>
    <w:rsid w:val="00D640F2"/>
    <w:rsid w:val="00D64236"/>
    <w:rsid w:val="00D642AD"/>
    <w:rsid w:val="00D64A40"/>
    <w:rsid w:val="00D64BD4"/>
    <w:rsid w:val="00D64E02"/>
    <w:rsid w:val="00D654E8"/>
    <w:rsid w:val="00D654FB"/>
    <w:rsid w:val="00D65619"/>
    <w:rsid w:val="00D66229"/>
    <w:rsid w:val="00D66C42"/>
    <w:rsid w:val="00D671FA"/>
    <w:rsid w:val="00D67216"/>
    <w:rsid w:val="00D67780"/>
    <w:rsid w:val="00D701C2"/>
    <w:rsid w:val="00D7055C"/>
    <w:rsid w:val="00D709B0"/>
    <w:rsid w:val="00D71468"/>
    <w:rsid w:val="00D7160C"/>
    <w:rsid w:val="00D71741"/>
    <w:rsid w:val="00D71A0A"/>
    <w:rsid w:val="00D71C1F"/>
    <w:rsid w:val="00D71CE6"/>
    <w:rsid w:val="00D71F03"/>
    <w:rsid w:val="00D72304"/>
    <w:rsid w:val="00D7249D"/>
    <w:rsid w:val="00D727B3"/>
    <w:rsid w:val="00D73210"/>
    <w:rsid w:val="00D73AD4"/>
    <w:rsid w:val="00D73C8C"/>
    <w:rsid w:val="00D744AF"/>
    <w:rsid w:val="00D74862"/>
    <w:rsid w:val="00D756D2"/>
    <w:rsid w:val="00D75879"/>
    <w:rsid w:val="00D75908"/>
    <w:rsid w:val="00D75CD0"/>
    <w:rsid w:val="00D75ECA"/>
    <w:rsid w:val="00D760B5"/>
    <w:rsid w:val="00D764EB"/>
    <w:rsid w:val="00D766A9"/>
    <w:rsid w:val="00D7733A"/>
    <w:rsid w:val="00D775CD"/>
    <w:rsid w:val="00D778F2"/>
    <w:rsid w:val="00D8005C"/>
    <w:rsid w:val="00D808EE"/>
    <w:rsid w:val="00D80A72"/>
    <w:rsid w:val="00D81003"/>
    <w:rsid w:val="00D81129"/>
    <w:rsid w:val="00D818D0"/>
    <w:rsid w:val="00D81A7D"/>
    <w:rsid w:val="00D8202C"/>
    <w:rsid w:val="00D822E5"/>
    <w:rsid w:val="00D82F39"/>
    <w:rsid w:val="00D8378B"/>
    <w:rsid w:val="00D846D9"/>
    <w:rsid w:val="00D8480B"/>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662"/>
    <w:rsid w:val="00D9076C"/>
    <w:rsid w:val="00D90F3C"/>
    <w:rsid w:val="00D911ED"/>
    <w:rsid w:val="00D91651"/>
    <w:rsid w:val="00D91686"/>
    <w:rsid w:val="00D9181C"/>
    <w:rsid w:val="00D91841"/>
    <w:rsid w:val="00D918BC"/>
    <w:rsid w:val="00D9191D"/>
    <w:rsid w:val="00D91D95"/>
    <w:rsid w:val="00D91E5A"/>
    <w:rsid w:val="00D92400"/>
    <w:rsid w:val="00D92454"/>
    <w:rsid w:val="00D9270B"/>
    <w:rsid w:val="00D927AB"/>
    <w:rsid w:val="00D93CB6"/>
    <w:rsid w:val="00D94506"/>
    <w:rsid w:val="00D947E8"/>
    <w:rsid w:val="00D94C19"/>
    <w:rsid w:val="00D94FA6"/>
    <w:rsid w:val="00D950AF"/>
    <w:rsid w:val="00D95DD1"/>
    <w:rsid w:val="00D96A20"/>
    <w:rsid w:val="00D97020"/>
    <w:rsid w:val="00D9744D"/>
    <w:rsid w:val="00DA123A"/>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1FA4"/>
    <w:rsid w:val="00DB3023"/>
    <w:rsid w:val="00DB3562"/>
    <w:rsid w:val="00DB3613"/>
    <w:rsid w:val="00DB3DB1"/>
    <w:rsid w:val="00DB3E6A"/>
    <w:rsid w:val="00DB3FDB"/>
    <w:rsid w:val="00DB4274"/>
    <w:rsid w:val="00DB4D86"/>
    <w:rsid w:val="00DB514B"/>
    <w:rsid w:val="00DB5712"/>
    <w:rsid w:val="00DB5C0E"/>
    <w:rsid w:val="00DB5E0E"/>
    <w:rsid w:val="00DB6379"/>
    <w:rsid w:val="00DB64AA"/>
    <w:rsid w:val="00DB657F"/>
    <w:rsid w:val="00DB65C2"/>
    <w:rsid w:val="00DB6952"/>
    <w:rsid w:val="00DB70EE"/>
    <w:rsid w:val="00DB75A4"/>
    <w:rsid w:val="00DB7827"/>
    <w:rsid w:val="00DB7BF9"/>
    <w:rsid w:val="00DC00C7"/>
    <w:rsid w:val="00DC023B"/>
    <w:rsid w:val="00DC0554"/>
    <w:rsid w:val="00DC07F1"/>
    <w:rsid w:val="00DC128B"/>
    <w:rsid w:val="00DC1828"/>
    <w:rsid w:val="00DC1A6F"/>
    <w:rsid w:val="00DC2DC5"/>
    <w:rsid w:val="00DC30EA"/>
    <w:rsid w:val="00DC33EC"/>
    <w:rsid w:val="00DC3F9B"/>
    <w:rsid w:val="00DC4D22"/>
    <w:rsid w:val="00DC5B2D"/>
    <w:rsid w:val="00DC6491"/>
    <w:rsid w:val="00DC6E16"/>
    <w:rsid w:val="00DC70CD"/>
    <w:rsid w:val="00DC7601"/>
    <w:rsid w:val="00DC7E6F"/>
    <w:rsid w:val="00DD00EA"/>
    <w:rsid w:val="00DD1635"/>
    <w:rsid w:val="00DD1BD3"/>
    <w:rsid w:val="00DD1EFE"/>
    <w:rsid w:val="00DD20DE"/>
    <w:rsid w:val="00DD36AA"/>
    <w:rsid w:val="00DD3B6A"/>
    <w:rsid w:val="00DD405B"/>
    <w:rsid w:val="00DD4974"/>
    <w:rsid w:val="00DD553E"/>
    <w:rsid w:val="00DD564B"/>
    <w:rsid w:val="00DD638A"/>
    <w:rsid w:val="00DD64A2"/>
    <w:rsid w:val="00DD64CB"/>
    <w:rsid w:val="00DD6531"/>
    <w:rsid w:val="00DD671F"/>
    <w:rsid w:val="00DD6801"/>
    <w:rsid w:val="00DD6925"/>
    <w:rsid w:val="00DD6E0E"/>
    <w:rsid w:val="00DD6F13"/>
    <w:rsid w:val="00DD7BF9"/>
    <w:rsid w:val="00DD7C13"/>
    <w:rsid w:val="00DD7C7A"/>
    <w:rsid w:val="00DE037E"/>
    <w:rsid w:val="00DE0759"/>
    <w:rsid w:val="00DE0DFB"/>
    <w:rsid w:val="00DE1550"/>
    <w:rsid w:val="00DE176E"/>
    <w:rsid w:val="00DE1EC9"/>
    <w:rsid w:val="00DE23F2"/>
    <w:rsid w:val="00DE28B1"/>
    <w:rsid w:val="00DE38AA"/>
    <w:rsid w:val="00DE4CB8"/>
    <w:rsid w:val="00DE5A1E"/>
    <w:rsid w:val="00DE5EEE"/>
    <w:rsid w:val="00DE6721"/>
    <w:rsid w:val="00DE6912"/>
    <w:rsid w:val="00DE6F95"/>
    <w:rsid w:val="00DE7355"/>
    <w:rsid w:val="00DE77E7"/>
    <w:rsid w:val="00DE7E8B"/>
    <w:rsid w:val="00DF04A6"/>
    <w:rsid w:val="00DF0745"/>
    <w:rsid w:val="00DF0790"/>
    <w:rsid w:val="00DF15B6"/>
    <w:rsid w:val="00DF15EC"/>
    <w:rsid w:val="00DF1806"/>
    <w:rsid w:val="00DF1C2D"/>
    <w:rsid w:val="00DF1F17"/>
    <w:rsid w:val="00DF1F85"/>
    <w:rsid w:val="00DF20CE"/>
    <w:rsid w:val="00DF20EA"/>
    <w:rsid w:val="00DF2425"/>
    <w:rsid w:val="00DF2974"/>
    <w:rsid w:val="00DF297F"/>
    <w:rsid w:val="00DF3422"/>
    <w:rsid w:val="00DF3E3B"/>
    <w:rsid w:val="00DF45FF"/>
    <w:rsid w:val="00DF4CEB"/>
    <w:rsid w:val="00DF79A3"/>
    <w:rsid w:val="00DF7C8C"/>
    <w:rsid w:val="00E00282"/>
    <w:rsid w:val="00E0043E"/>
    <w:rsid w:val="00E00A75"/>
    <w:rsid w:val="00E00C22"/>
    <w:rsid w:val="00E0156F"/>
    <w:rsid w:val="00E019C8"/>
    <w:rsid w:val="00E01C97"/>
    <w:rsid w:val="00E027C2"/>
    <w:rsid w:val="00E02F4E"/>
    <w:rsid w:val="00E04064"/>
    <w:rsid w:val="00E045EF"/>
    <w:rsid w:val="00E04E2B"/>
    <w:rsid w:val="00E0514D"/>
    <w:rsid w:val="00E052C4"/>
    <w:rsid w:val="00E05CBA"/>
    <w:rsid w:val="00E06166"/>
    <w:rsid w:val="00E0621A"/>
    <w:rsid w:val="00E06561"/>
    <w:rsid w:val="00E06583"/>
    <w:rsid w:val="00E06C17"/>
    <w:rsid w:val="00E0766D"/>
    <w:rsid w:val="00E10090"/>
    <w:rsid w:val="00E102DD"/>
    <w:rsid w:val="00E10331"/>
    <w:rsid w:val="00E10935"/>
    <w:rsid w:val="00E10B43"/>
    <w:rsid w:val="00E10C1D"/>
    <w:rsid w:val="00E10D76"/>
    <w:rsid w:val="00E11A6C"/>
    <w:rsid w:val="00E11AE0"/>
    <w:rsid w:val="00E12585"/>
    <w:rsid w:val="00E126E5"/>
    <w:rsid w:val="00E1421F"/>
    <w:rsid w:val="00E1436D"/>
    <w:rsid w:val="00E14415"/>
    <w:rsid w:val="00E1449F"/>
    <w:rsid w:val="00E14A2C"/>
    <w:rsid w:val="00E14C3C"/>
    <w:rsid w:val="00E15157"/>
    <w:rsid w:val="00E15680"/>
    <w:rsid w:val="00E15BCB"/>
    <w:rsid w:val="00E1644C"/>
    <w:rsid w:val="00E16730"/>
    <w:rsid w:val="00E16852"/>
    <w:rsid w:val="00E16DB7"/>
    <w:rsid w:val="00E177F1"/>
    <w:rsid w:val="00E17D33"/>
    <w:rsid w:val="00E203ED"/>
    <w:rsid w:val="00E20CD7"/>
    <w:rsid w:val="00E20D09"/>
    <w:rsid w:val="00E2106E"/>
    <w:rsid w:val="00E21495"/>
    <w:rsid w:val="00E21AD7"/>
    <w:rsid w:val="00E22D0F"/>
    <w:rsid w:val="00E23557"/>
    <w:rsid w:val="00E23D4C"/>
    <w:rsid w:val="00E23E7D"/>
    <w:rsid w:val="00E24B81"/>
    <w:rsid w:val="00E24C2A"/>
    <w:rsid w:val="00E24F41"/>
    <w:rsid w:val="00E251C3"/>
    <w:rsid w:val="00E252E5"/>
    <w:rsid w:val="00E25EB1"/>
    <w:rsid w:val="00E260B0"/>
    <w:rsid w:val="00E26382"/>
    <w:rsid w:val="00E264C0"/>
    <w:rsid w:val="00E264F9"/>
    <w:rsid w:val="00E267AA"/>
    <w:rsid w:val="00E26870"/>
    <w:rsid w:val="00E273E5"/>
    <w:rsid w:val="00E278E8"/>
    <w:rsid w:val="00E27FB8"/>
    <w:rsid w:val="00E30064"/>
    <w:rsid w:val="00E301E4"/>
    <w:rsid w:val="00E3078A"/>
    <w:rsid w:val="00E31099"/>
    <w:rsid w:val="00E319E0"/>
    <w:rsid w:val="00E32209"/>
    <w:rsid w:val="00E3275C"/>
    <w:rsid w:val="00E327B1"/>
    <w:rsid w:val="00E327B9"/>
    <w:rsid w:val="00E32A5E"/>
    <w:rsid w:val="00E32E66"/>
    <w:rsid w:val="00E331E4"/>
    <w:rsid w:val="00E3328F"/>
    <w:rsid w:val="00E33C15"/>
    <w:rsid w:val="00E3413D"/>
    <w:rsid w:val="00E34633"/>
    <w:rsid w:val="00E3470A"/>
    <w:rsid w:val="00E34CED"/>
    <w:rsid w:val="00E35CBE"/>
    <w:rsid w:val="00E35DC5"/>
    <w:rsid w:val="00E36239"/>
    <w:rsid w:val="00E36C10"/>
    <w:rsid w:val="00E374E2"/>
    <w:rsid w:val="00E37695"/>
    <w:rsid w:val="00E37830"/>
    <w:rsid w:val="00E37F55"/>
    <w:rsid w:val="00E40453"/>
    <w:rsid w:val="00E4059C"/>
    <w:rsid w:val="00E405F0"/>
    <w:rsid w:val="00E40680"/>
    <w:rsid w:val="00E40C1A"/>
    <w:rsid w:val="00E41014"/>
    <w:rsid w:val="00E421F2"/>
    <w:rsid w:val="00E428CB"/>
    <w:rsid w:val="00E4423D"/>
    <w:rsid w:val="00E44378"/>
    <w:rsid w:val="00E449C3"/>
    <w:rsid w:val="00E45020"/>
    <w:rsid w:val="00E450D8"/>
    <w:rsid w:val="00E4528A"/>
    <w:rsid w:val="00E45835"/>
    <w:rsid w:val="00E45C08"/>
    <w:rsid w:val="00E464DF"/>
    <w:rsid w:val="00E46502"/>
    <w:rsid w:val="00E46F6A"/>
    <w:rsid w:val="00E471E6"/>
    <w:rsid w:val="00E476E0"/>
    <w:rsid w:val="00E47DDE"/>
    <w:rsid w:val="00E50124"/>
    <w:rsid w:val="00E519D8"/>
    <w:rsid w:val="00E51DD3"/>
    <w:rsid w:val="00E5209E"/>
    <w:rsid w:val="00E5241D"/>
    <w:rsid w:val="00E5271E"/>
    <w:rsid w:val="00E52BC4"/>
    <w:rsid w:val="00E53315"/>
    <w:rsid w:val="00E5334A"/>
    <w:rsid w:val="00E536C6"/>
    <w:rsid w:val="00E53B8E"/>
    <w:rsid w:val="00E542AA"/>
    <w:rsid w:val="00E543EE"/>
    <w:rsid w:val="00E548D1"/>
    <w:rsid w:val="00E54D9C"/>
    <w:rsid w:val="00E54DFF"/>
    <w:rsid w:val="00E54E59"/>
    <w:rsid w:val="00E55B02"/>
    <w:rsid w:val="00E55EA3"/>
    <w:rsid w:val="00E55FAC"/>
    <w:rsid w:val="00E56130"/>
    <w:rsid w:val="00E563F0"/>
    <w:rsid w:val="00E56574"/>
    <w:rsid w:val="00E56D19"/>
    <w:rsid w:val="00E57012"/>
    <w:rsid w:val="00E5737A"/>
    <w:rsid w:val="00E57704"/>
    <w:rsid w:val="00E5776E"/>
    <w:rsid w:val="00E57954"/>
    <w:rsid w:val="00E57AA2"/>
    <w:rsid w:val="00E57C07"/>
    <w:rsid w:val="00E57D82"/>
    <w:rsid w:val="00E57EE7"/>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5958"/>
    <w:rsid w:val="00E65DDD"/>
    <w:rsid w:val="00E65EFB"/>
    <w:rsid w:val="00E6668F"/>
    <w:rsid w:val="00E666DD"/>
    <w:rsid w:val="00E66856"/>
    <w:rsid w:val="00E66B4A"/>
    <w:rsid w:val="00E671F0"/>
    <w:rsid w:val="00E70402"/>
    <w:rsid w:val="00E707EA"/>
    <w:rsid w:val="00E7123B"/>
    <w:rsid w:val="00E712EA"/>
    <w:rsid w:val="00E71813"/>
    <w:rsid w:val="00E722A5"/>
    <w:rsid w:val="00E7292C"/>
    <w:rsid w:val="00E73482"/>
    <w:rsid w:val="00E73537"/>
    <w:rsid w:val="00E740DA"/>
    <w:rsid w:val="00E7455D"/>
    <w:rsid w:val="00E747EA"/>
    <w:rsid w:val="00E747EE"/>
    <w:rsid w:val="00E74802"/>
    <w:rsid w:val="00E74B06"/>
    <w:rsid w:val="00E74D9F"/>
    <w:rsid w:val="00E75AAC"/>
    <w:rsid w:val="00E75D1F"/>
    <w:rsid w:val="00E76345"/>
    <w:rsid w:val="00E76625"/>
    <w:rsid w:val="00E76C41"/>
    <w:rsid w:val="00E76F7A"/>
    <w:rsid w:val="00E775FB"/>
    <w:rsid w:val="00E77687"/>
    <w:rsid w:val="00E776F4"/>
    <w:rsid w:val="00E77DAA"/>
    <w:rsid w:val="00E80094"/>
    <w:rsid w:val="00E804A3"/>
    <w:rsid w:val="00E80681"/>
    <w:rsid w:val="00E8086C"/>
    <w:rsid w:val="00E80B98"/>
    <w:rsid w:val="00E813F4"/>
    <w:rsid w:val="00E819A8"/>
    <w:rsid w:val="00E81A7F"/>
    <w:rsid w:val="00E826D1"/>
    <w:rsid w:val="00E82815"/>
    <w:rsid w:val="00E828CB"/>
    <w:rsid w:val="00E83AFD"/>
    <w:rsid w:val="00E844C3"/>
    <w:rsid w:val="00E845F8"/>
    <w:rsid w:val="00E846DB"/>
    <w:rsid w:val="00E85157"/>
    <w:rsid w:val="00E863AA"/>
    <w:rsid w:val="00E86555"/>
    <w:rsid w:val="00E86608"/>
    <w:rsid w:val="00E8695C"/>
    <w:rsid w:val="00E86FEA"/>
    <w:rsid w:val="00E87559"/>
    <w:rsid w:val="00E87DDD"/>
    <w:rsid w:val="00E9006C"/>
    <w:rsid w:val="00E9023B"/>
    <w:rsid w:val="00E9047A"/>
    <w:rsid w:val="00E90609"/>
    <w:rsid w:val="00E90B5E"/>
    <w:rsid w:val="00E90C89"/>
    <w:rsid w:val="00E913B3"/>
    <w:rsid w:val="00E918B7"/>
    <w:rsid w:val="00E92565"/>
    <w:rsid w:val="00E9260C"/>
    <w:rsid w:val="00E9266C"/>
    <w:rsid w:val="00E932D1"/>
    <w:rsid w:val="00E93C7E"/>
    <w:rsid w:val="00E93EB9"/>
    <w:rsid w:val="00E94113"/>
    <w:rsid w:val="00E94DAA"/>
    <w:rsid w:val="00E9526E"/>
    <w:rsid w:val="00E96468"/>
    <w:rsid w:val="00E96F68"/>
    <w:rsid w:val="00E970D7"/>
    <w:rsid w:val="00E972EE"/>
    <w:rsid w:val="00E978CC"/>
    <w:rsid w:val="00E97B84"/>
    <w:rsid w:val="00E97F38"/>
    <w:rsid w:val="00EA0289"/>
    <w:rsid w:val="00EA08EC"/>
    <w:rsid w:val="00EA0FCE"/>
    <w:rsid w:val="00EA18A8"/>
    <w:rsid w:val="00EA1FE5"/>
    <w:rsid w:val="00EA2142"/>
    <w:rsid w:val="00EA2D29"/>
    <w:rsid w:val="00EA3749"/>
    <w:rsid w:val="00EA3CF5"/>
    <w:rsid w:val="00EA3D21"/>
    <w:rsid w:val="00EA4BB6"/>
    <w:rsid w:val="00EA59B0"/>
    <w:rsid w:val="00EA6094"/>
    <w:rsid w:val="00EA6224"/>
    <w:rsid w:val="00EA69A5"/>
    <w:rsid w:val="00EA6D93"/>
    <w:rsid w:val="00EA70F7"/>
    <w:rsid w:val="00EA7446"/>
    <w:rsid w:val="00EB004D"/>
    <w:rsid w:val="00EB0146"/>
    <w:rsid w:val="00EB02C1"/>
    <w:rsid w:val="00EB0322"/>
    <w:rsid w:val="00EB05F5"/>
    <w:rsid w:val="00EB0ACA"/>
    <w:rsid w:val="00EB126D"/>
    <w:rsid w:val="00EB153B"/>
    <w:rsid w:val="00EB159C"/>
    <w:rsid w:val="00EB17F3"/>
    <w:rsid w:val="00EB1BE8"/>
    <w:rsid w:val="00EB2D5C"/>
    <w:rsid w:val="00EB3802"/>
    <w:rsid w:val="00EB3EAF"/>
    <w:rsid w:val="00EB46FA"/>
    <w:rsid w:val="00EB48F6"/>
    <w:rsid w:val="00EB4BEB"/>
    <w:rsid w:val="00EB4D75"/>
    <w:rsid w:val="00EB5287"/>
    <w:rsid w:val="00EB6405"/>
    <w:rsid w:val="00EB6587"/>
    <w:rsid w:val="00EB66AC"/>
    <w:rsid w:val="00EB69B4"/>
    <w:rsid w:val="00EB7059"/>
    <w:rsid w:val="00EB75D2"/>
    <w:rsid w:val="00EB7932"/>
    <w:rsid w:val="00EB7E38"/>
    <w:rsid w:val="00EC0214"/>
    <w:rsid w:val="00EC05BA"/>
    <w:rsid w:val="00EC0D64"/>
    <w:rsid w:val="00EC178C"/>
    <w:rsid w:val="00EC17E3"/>
    <w:rsid w:val="00EC1A16"/>
    <w:rsid w:val="00EC1D75"/>
    <w:rsid w:val="00EC20DA"/>
    <w:rsid w:val="00EC2127"/>
    <w:rsid w:val="00EC238B"/>
    <w:rsid w:val="00EC3117"/>
    <w:rsid w:val="00EC3329"/>
    <w:rsid w:val="00EC3C44"/>
    <w:rsid w:val="00EC478C"/>
    <w:rsid w:val="00EC517B"/>
    <w:rsid w:val="00EC5B0D"/>
    <w:rsid w:val="00EC5BB4"/>
    <w:rsid w:val="00EC6364"/>
    <w:rsid w:val="00EC7114"/>
    <w:rsid w:val="00EC7D15"/>
    <w:rsid w:val="00EC7DAA"/>
    <w:rsid w:val="00EC7DB0"/>
    <w:rsid w:val="00EC7EDB"/>
    <w:rsid w:val="00ED024A"/>
    <w:rsid w:val="00ED12B0"/>
    <w:rsid w:val="00ED1F83"/>
    <w:rsid w:val="00ED213F"/>
    <w:rsid w:val="00ED2540"/>
    <w:rsid w:val="00ED2B9A"/>
    <w:rsid w:val="00ED2DB8"/>
    <w:rsid w:val="00ED379B"/>
    <w:rsid w:val="00ED4060"/>
    <w:rsid w:val="00ED45E3"/>
    <w:rsid w:val="00ED4783"/>
    <w:rsid w:val="00ED49B3"/>
    <w:rsid w:val="00ED51DE"/>
    <w:rsid w:val="00ED52CD"/>
    <w:rsid w:val="00ED53CB"/>
    <w:rsid w:val="00ED5447"/>
    <w:rsid w:val="00ED54B4"/>
    <w:rsid w:val="00ED5993"/>
    <w:rsid w:val="00ED5A24"/>
    <w:rsid w:val="00ED6222"/>
    <w:rsid w:val="00ED6D5F"/>
    <w:rsid w:val="00ED6F3C"/>
    <w:rsid w:val="00ED74B3"/>
    <w:rsid w:val="00ED74C3"/>
    <w:rsid w:val="00ED79B4"/>
    <w:rsid w:val="00ED7E44"/>
    <w:rsid w:val="00EE0456"/>
    <w:rsid w:val="00EE0A57"/>
    <w:rsid w:val="00EE0C9C"/>
    <w:rsid w:val="00EE1B4A"/>
    <w:rsid w:val="00EE1C17"/>
    <w:rsid w:val="00EE1D56"/>
    <w:rsid w:val="00EE235A"/>
    <w:rsid w:val="00EE294E"/>
    <w:rsid w:val="00EE35B8"/>
    <w:rsid w:val="00EE3EC0"/>
    <w:rsid w:val="00EE427C"/>
    <w:rsid w:val="00EE4392"/>
    <w:rsid w:val="00EE43C1"/>
    <w:rsid w:val="00EE4B3F"/>
    <w:rsid w:val="00EE4DCC"/>
    <w:rsid w:val="00EE5425"/>
    <w:rsid w:val="00EE559E"/>
    <w:rsid w:val="00EE5BB3"/>
    <w:rsid w:val="00EE715D"/>
    <w:rsid w:val="00EE7273"/>
    <w:rsid w:val="00EE74FC"/>
    <w:rsid w:val="00EE7916"/>
    <w:rsid w:val="00EE793A"/>
    <w:rsid w:val="00EE7A69"/>
    <w:rsid w:val="00EE7C99"/>
    <w:rsid w:val="00EF0A64"/>
    <w:rsid w:val="00EF132F"/>
    <w:rsid w:val="00EF1392"/>
    <w:rsid w:val="00EF18AD"/>
    <w:rsid w:val="00EF19D9"/>
    <w:rsid w:val="00EF2467"/>
    <w:rsid w:val="00EF4844"/>
    <w:rsid w:val="00EF4853"/>
    <w:rsid w:val="00EF4A5A"/>
    <w:rsid w:val="00EF4E5E"/>
    <w:rsid w:val="00EF5667"/>
    <w:rsid w:val="00EF5D5A"/>
    <w:rsid w:val="00EF5D5C"/>
    <w:rsid w:val="00EF6662"/>
    <w:rsid w:val="00EF6786"/>
    <w:rsid w:val="00EF6D04"/>
    <w:rsid w:val="00EF6D93"/>
    <w:rsid w:val="00EF6EEB"/>
    <w:rsid w:val="00EF760F"/>
    <w:rsid w:val="00EF7671"/>
    <w:rsid w:val="00EF77F0"/>
    <w:rsid w:val="00F00002"/>
    <w:rsid w:val="00F001EC"/>
    <w:rsid w:val="00F003C1"/>
    <w:rsid w:val="00F00918"/>
    <w:rsid w:val="00F009C1"/>
    <w:rsid w:val="00F00EA8"/>
    <w:rsid w:val="00F011DB"/>
    <w:rsid w:val="00F01A4D"/>
    <w:rsid w:val="00F01EB1"/>
    <w:rsid w:val="00F021AC"/>
    <w:rsid w:val="00F0223F"/>
    <w:rsid w:val="00F029BC"/>
    <w:rsid w:val="00F02BBD"/>
    <w:rsid w:val="00F02C66"/>
    <w:rsid w:val="00F0307D"/>
    <w:rsid w:val="00F031F5"/>
    <w:rsid w:val="00F036A3"/>
    <w:rsid w:val="00F0373C"/>
    <w:rsid w:val="00F03B42"/>
    <w:rsid w:val="00F04921"/>
    <w:rsid w:val="00F04E78"/>
    <w:rsid w:val="00F05361"/>
    <w:rsid w:val="00F05D9F"/>
    <w:rsid w:val="00F0636F"/>
    <w:rsid w:val="00F06854"/>
    <w:rsid w:val="00F07604"/>
    <w:rsid w:val="00F07613"/>
    <w:rsid w:val="00F0767F"/>
    <w:rsid w:val="00F0785A"/>
    <w:rsid w:val="00F078EC"/>
    <w:rsid w:val="00F07B9B"/>
    <w:rsid w:val="00F07C18"/>
    <w:rsid w:val="00F11356"/>
    <w:rsid w:val="00F116D0"/>
    <w:rsid w:val="00F11778"/>
    <w:rsid w:val="00F121D1"/>
    <w:rsid w:val="00F12629"/>
    <w:rsid w:val="00F12B69"/>
    <w:rsid w:val="00F1308B"/>
    <w:rsid w:val="00F143DE"/>
    <w:rsid w:val="00F1440B"/>
    <w:rsid w:val="00F14777"/>
    <w:rsid w:val="00F147E6"/>
    <w:rsid w:val="00F14FD5"/>
    <w:rsid w:val="00F152D3"/>
    <w:rsid w:val="00F15E67"/>
    <w:rsid w:val="00F15EFD"/>
    <w:rsid w:val="00F15EFE"/>
    <w:rsid w:val="00F164DE"/>
    <w:rsid w:val="00F16634"/>
    <w:rsid w:val="00F1730F"/>
    <w:rsid w:val="00F178D2"/>
    <w:rsid w:val="00F17A79"/>
    <w:rsid w:val="00F17C66"/>
    <w:rsid w:val="00F202DD"/>
    <w:rsid w:val="00F209F8"/>
    <w:rsid w:val="00F20C34"/>
    <w:rsid w:val="00F2147E"/>
    <w:rsid w:val="00F21609"/>
    <w:rsid w:val="00F21A45"/>
    <w:rsid w:val="00F21B53"/>
    <w:rsid w:val="00F21EB0"/>
    <w:rsid w:val="00F2201B"/>
    <w:rsid w:val="00F22343"/>
    <w:rsid w:val="00F22404"/>
    <w:rsid w:val="00F226B6"/>
    <w:rsid w:val="00F22D6E"/>
    <w:rsid w:val="00F236D5"/>
    <w:rsid w:val="00F238EF"/>
    <w:rsid w:val="00F23EBE"/>
    <w:rsid w:val="00F248C7"/>
    <w:rsid w:val="00F24B8E"/>
    <w:rsid w:val="00F24D6A"/>
    <w:rsid w:val="00F24FFD"/>
    <w:rsid w:val="00F2574A"/>
    <w:rsid w:val="00F25763"/>
    <w:rsid w:val="00F2594A"/>
    <w:rsid w:val="00F25CA3"/>
    <w:rsid w:val="00F25F64"/>
    <w:rsid w:val="00F25FC7"/>
    <w:rsid w:val="00F2630A"/>
    <w:rsid w:val="00F263AD"/>
    <w:rsid w:val="00F264B8"/>
    <w:rsid w:val="00F26A5A"/>
    <w:rsid w:val="00F26D06"/>
    <w:rsid w:val="00F26D38"/>
    <w:rsid w:val="00F26E72"/>
    <w:rsid w:val="00F3040E"/>
    <w:rsid w:val="00F304A8"/>
    <w:rsid w:val="00F309CA"/>
    <w:rsid w:val="00F30B91"/>
    <w:rsid w:val="00F30F5D"/>
    <w:rsid w:val="00F31206"/>
    <w:rsid w:val="00F31532"/>
    <w:rsid w:val="00F3173A"/>
    <w:rsid w:val="00F31861"/>
    <w:rsid w:val="00F32088"/>
    <w:rsid w:val="00F32913"/>
    <w:rsid w:val="00F32A66"/>
    <w:rsid w:val="00F34F66"/>
    <w:rsid w:val="00F350C6"/>
    <w:rsid w:val="00F3525E"/>
    <w:rsid w:val="00F36019"/>
    <w:rsid w:val="00F366FB"/>
    <w:rsid w:val="00F36C9F"/>
    <w:rsid w:val="00F375F4"/>
    <w:rsid w:val="00F378A6"/>
    <w:rsid w:val="00F3796D"/>
    <w:rsid w:val="00F40202"/>
    <w:rsid w:val="00F40BE9"/>
    <w:rsid w:val="00F411C1"/>
    <w:rsid w:val="00F4123C"/>
    <w:rsid w:val="00F4131E"/>
    <w:rsid w:val="00F42164"/>
    <w:rsid w:val="00F42AC0"/>
    <w:rsid w:val="00F43DD0"/>
    <w:rsid w:val="00F44203"/>
    <w:rsid w:val="00F445FF"/>
    <w:rsid w:val="00F4463B"/>
    <w:rsid w:val="00F451D4"/>
    <w:rsid w:val="00F4541A"/>
    <w:rsid w:val="00F45BD4"/>
    <w:rsid w:val="00F45EDF"/>
    <w:rsid w:val="00F46184"/>
    <w:rsid w:val="00F4625D"/>
    <w:rsid w:val="00F4638F"/>
    <w:rsid w:val="00F468E9"/>
    <w:rsid w:val="00F473D8"/>
    <w:rsid w:val="00F47643"/>
    <w:rsid w:val="00F47788"/>
    <w:rsid w:val="00F47849"/>
    <w:rsid w:val="00F478EB"/>
    <w:rsid w:val="00F50BA3"/>
    <w:rsid w:val="00F51106"/>
    <w:rsid w:val="00F514E3"/>
    <w:rsid w:val="00F51A14"/>
    <w:rsid w:val="00F521AA"/>
    <w:rsid w:val="00F52501"/>
    <w:rsid w:val="00F52838"/>
    <w:rsid w:val="00F52C59"/>
    <w:rsid w:val="00F531C9"/>
    <w:rsid w:val="00F53B78"/>
    <w:rsid w:val="00F54251"/>
    <w:rsid w:val="00F5455E"/>
    <w:rsid w:val="00F547A4"/>
    <w:rsid w:val="00F54897"/>
    <w:rsid w:val="00F54D38"/>
    <w:rsid w:val="00F55082"/>
    <w:rsid w:val="00F553BF"/>
    <w:rsid w:val="00F55EAA"/>
    <w:rsid w:val="00F5629A"/>
    <w:rsid w:val="00F562A2"/>
    <w:rsid w:val="00F56A10"/>
    <w:rsid w:val="00F57054"/>
    <w:rsid w:val="00F571DB"/>
    <w:rsid w:val="00F572FE"/>
    <w:rsid w:val="00F5774F"/>
    <w:rsid w:val="00F579D5"/>
    <w:rsid w:val="00F57E50"/>
    <w:rsid w:val="00F57F20"/>
    <w:rsid w:val="00F60617"/>
    <w:rsid w:val="00F60639"/>
    <w:rsid w:val="00F60C47"/>
    <w:rsid w:val="00F60F0A"/>
    <w:rsid w:val="00F6140D"/>
    <w:rsid w:val="00F61C2B"/>
    <w:rsid w:val="00F62348"/>
    <w:rsid w:val="00F625E6"/>
    <w:rsid w:val="00F62660"/>
    <w:rsid w:val="00F6281D"/>
    <w:rsid w:val="00F62FEE"/>
    <w:rsid w:val="00F630ED"/>
    <w:rsid w:val="00F6367D"/>
    <w:rsid w:val="00F6436A"/>
    <w:rsid w:val="00F6480B"/>
    <w:rsid w:val="00F64A00"/>
    <w:rsid w:val="00F64B26"/>
    <w:rsid w:val="00F64BC9"/>
    <w:rsid w:val="00F651FB"/>
    <w:rsid w:val="00F655F5"/>
    <w:rsid w:val="00F65886"/>
    <w:rsid w:val="00F65A67"/>
    <w:rsid w:val="00F66042"/>
    <w:rsid w:val="00F663E4"/>
    <w:rsid w:val="00F66822"/>
    <w:rsid w:val="00F66A6E"/>
    <w:rsid w:val="00F66D44"/>
    <w:rsid w:val="00F674DA"/>
    <w:rsid w:val="00F67D3F"/>
    <w:rsid w:val="00F67EE8"/>
    <w:rsid w:val="00F7002C"/>
    <w:rsid w:val="00F700D8"/>
    <w:rsid w:val="00F708F1"/>
    <w:rsid w:val="00F70FDD"/>
    <w:rsid w:val="00F71320"/>
    <w:rsid w:val="00F715E5"/>
    <w:rsid w:val="00F722BE"/>
    <w:rsid w:val="00F72844"/>
    <w:rsid w:val="00F729DC"/>
    <w:rsid w:val="00F729F1"/>
    <w:rsid w:val="00F72B73"/>
    <w:rsid w:val="00F73702"/>
    <w:rsid w:val="00F73BCF"/>
    <w:rsid w:val="00F752A2"/>
    <w:rsid w:val="00F75776"/>
    <w:rsid w:val="00F75AC3"/>
    <w:rsid w:val="00F75ADB"/>
    <w:rsid w:val="00F75EF5"/>
    <w:rsid w:val="00F7602D"/>
    <w:rsid w:val="00F76363"/>
    <w:rsid w:val="00F7685D"/>
    <w:rsid w:val="00F76C6C"/>
    <w:rsid w:val="00F76D4A"/>
    <w:rsid w:val="00F77119"/>
    <w:rsid w:val="00F77E63"/>
    <w:rsid w:val="00F8037E"/>
    <w:rsid w:val="00F803B7"/>
    <w:rsid w:val="00F806C9"/>
    <w:rsid w:val="00F807F7"/>
    <w:rsid w:val="00F8099F"/>
    <w:rsid w:val="00F816F6"/>
    <w:rsid w:val="00F8324B"/>
    <w:rsid w:val="00F838A8"/>
    <w:rsid w:val="00F83A8A"/>
    <w:rsid w:val="00F84A5A"/>
    <w:rsid w:val="00F85A9D"/>
    <w:rsid w:val="00F85B83"/>
    <w:rsid w:val="00F860D8"/>
    <w:rsid w:val="00F86914"/>
    <w:rsid w:val="00F86B73"/>
    <w:rsid w:val="00F870BF"/>
    <w:rsid w:val="00F8754B"/>
    <w:rsid w:val="00F90377"/>
    <w:rsid w:val="00F90ADE"/>
    <w:rsid w:val="00F9176D"/>
    <w:rsid w:val="00F91D3B"/>
    <w:rsid w:val="00F91D8E"/>
    <w:rsid w:val="00F91FB6"/>
    <w:rsid w:val="00F923B9"/>
    <w:rsid w:val="00F927E3"/>
    <w:rsid w:val="00F92F2C"/>
    <w:rsid w:val="00F934BB"/>
    <w:rsid w:val="00F939B6"/>
    <w:rsid w:val="00F93EC8"/>
    <w:rsid w:val="00F9440D"/>
    <w:rsid w:val="00F94A68"/>
    <w:rsid w:val="00F94BC8"/>
    <w:rsid w:val="00F94C99"/>
    <w:rsid w:val="00F9640C"/>
    <w:rsid w:val="00F97B70"/>
    <w:rsid w:val="00F97BCC"/>
    <w:rsid w:val="00FA057A"/>
    <w:rsid w:val="00FA0665"/>
    <w:rsid w:val="00FA189A"/>
    <w:rsid w:val="00FA1A50"/>
    <w:rsid w:val="00FA1D9A"/>
    <w:rsid w:val="00FA1F76"/>
    <w:rsid w:val="00FA26F8"/>
    <w:rsid w:val="00FA276F"/>
    <w:rsid w:val="00FA3509"/>
    <w:rsid w:val="00FA357D"/>
    <w:rsid w:val="00FA3AE6"/>
    <w:rsid w:val="00FA3E60"/>
    <w:rsid w:val="00FA3EC1"/>
    <w:rsid w:val="00FA40E6"/>
    <w:rsid w:val="00FA4628"/>
    <w:rsid w:val="00FA49E0"/>
    <w:rsid w:val="00FA5819"/>
    <w:rsid w:val="00FA5C9E"/>
    <w:rsid w:val="00FA5D5F"/>
    <w:rsid w:val="00FA6F3D"/>
    <w:rsid w:val="00FA77FB"/>
    <w:rsid w:val="00FA7D36"/>
    <w:rsid w:val="00FB016A"/>
    <w:rsid w:val="00FB055C"/>
    <w:rsid w:val="00FB0D77"/>
    <w:rsid w:val="00FB0D91"/>
    <w:rsid w:val="00FB0E86"/>
    <w:rsid w:val="00FB0F89"/>
    <w:rsid w:val="00FB172B"/>
    <w:rsid w:val="00FB274B"/>
    <w:rsid w:val="00FB39F2"/>
    <w:rsid w:val="00FB5AFD"/>
    <w:rsid w:val="00FB5B5B"/>
    <w:rsid w:val="00FB5D5B"/>
    <w:rsid w:val="00FB6CE2"/>
    <w:rsid w:val="00FB77CF"/>
    <w:rsid w:val="00FB7A8F"/>
    <w:rsid w:val="00FC01EC"/>
    <w:rsid w:val="00FC051A"/>
    <w:rsid w:val="00FC0E47"/>
    <w:rsid w:val="00FC1402"/>
    <w:rsid w:val="00FC15F6"/>
    <w:rsid w:val="00FC194F"/>
    <w:rsid w:val="00FC1B18"/>
    <w:rsid w:val="00FC2295"/>
    <w:rsid w:val="00FC29D5"/>
    <w:rsid w:val="00FC2DCC"/>
    <w:rsid w:val="00FC35FA"/>
    <w:rsid w:val="00FC370E"/>
    <w:rsid w:val="00FC3D4C"/>
    <w:rsid w:val="00FC40E0"/>
    <w:rsid w:val="00FC4846"/>
    <w:rsid w:val="00FC5486"/>
    <w:rsid w:val="00FC58D3"/>
    <w:rsid w:val="00FC6EC0"/>
    <w:rsid w:val="00FC7770"/>
    <w:rsid w:val="00FC7F65"/>
    <w:rsid w:val="00FD0D3F"/>
    <w:rsid w:val="00FD1298"/>
    <w:rsid w:val="00FD1CCA"/>
    <w:rsid w:val="00FD277B"/>
    <w:rsid w:val="00FD2CBA"/>
    <w:rsid w:val="00FD362E"/>
    <w:rsid w:val="00FD3816"/>
    <w:rsid w:val="00FD3AEE"/>
    <w:rsid w:val="00FD4281"/>
    <w:rsid w:val="00FD510F"/>
    <w:rsid w:val="00FD5DF2"/>
    <w:rsid w:val="00FD5E9E"/>
    <w:rsid w:val="00FD675A"/>
    <w:rsid w:val="00FD6EA3"/>
    <w:rsid w:val="00FD7514"/>
    <w:rsid w:val="00FD77A4"/>
    <w:rsid w:val="00FE03DA"/>
    <w:rsid w:val="00FE0897"/>
    <w:rsid w:val="00FE0940"/>
    <w:rsid w:val="00FE0989"/>
    <w:rsid w:val="00FE0E36"/>
    <w:rsid w:val="00FE102E"/>
    <w:rsid w:val="00FE1A57"/>
    <w:rsid w:val="00FE1FB4"/>
    <w:rsid w:val="00FE28C4"/>
    <w:rsid w:val="00FE34DC"/>
    <w:rsid w:val="00FE354B"/>
    <w:rsid w:val="00FE371A"/>
    <w:rsid w:val="00FE37E9"/>
    <w:rsid w:val="00FE3D93"/>
    <w:rsid w:val="00FE44CB"/>
    <w:rsid w:val="00FE45BD"/>
    <w:rsid w:val="00FE4D06"/>
    <w:rsid w:val="00FE574B"/>
    <w:rsid w:val="00FE6632"/>
    <w:rsid w:val="00FE66ED"/>
    <w:rsid w:val="00FE6C64"/>
    <w:rsid w:val="00FE76FA"/>
    <w:rsid w:val="00FE77D3"/>
    <w:rsid w:val="00FF02F7"/>
    <w:rsid w:val="00FF0D5B"/>
    <w:rsid w:val="00FF1329"/>
    <w:rsid w:val="00FF1643"/>
    <w:rsid w:val="00FF1B15"/>
    <w:rsid w:val="00FF1CE1"/>
    <w:rsid w:val="00FF1E0B"/>
    <w:rsid w:val="00FF2021"/>
    <w:rsid w:val="00FF24A7"/>
    <w:rsid w:val="00FF2948"/>
    <w:rsid w:val="00FF2A25"/>
    <w:rsid w:val="00FF2F44"/>
    <w:rsid w:val="00FF352D"/>
    <w:rsid w:val="00FF360F"/>
    <w:rsid w:val="00FF3965"/>
    <w:rsid w:val="00FF396F"/>
    <w:rsid w:val="00FF3AA1"/>
    <w:rsid w:val="00FF4397"/>
    <w:rsid w:val="00FF463E"/>
    <w:rsid w:val="00FF4BAF"/>
    <w:rsid w:val="00FF4ED3"/>
    <w:rsid w:val="00FF50D5"/>
    <w:rsid w:val="00FF537D"/>
    <w:rsid w:val="00FF64E9"/>
    <w:rsid w:val="00FF6E8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21F08"/>
  <w15:docId w15:val="{26DD4E34-582D-41E3-8DDB-5DB51892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uiPriority w:val="99"/>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669023205">
      <w:bodyDiv w:val="1"/>
      <w:marLeft w:val="0"/>
      <w:marRight w:val="0"/>
      <w:marTop w:val="0"/>
      <w:marBottom w:val="0"/>
      <w:divBdr>
        <w:top w:val="none" w:sz="0" w:space="0" w:color="auto"/>
        <w:left w:val="none" w:sz="0" w:space="0" w:color="auto"/>
        <w:bottom w:val="none" w:sz="0" w:space="0" w:color="auto"/>
        <w:right w:val="none" w:sz="0" w:space="0" w:color="auto"/>
      </w:divBdr>
    </w:div>
    <w:div w:id="721250821">
      <w:bodyDiv w:val="1"/>
      <w:marLeft w:val="0"/>
      <w:marRight w:val="0"/>
      <w:marTop w:val="0"/>
      <w:marBottom w:val="0"/>
      <w:divBdr>
        <w:top w:val="none" w:sz="0" w:space="0" w:color="auto"/>
        <w:left w:val="none" w:sz="0" w:space="0" w:color="auto"/>
        <w:bottom w:val="none" w:sz="0" w:space="0" w:color="auto"/>
        <w:right w:val="none" w:sz="0" w:space="0" w:color="auto"/>
      </w:divBdr>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52327598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март 2022 г.</c:v>
                </c:pt>
              </c:strCache>
            </c:strRef>
          </c:tx>
          <c:spPr>
            <a:pattFill prst="pct5">
              <a:fgClr>
                <a:srgbClr val="FFFFFF"/>
              </a:fgClr>
              <a:bgClr>
                <a:srgbClr val="000000"/>
              </a:bgClr>
            </a:pattFill>
            <a:ln w="12683">
              <a:solidFill>
                <a:srgbClr val="000000"/>
              </a:solidFill>
              <a:prstDash val="solid"/>
            </a:ln>
          </c:spPr>
          <c:invertIfNegative val="0"/>
          <c:dLbls>
            <c:dLbl>
              <c:idx val="1"/>
              <c:layout>
                <c:manualLayout>
                  <c:x val="-4.2378921746529793E-17"/>
                  <c:y val="-3.4615765802712244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5.1629772006654508E-2"/>
                      <c:h val="6.1805555555555544E-2"/>
                    </c:manualLayout>
                  </c15:layout>
                </c:ext>
                <c:ext xmlns:c16="http://schemas.microsoft.com/office/drawing/2014/chart" uri="{C3380CC4-5D6E-409C-BE32-E72D297353CC}">
                  <c16:uniqueId val="{00000000-D8BB-47B0-B286-576360C606C4}"/>
                </c:ext>
              </c:extLst>
            </c:dLbl>
            <c:dLbl>
              <c:idx val="2"/>
              <c:layout>
                <c:manualLayout>
                  <c:x val="0"/>
                  <c:y val="-4.340277777777857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B80-464B-9081-13BDB53D438B}"/>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B80-464B-9081-13BDB53D438B}"/>
                </c:ext>
              </c:extLst>
            </c:dLbl>
            <c:dLbl>
              <c:idx val="5"/>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B80-464B-9081-13BDB53D438B}"/>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#,##0.00</c:formatCode>
                <c:ptCount val="6"/>
                <c:pt idx="0" formatCode="#,##0.0">
                  <c:v>2560.6434659999995</c:v>
                </c:pt>
                <c:pt idx="1">
                  <c:v>0.85360599999999998</c:v>
                </c:pt>
                <c:pt idx="2" formatCode="#,##0.0">
                  <c:v>227.78120900000005</c:v>
                </c:pt>
                <c:pt idx="3" formatCode="#,##0.0">
                  <c:v>327.08403700000002</c:v>
                </c:pt>
                <c:pt idx="4" formatCode="#,##0.0">
                  <c:v>4288.8597869999994</c:v>
                </c:pt>
                <c:pt idx="5" formatCode="#,##0.0">
                  <c:v>401.80381399999999</c:v>
                </c:pt>
              </c:numCache>
            </c:numRef>
          </c:val>
          <c:extLst>
            <c:ext xmlns:c16="http://schemas.microsoft.com/office/drawing/2014/chart" uri="{C3380CC4-5D6E-409C-BE32-E72D297353CC}">
              <c16:uniqueId val="{00000003-9B80-464B-9081-13BDB53D438B}"/>
            </c:ext>
          </c:extLst>
        </c:ser>
        <c:ser>
          <c:idx val="1"/>
          <c:order val="1"/>
          <c:tx>
            <c:strRef>
              <c:f>Sheet1!$C$36</c:f>
              <c:strCache>
                <c:ptCount val="1"/>
                <c:pt idx="0">
                  <c:v>към март  2023 г.</c:v>
                </c:pt>
              </c:strCache>
            </c:strRef>
          </c:tx>
          <c:spPr>
            <a:pattFill prst="smConfetti">
              <a:fgClr>
                <a:srgbClr val="333333"/>
              </a:fgClr>
              <a:bgClr>
                <a:srgbClr val="FFFFFF"/>
              </a:bgClr>
            </a:pattFill>
            <a:ln w="12683">
              <a:solidFill>
                <a:srgbClr val="000000"/>
              </a:solidFill>
              <a:prstDash val="solid"/>
            </a:ln>
          </c:spPr>
          <c:invertIfNegative val="0"/>
          <c:dLbls>
            <c:dLbl>
              <c:idx val="0"/>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B80-464B-9081-13BDB53D438B}"/>
                </c:ext>
              </c:extLst>
            </c:dLbl>
            <c:dLbl>
              <c:idx val="1"/>
              <c:layout>
                <c:manualLayout>
                  <c:x val="-1.3777787060437307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B80-464B-9081-13BDB53D438B}"/>
                </c:ext>
              </c:extLst>
            </c:dLbl>
            <c:dLbl>
              <c:idx val="2"/>
              <c:layout>
                <c:manualLayout>
                  <c:x val="2.2504468494836203E-3"/>
                  <c:y val="-1.160118657042869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B80-464B-9081-13BDB53D438B}"/>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B80-464B-9081-13BDB53D438B}"/>
                </c:ext>
              </c:extLst>
            </c:dLbl>
            <c:dLbl>
              <c:idx val="4"/>
              <c:layout>
                <c:manualLayout>
                  <c:x val="2.8449113763692161E-4"/>
                  <c:y val="0.1279206310148731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B80-464B-9081-13BDB53D438B}"/>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B80-464B-9081-13BDB53D438B}"/>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#,##0.00</c:formatCode>
                <c:ptCount val="6"/>
                <c:pt idx="0" formatCode="#,##0.0">
                  <c:v>3310.3041630000002</c:v>
                </c:pt>
                <c:pt idx="1">
                  <c:v>0.903644</c:v>
                </c:pt>
                <c:pt idx="2" formatCode="#,##0.0">
                  <c:v>400.50742000000002</c:v>
                </c:pt>
                <c:pt idx="3" formatCode="#,##0.0">
                  <c:v>293.52166699999998</c:v>
                </c:pt>
                <c:pt idx="4" formatCode="#,##0.0">
                  <c:v>5365.2047070000008</c:v>
                </c:pt>
                <c:pt idx="5" formatCode="#,##0.0">
                  <c:v>455.193288</c:v>
                </c:pt>
              </c:numCache>
            </c:numRef>
          </c:val>
          <c:extLst>
            <c:ext xmlns:c16="http://schemas.microsoft.com/office/drawing/2014/chart" uri="{C3380CC4-5D6E-409C-BE32-E72D297353CC}">
              <c16:uniqueId val="{0000000A-9B80-464B-9081-13BDB53D438B}"/>
            </c:ext>
          </c:extLst>
        </c:ser>
        <c:dLbls>
          <c:showLegendKey val="0"/>
          <c:showVal val="0"/>
          <c:showCatName val="0"/>
          <c:showSerName val="0"/>
          <c:showPercent val="0"/>
          <c:showBubbleSize val="0"/>
        </c:dLbls>
        <c:gapWidth val="150"/>
        <c:axId val="156227840"/>
        <c:axId val="253046784"/>
      </c:barChart>
      <c:catAx>
        <c:axId val="156227840"/>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253046784"/>
        <c:crosses val="autoZero"/>
        <c:auto val="1"/>
        <c:lblAlgn val="ctr"/>
        <c:lblOffset val="100"/>
        <c:tickLblSkip val="1"/>
        <c:tickMarkSkip val="1"/>
        <c:noMultiLvlLbl val="0"/>
      </c:catAx>
      <c:valAx>
        <c:axId val="253046784"/>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76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156227840"/>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1477519855473333"/>
          <c:w val="0.40878464462499231"/>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F170-7E89-463C-82FE-55713189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2911</TotalTime>
  <Pages>32</Pages>
  <Words>16814</Words>
  <Characters>95841</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813</cp:revision>
  <cp:lastPrinted>2023-05-15T13:28:00Z</cp:lastPrinted>
  <dcterms:created xsi:type="dcterms:W3CDTF">2022-04-29T13:09:00Z</dcterms:created>
  <dcterms:modified xsi:type="dcterms:W3CDTF">2023-05-15T13:40:00Z</dcterms:modified>
</cp:coreProperties>
</file>